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360" w:after="283"/>
        <w:jc w:val="left"/>
        <w:rPr/>
      </w:pPr>
      <w:bookmarkStart w:id="0" w:name="antx-20260331.htm"/>
      <w:bookmarkStart w:id="1" w:name="ksantx20260331"/>
      <w:bookmarkEnd w:id="0"/>
      <w:bookmarkEnd w:id="1"/>
      <w:r>
        <w:rPr/>
        <w:t> </w:t>
      </w:r>
    </w:p>
    <w:p>
      <w:pPr>
        <w:pStyle w:val="TextBody"/>
        <w:pBdr>
          <w:top w:val="double" w:sz="6"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60" w:after="283"/>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For the quarterly period ended March 31, 2026</w:t>
      </w:r>
    </w:p>
    <w:p>
      <w:pPr>
        <w:pStyle w:val="TextBody"/>
        <w:bidi w:val="0"/>
        <w:spacing w:before="6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For the transition period from _____ to _____</w:t>
      </w:r>
    </w:p>
    <w:p>
      <w:pPr>
        <w:pStyle w:val="TextBody"/>
        <w:bidi w:val="0"/>
        <w:spacing w:before="60" w:after="283"/>
        <w:jc w:val="center"/>
        <w:rPr>
          <w:rFonts w:ascii="Arial" w:hAnsi="Arial"/>
          <w:b/>
          <w:color w:val="000000"/>
          <w:sz w:val="20"/>
        </w:rPr>
      </w:pPr>
      <w:r>
        <w:rPr>
          <w:rFonts w:ascii="Arial" w:hAnsi="Arial"/>
          <w:b/>
          <w:color w:val="000000"/>
          <w:sz w:val="20"/>
        </w:rPr>
        <w:t>Commission File Number: 001-41331</w:t>
      </w:r>
    </w:p>
    <w:p>
      <w:pPr>
        <w:pStyle w:val="TextBody"/>
        <w:pBdr>
          <w:bottom w:val="single" w:sz="4" w:space="1" w:color="000000"/>
        </w:pBdr>
        <w:bidi w:val="0"/>
        <w:jc w:val="center"/>
        <w:rPr/>
      </w:pPr>
      <w:r>
        <w:rPr/>
        <w:t> </w:t>
      </w:r>
    </w:p>
    <w:p>
      <w:pPr>
        <w:pStyle w:val="TextBody"/>
        <w:bidi w:val="0"/>
        <w:spacing w:before="60" w:after="283"/>
        <w:jc w:val="center"/>
        <w:rPr>
          <w:rFonts w:ascii="Arial" w:hAnsi="Arial"/>
          <w:b/>
          <w:color w:val="000000"/>
          <w:sz w:val="48"/>
        </w:rPr>
      </w:pPr>
      <w:r>
        <w:rPr>
          <w:rFonts w:ascii="Arial" w:hAnsi="Arial"/>
          <w:b/>
          <w:color w:val="000000"/>
          <w:sz w:val="48"/>
        </w:rPr>
        <w:t>AN2 Therapeutics,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352" w:type="dxa"/>
        <w:jc w:val="left"/>
        <w:tblInd w:w="0" w:type="dxa"/>
        <w:tblLayout w:type="fixed"/>
        <w:tblCellMar>
          <w:top w:w="28" w:type="dxa"/>
          <w:left w:w="28" w:type="dxa"/>
          <w:bottom w:w="28" w:type="dxa"/>
          <w:right w:w="28" w:type="dxa"/>
        </w:tblCellMar>
      </w:tblPr>
      <w:tblGrid>
        <w:gridCol w:w="3061"/>
        <w:gridCol w:w="1291"/>
      </w:tblGrid>
      <w:tr>
        <w:trPr/>
        <w:tc>
          <w:tcPr>
            <w:tcW w:w="30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82-0606654</w:t>
            </w:r>
          </w:p>
        </w:tc>
      </w:tr>
      <w:tr>
        <w:trPr/>
        <w:tc>
          <w:tcPr>
            <w:tcW w:w="306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30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b/>
                <w:color w:val="000000"/>
                <w:sz w:val="20"/>
              </w:rPr>
              <w:t>1300 El Camino Real, Suite 100</w:t>
            </w:r>
            <w:r>
              <w:rPr>
                <w:rFonts w:ascii="Times New Roman" w:hAnsi="Times New Roman"/>
                <w:color w:val="000000"/>
                <w:sz w:val="20"/>
              </w:rPr>
              <w:t xml:space="preserve"> </w:t>
            </w:r>
          </w:p>
          <w:p>
            <w:pPr>
              <w:pStyle w:val="TableContents"/>
              <w:bidi w:val="0"/>
              <w:spacing w:before="0" w:after="15"/>
              <w:jc w:val="center"/>
              <w:rPr>
                <w:rFonts w:ascii="Arial" w:hAnsi="Arial"/>
                <w:b/>
                <w:color w:val="000000"/>
                <w:sz w:val="20"/>
              </w:rPr>
            </w:pPr>
            <w:r>
              <w:rPr>
                <w:rFonts w:ascii="Arial" w:hAnsi="Arial"/>
                <w:b/>
                <w:color w:val="000000"/>
                <w:sz w:val="20"/>
              </w:rPr>
              <w:t>Menlo Park, California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94025</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60" w:after="283"/>
        <w:jc w:val="center"/>
        <w:rPr>
          <w:rFonts w:ascii="Times New Roman" w:hAnsi="Times New Roman"/>
          <w:sz w:val="20"/>
        </w:rPr>
      </w:pPr>
      <w:r>
        <w:rPr>
          <w:rFonts w:ascii="Arial" w:hAnsi="Arial"/>
          <w:b/>
          <w:color w:val="000000"/>
          <w:sz w:val="20"/>
        </w:rPr>
        <w:t>Registrant’s telephone number, including area code: (650) 331-9090</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3871"/>
        <w:gridCol w:w="146"/>
        <w:gridCol w:w="916"/>
        <w:gridCol w:w="146"/>
        <w:gridCol w:w="366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ANTX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Select Market</w:t>
            </w:r>
          </w:p>
        </w:tc>
      </w:tr>
    </w:tbl>
    <w:p>
      <w:pPr>
        <w:pStyle w:val="TextBody"/>
        <w:bidi w:val="0"/>
        <w:spacing w:before="60" w:after="283"/>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Arial" w:hAnsi="Arial"/>
          <w:color w:val="000000"/>
          <w:sz w:val="18"/>
        </w:rPr>
        <w:t>No ☐</w:t>
      </w:r>
    </w:p>
    <w:p>
      <w:pPr>
        <w:pStyle w:val="TextBody"/>
        <w:bidi w:val="0"/>
        <w:spacing w:before="6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No ☐</w:t>
      </w:r>
    </w:p>
    <w:p>
      <w:pPr>
        <w:pStyle w:val="TextBody"/>
        <w:bidi w:val="0"/>
        <w:spacing w:before="6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2311"/>
        <w:gridCol w:w="146"/>
        <w:gridCol w:w="316"/>
        <w:gridCol w:w="146"/>
        <w:gridCol w:w="2311"/>
        <w:gridCol w:w="146"/>
        <w:gridCol w:w="36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Arial" w:hAnsi="Arial"/>
          <w:color w:val="000000"/>
          <w:sz w:val="18"/>
        </w:rPr>
        <w:t>As of May 7, 2026, the registrant had 36,016,161</w:t>
      </w:r>
      <w:r>
        <w:rPr>
          <w:rFonts w:ascii="Times New Roman" w:hAnsi="Times New Roman"/>
          <w:color w:val="000000"/>
          <w:sz w:val="20"/>
        </w:rPr>
        <w:t xml:space="preserve"> </w:t>
      </w:r>
      <w:r>
        <w:rPr>
          <w:rFonts w:ascii="Arial" w:hAnsi="Arial"/>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forward_statements">
              <w:r>
                <w:rPr>
                  <w:rStyle w:val="InternetLink"/>
                  <w:rFonts w:ascii="Arial" w:hAnsi="Arial"/>
                  <w:color w:val="0000FF"/>
                  <w:sz w:val="20"/>
                  <w:u w:val="single"/>
                </w:rPr>
                <w:t>Special Note Regarding Forward Looking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color w:val="0000FF"/>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
              <w:r>
                <w:rPr>
                  <w:rStyle w:val="InternetLink"/>
                  <w:rFonts w:ascii="Arial" w:hAnsi="Arial"/>
                  <w:color w:val="0000FF"/>
                  <w:sz w:val="20"/>
                  <w:u w:val="single"/>
                </w:rPr>
                <w:t>Condensed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_">
              <w:r>
                <w:rPr>
                  <w:rStyle w:val="InternetLink"/>
                  <w:rFonts w:ascii="Arial" w:hAnsi="Arial"/>
                  <w:color w:val="0000FF"/>
                  <w:sz w:val="20"/>
                  <w:u w:val="single"/>
                </w:rPr>
                <w:t>Condensed Statements of Operations and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_deficit_">
              <w:r>
                <w:rPr>
                  <w:rStyle w:val="InternetLink"/>
                  <w:rFonts w:ascii="Arial" w:hAnsi="Arial"/>
                  <w:color w:val="0000FF"/>
                  <w:sz w:val="20"/>
                  <w:u w:val="single"/>
                </w:rPr>
                <w:t>Condensed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
              <w:r>
                <w:rPr>
                  <w:rStyle w:val="InternetLink"/>
                  <w:rFonts w:ascii="Arial" w:hAnsi="Arial"/>
                  <w:color w:val="0000FF"/>
                  <w:sz w:val="20"/>
                  <w:u w:val="single"/>
                </w:rPr>
                <w:t>Condensed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Arial" w:hAnsi="Arial"/>
                  <w:color w:val="0000FF"/>
                  <w:sz w:val="20"/>
                  <w:u w:val="single"/>
                </w:rPr>
                <w:t>Notes to Unaudited Condensed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Arial" w:hAnsi="Arial"/>
                  <w:color w:val="0000FF"/>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w:hAnsi="Arial"/>
                  <w:color w:val="0000FF"/>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Arial" w:hAnsi="Arial"/>
                  <w:color w:val="0000FF"/>
                  <w:sz w:val="20"/>
                  <w:u w:val="single"/>
                </w:rPr>
                <w:t>Unregistered Sales of Equity Securities and Use of Proceeds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Times New Roman" w:hAnsi="Times New Roman"/>
          <w:sz w:val="20"/>
        </w:rPr>
      </w:pPr>
      <w:bookmarkStart w:id="2" w:name="special_note_forward_statements"/>
      <w:bookmarkEnd w:id="2"/>
      <w:r>
        <w:rPr>
          <w:rFonts w:ascii="Arial" w:hAnsi="Arial"/>
          <w:b/>
          <w:color w:val="000000"/>
          <w:sz w:val="20"/>
        </w:rPr>
        <w:t xml:space="preserve">SPECIAL </w:t>
      </w:r>
      <w:r>
        <w:rPr>
          <w:rFonts w:ascii="Arial" w:hAnsi="Arial"/>
          <w:b/>
          <w:caps/>
          <w:color w:val="000000"/>
          <w:sz w:val="20"/>
        </w:rPr>
        <w:t>NOTE REGARDING FORWARD-LOOKING STATEMENTS</w:t>
      </w:r>
    </w:p>
    <w:p>
      <w:pPr>
        <w:pStyle w:val="TextBody"/>
        <w:bidi w:val="0"/>
        <w:spacing w:before="240" w:after="283"/>
        <w:jc w:val="left"/>
        <w:rPr>
          <w:rFonts w:ascii="Times New Roman" w:hAnsi="Times New Roman"/>
          <w:sz w:val="20"/>
        </w:rPr>
      </w:pPr>
      <w:r>
        <w:rPr>
          <w:rFonts w:ascii="Arial" w:hAnsi="Arial"/>
          <w:i/>
          <w:color w:val="000000"/>
          <w:sz w:val="20"/>
        </w:rPr>
        <w:t>This</w:t>
      </w:r>
      <w:r>
        <w:rPr>
          <w:rFonts w:ascii="Times New Roman" w:hAnsi="Times New Roman"/>
          <w:color w:val="000000"/>
          <w:sz w:val="20"/>
        </w:rPr>
        <w:t xml:space="preserve"> </w:t>
      </w:r>
      <w:r>
        <w:rPr>
          <w:rFonts w:ascii="Arial" w:hAnsi="Arial"/>
          <w:i/>
          <w:color w:val="000000"/>
          <w:sz w:val="20"/>
        </w:rPr>
        <w:t>Quarterly Report on Form 10-Q (“Form 10-Q”) contains forward-looking statements. All statements other than statements of historical facts contained in this Form 10-Q, including statements regarding our future results of operations and financial position, business strategy, product candidates, planned preclinical and nonclinical studies and clinical trials, results of preclinical and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sz w:val="20"/>
        </w:rPr>
      </w:pPr>
      <w:r>
        <w:rPr>
          <w:rFonts w:ascii="Arial" w:hAnsi="Arial"/>
          <w:i/>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w:t>
      </w:r>
      <w:r>
        <w:rPr>
          <w:rFonts w:ascii="Times New Roman" w:hAnsi="Times New Roman"/>
          <w:color w:val="000000"/>
          <w:sz w:val="20"/>
        </w:rPr>
        <w:t xml:space="preserve"> </w:t>
      </w:r>
      <w:r>
        <w:rPr>
          <w:rFonts w:ascii="Arial" w:hAnsi="Arial"/>
          <w:i/>
          <w:color w:val="000000"/>
          <w:sz w:val="20"/>
        </w:rPr>
        <w:t>Form 10-Q include, but are not limited to, statements about: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initiation, timing, progress, and results of our preclinical and nonclinical studies and clinical trials, and our research and development programs, including the manufacture of clinical trial material and drug product for launch;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sufficiency of our existing cash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accuracy of our estimates regarding expenses,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use of the net proceeds from financing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outcome of potential interactions with the U.S. Food and Drug Administration (“FDA”), including with regulatory agencies in countries outside the U.S., regarding future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commence potential future studies of our product candidates in new patient populations, which regulatory authorities may not allow or authorize or may delay allowing or authorizing;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translation of our preclinical results and data and early clinical trial results, in particular relating to safety, efficacy and durability, into future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retain the continued service of our key professionals and to identify, hire, and retain additional qualified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advance our product candidates we may develop into, and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and our ability to obtain and maintain regulatory approvals for our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commercialization of our product candidates we may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of our product candidates, if approved, to successfully compete with other therapies, including therapies currently in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size of the market opportunity for product candidates we may develop in each of the diseases we target;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implementation of our business model, strategic plans for our business, and our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of protection we are able to establish and maintain for intellectual property rights covering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potential post-approval marketing exclusivities that may be granted to product candidates based upon certain regulatory designations, and other non-patent exclusivities in the United States and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identify additional product candidates and advance them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financial performance;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developments relating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the impact of inflation, macroeconomic conditions and geopolitical conflicts on our business and operations, including on our manufacturing suppliers, collaborators, contract research organizations (“CROs”) and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the period during which we will qualify as an emerging growth company under the Jumpstart Our Business Startups Act of 2012 (the “JOBS Act”).</w:t>
      </w:r>
    </w:p>
    <w:p>
      <w:pPr>
        <w:pStyle w:val="TextBody"/>
        <w:bidi w:val="0"/>
        <w:spacing w:before="240" w:after="283"/>
        <w:jc w:val="left"/>
        <w:rPr>
          <w:rFonts w:ascii="Arial" w:hAnsi="Arial"/>
          <w:i/>
          <w:color w:val="000000"/>
          <w:sz w:val="20"/>
        </w:rPr>
      </w:pPr>
      <w:r>
        <w:rPr>
          <w:rFonts w:ascii="Arial" w:hAnsi="Arial"/>
          <w:i/>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Form 10-Q and are subject to a number of risks, uncertainties, and assumptions described in the section titled “Risk Factors” and elsewhere in this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jc w:val="left"/>
        <w:rPr>
          <w:rFonts w:ascii="Arial" w:hAnsi="Arial"/>
          <w:i/>
          <w:color w:val="000000"/>
          <w:sz w:val="20"/>
        </w:rPr>
      </w:pPr>
      <w:r>
        <w:rPr>
          <w:rFonts w:ascii="Arial" w:hAnsi="Arial"/>
          <w:i/>
          <w:color w:val="000000"/>
          <w:sz w:val="20"/>
        </w:rPr>
        <w:t>In addition, statements that “we believe” and similar statements reflect our beliefs and opinions on the relevant subject. These statements are based upon information available to us as of the date of this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bookmarkStart w:id="3" w:name="part_i_financial_information"/>
      <w:bookmarkEnd w:id="3"/>
      <w:r>
        <w:rPr>
          <w:rFonts w:ascii="Arial" w:hAnsi="Arial"/>
          <w:b/>
          <w:color w:val="000000"/>
          <w:sz w:val="20"/>
        </w:rPr>
        <w:t>PART I—FINANCIAL INFORMATION</w:t>
      </w:r>
    </w:p>
    <w:p>
      <w:pPr>
        <w:pStyle w:val="TextBody"/>
        <w:bidi w:val="0"/>
        <w:spacing w:before="240" w:after="283"/>
        <w:jc w:val="left"/>
        <w:rPr>
          <w:rFonts w:ascii="Arial" w:hAnsi="Arial"/>
          <w:b/>
          <w:color w:val="000000"/>
          <w:sz w:val="20"/>
        </w:rPr>
      </w:pPr>
      <w:bookmarkStart w:id="4" w:name="item_1_financial_statements"/>
      <w:bookmarkEnd w:id="4"/>
      <w:r>
        <w:rPr>
          <w:rFonts w:ascii="Arial" w:hAnsi="Arial"/>
          <w:b/>
          <w:color w:val="000000"/>
          <w:sz w:val="20"/>
        </w:rPr>
        <w:t>Item 1. Financial Statements.</w:t>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Times New Roman" w:hAnsi="Times New Roman"/>
          <w:sz w:val="20"/>
        </w:rPr>
      </w:pPr>
      <w:bookmarkStart w:id="5" w:name="balance_sheet_"/>
      <w:bookmarkEnd w:id="5"/>
      <w:r>
        <w:rPr>
          <w:rFonts w:ascii="Arial" w:hAnsi="Arial"/>
          <w:b/>
          <w:color w:val="000000"/>
          <w:sz w:val="20"/>
        </w:rPr>
        <w:t xml:space="preserve">CONDENSED </w:t>
      </w:r>
      <w:bookmarkStart w:id="6" w:name="balance_sheets"/>
      <w:bookmarkEnd w:id="6"/>
      <w:r>
        <w:rPr>
          <w:rFonts w:ascii="Arial" w:hAnsi="Arial"/>
          <w:b/>
          <w:color w:val="000000"/>
          <w:sz w:val="20"/>
        </w:rPr>
        <w:t>BALANCE SHEETS</w:t>
      </w:r>
    </w:p>
    <w:p>
      <w:pPr>
        <w:pStyle w:val="TextBody"/>
        <w:bidi w:val="0"/>
        <w:jc w:val="center"/>
        <w:rPr>
          <w:rFonts w:ascii="Arial" w:hAnsi="Arial"/>
          <w:b/>
          <w:i/>
          <w:color w:val="000000"/>
          <w:sz w:val="20"/>
        </w:rPr>
      </w:pPr>
      <w:r>
        <w:rPr>
          <w:rFonts w:ascii="Arial" w:hAnsi="Arial"/>
          <w:b/>
          <w:i/>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63"/>
        <w:gridCol w:w="146"/>
        <w:gridCol w:w="211"/>
        <w:gridCol w:w="856"/>
        <w:gridCol w:w="166"/>
        <w:gridCol w:w="146"/>
        <w:gridCol w:w="226"/>
        <w:gridCol w:w="918"/>
        <w:gridCol w:w="773"/>
      </w:tblGrid>
      <w:tr>
        <w:trPr/>
        <w:tc>
          <w:tcPr>
            <w:tcW w:w="6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19,941</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38,060</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1,936</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87,491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59,937</w:t>
            </w:r>
          </w:p>
        </w:tc>
        <w:tc>
          <w:tcPr>
            <w:tcW w:w="7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2,013</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61,950</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3,021</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2,418</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2,052</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1,229</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5,562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8,720</w:t>
            </w:r>
          </w:p>
        </w:tc>
        <w:tc>
          <w:tcPr>
            <w:tcW w:w="773"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8,890</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Preferred stock, $0.00001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at March 31, 2026 and December 31, 2025; no</w:t>
            </w:r>
            <w:r>
              <w:rPr>
                <w:rFonts w:ascii="Times New Roman" w:hAnsi="Times New Roman"/>
                <w:color w:val="000000"/>
                <w:sz w:val="20"/>
              </w:rPr>
              <w:t> </w:t>
            </w:r>
            <w:r>
              <w:rPr>
                <w:rFonts w:ascii="Arial" w:hAnsi="Arial"/>
                <w:color w:val="000000"/>
                <w:sz w:val="20"/>
              </w:rPr>
              <w:t>shares issued and outstanding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$0.00001</w:t>
            </w:r>
            <w:r>
              <w:rPr>
                <w:rFonts w:ascii="Times New Roman" w:hAnsi="Times New Roman"/>
                <w:color w:val="000000"/>
                <w:sz w:val="20"/>
              </w:rPr>
              <w:t> </w:t>
            </w:r>
            <w:r>
              <w:rPr>
                <w:rFonts w:ascii="Arial" w:hAnsi="Arial"/>
                <w:color w:val="000000"/>
                <w:sz w:val="20"/>
              </w:rPr>
              <w:t>par value; 500,000,000</w:t>
            </w:r>
            <w:r>
              <w:rPr>
                <w:rFonts w:ascii="Times New Roman" w:hAnsi="Times New Roman"/>
                <w:color w:val="000000"/>
                <w:sz w:val="20"/>
              </w:rPr>
              <w:t> </w:t>
            </w:r>
            <w:r>
              <w:rPr>
                <w:rFonts w:ascii="Arial" w:hAnsi="Arial"/>
                <w:color w:val="000000"/>
                <w:sz w:val="20"/>
              </w:rPr>
              <w:t>shares authorized at March 31, 2026 and December 31, 2025; 35,985,599</w:t>
            </w:r>
            <w:r>
              <w:rPr>
                <w:rFonts w:ascii="Times New Roman" w:hAnsi="Times New Roman"/>
                <w:color w:val="000000"/>
                <w:sz w:val="20"/>
              </w:rPr>
              <w:t> </w:t>
            </w:r>
            <w:r>
              <w:rPr>
                <w:rFonts w:ascii="Arial" w:hAnsi="Arial"/>
                <w:color w:val="000000"/>
                <w:sz w:val="20"/>
              </w:rPr>
              <w:t>and 27,413,171</w:t>
            </w:r>
            <w:r>
              <w:rPr>
                <w:rFonts w:ascii="Times New Roman" w:hAnsi="Times New Roman"/>
                <w:color w:val="000000"/>
                <w:sz w:val="20"/>
              </w:rPr>
              <w:t> </w:t>
            </w:r>
            <w:r>
              <w:rPr>
                <w:rFonts w:ascii="Arial" w:hAnsi="Arial"/>
                <w:color w:val="000000"/>
                <w:sz w:val="20"/>
              </w:rPr>
              <w:t>shares 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293,953</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(240,950</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76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53,060</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61,950</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color w:val="000000"/>
          <w:sz w:val="20"/>
        </w:rPr>
      </w:pPr>
      <w:r>
        <w:rPr>
          <w:rFonts w:ascii="Arial" w:hAnsi="Arial"/>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Times New Roman" w:hAnsi="Times New Roman"/>
          <w:sz w:val="20"/>
        </w:rPr>
      </w:pPr>
      <w:bookmarkStart w:id="7" w:name="comprehensive_loss_"/>
      <w:bookmarkEnd w:id="7"/>
      <w:r>
        <w:rPr>
          <w:rFonts w:ascii="Arial" w:hAnsi="Arial"/>
          <w:b/>
          <w:color w:val="000000"/>
          <w:sz w:val="20"/>
        </w:rPr>
        <w:t xml:space="preserve">CONDENSED STATEMENTS OF </w:t>
      </w:r>
      <w:bookmarkStart w:id="8" w:name="operations_and_comprehensive_loss"/>
      <w:bookmarkEnd w:id="8"/>
      <w:r>
        <w:rPr>
          <w:rFonts w:ascii="Arial" w:hAnsi="Arial"/>
          <w:b/>
          <w:color w:val="000000"/>
          <w:sz w:val="20"/>
        </w:rPr>
        <w:t>OPERATIONS AND COMPREHENSIVE LOSS</w:t>
      </w:r>
    </w:p>
    <w:p>
      <w:pPr>
        <w:pStyle w:val="TextBody"/>
        <w:bidi w:val="0"/>
        <w:jc w:val="center"/>
        <w:rPr>
          <w:rFonts w:ascii="Arial" w:hAnsi="Arial"/>
          <w:b/>
          <w:i/>
          <w:color w:val="000000"/>
          <w:sz w:val="20"/>
        </w:rPr>
      </w:pPr>
      <w:r>
        <w:rPr>
          <w:rFonts w:ascii="Arial" w:hAnsi="Arial"/>
          <w:b/>
          <w:i/>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347"/>
        <w:gridCol w:w="146"/>
        <w:gridCol w:w="217"/>
        <w:gridCol w:w="1102"/>
        <w:gridCol w:w="171"/>
        <w:gridCol w:w="150"/>
        <w:gridCol w:w="217"/>
        <w:gridCol w:w="1102"/>
        <w:gridCol w:w="753"/>
      </w:tblGrid>
      <w:tr>
        <w:trPr/>
        <w:tc>
          <w:tcPr>
            <w:tcW w:w="6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34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7,690</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4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3,847</w:t>
            </w:r>
          </w:p>
        </w:tc>
        <w:tc>
          <w:tcPr>
            <w:tcW w:w="75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34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10,551</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11,537</w:t>
            </w:r>
          </w:p>
        </w:tc>
        <w:tc>
          <w:tcPr>
            <w:tcW w:w="75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(11,537</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888</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(10,028</w:t>
            </w:r>
          </w:p>
        </w:tc>
        <w:tc>
          <w:tcPr>
            <w:tcW w:w="1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(10,649</w:t>
            </w:r>
          </w:p>
        </w:tc>
        <w:tc>
          <w:tcPr>
            <w:tcW w:w="7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(0.29</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(0.35</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34,059,876</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30,053,659</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(10,090</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(10,632</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bookmarkStart w:id="9" w:name="stockholder_deficit_"/>
      <w:bookmarkEnd w:id="9"/>
      <w:r>
        <w:rPr>
          <w:rFonts w:ascii="Arial" w:hAnsi="Arial"/>
          <w:b/>
          <w:color w:val="000000"/>
          <w:sz w:val="20"/>
        </w:rPr>
        <w:t>AN2 THERAPEUTICS, INC.</w:t>
      </w:r>
    </w:p>
    <w:p>
      <w:pPr>
        <w:pStyle w:val="TextBody"/>
        <w:bidi w:val="0"/>
        <w:jc w:val="center"/>
        <w:rPr>
          <w:rFonts w:ascii="Times New Roman" w:hAnsi="Times New Roman"/>
          <w:sz w:val="20"/>
        </w:rPr>
      </w:pPr>
      <w:r>
        <w:rPr>
          <w:rFonts w:ascii="Arial" w:hAnsi="Arial"/>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Arial" w:hAnsi="Arial"/>
          <w:b/>
          <w:i/>
          <w:color w:val="000000"/>
          <w:sz w:val="20"/>
        </w:rPr>
      </w:pPr>
      <w:r>
        <w:rPr>
          <w:rFonts w:ascii="Arial" w:hAnsi="Arial"/>
          <w:b/>
          <w:i/>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7"/>
        <w:gridCol w:w="146"/>
        <w:gridCol w:w="146"/>
        <w:gridCol w:w="916"/>
        <w:gridCol w:w="146"/>
        <w:gridCol w:w="146"/>
        <w:gridCol w:w="271"/>
        <w:gridCol w:w="480"/>
        <w:gridCol w:w="146"/>
        <w:gridCol w:w="146"/>
        <w:gridCol w:w="205"/>
        <w:gridCol w:w="726"/>
        <w:gridCol w:w="146"/>
        <w:gridCol w:w="146"/>
        <w:gridCol w:w="488"/>
        <w:gridCol w:w="863"/>
        <w:gridCol w:w="166"/>
        <w:gridCol w:w="146"/>
        <w:gridCol w:w="239"/>
        <w:gridCol w:w="917"/>
        <w:gridCol w:w="166"/>
        <w:gridCol w:w="146"/>
        <w:gridCol w:w="264"/>
        <w:gridCol w:w="894"/>
        <w:gridCol w:w="213"/>
      </w:tblGrid>
      <w:tr>
        <w:trPr/>
        <w:tc>
          <w:tcPr>
            <w:tcW w:w="1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 xml:space="preserve">Other </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27,413,171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53,060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Issuance of common stock in the 2026 Private Placement, net of placement agent fees and other offering costs of $1.6</w:t>
            </w:r>
            <w:r>
              <w:rPr>
                <w:rFonts w:ascii="Times New Roman" w:hAnsi="Times New Roman"/>
                <w:color w:val="000000"/>
                <w:sz w:val="20"/>
              </w:rPr>
              <w:t> </w:t>
            </w:r>
            <w:r>
              <w:rPr>
                <w:rFonts w:ascii="Arial" w:hAnsi="Arial"/>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8,245,611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Issuance of pre-funded warrants in the 2026 Private Placement, net of placement agent fees and other offering costs of $1.1</w:t>
            </w:r>
            <w:r>
              <w:rPr>
                <w:rFonts w:ascii="Times New Roman" w:hAnsi="Times New Roman"/>
                <w:color w:val="000000"/>
                <w:sz w:val="20"/>
              </w:rPr>
              <w:t> </w:t>
            </w:r>
            <w:r>
              <w:rPr>
                <w:rFonts w:ascii="Arial" w:hAnsi="Arial"/>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15,372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(10,028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35,985,599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(250,978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81,759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3"/>
        <w:gridCol w:w="146"/>
        <w:gridCol w:w="146"/>
        <w:gridCol w:w="916"/>
        <w:gridCol w:w="146"/>
        <w:gridCol w:w="146"/>
        <w:gridCol w:w="271"/>
        <w:gridCol w:w="480"/>
        <w:gridCol w:w="146"/>
        <w:gridCol w:w="146"/>
        <w:gridCol w:w="205"/>
        <w:gridCol w:w="726"/>
        <w:gridCol w:w="146"/>
        <w:gridCol w:w="146"/>
        <w:gridCol w:w="488"/>
        <w:gridCol w:w="863"/>
        <w:gridCol w:w="146"/>
        <w:gridCol w:w="146"/>
        <w:gridCol w:w="239"/>
        <w:gridCol w:w="917"/>
        <w:gridCol w:w="166"/>
        <w:gridCol w:w="146"/>
        <w:gridCol w:w="265"/>
        <w:gridCol w:w="897"/>
        <w:gridCol w:w="213"/>
      </w:tblGrid>
      <w:tr>
        <w:trPr/>
        <w:tc>
          <w:tcPr>
            <w:tcW w:w="1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 xml:space="preserve">Other </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29,919,634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81,849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gain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30,141,517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73,329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bookmarkStart w:id="10" w:name="cash_flows_"/>
      <w:bookmarkEnd w:id="10"/>
      <w:r>
        <w:rPr>
          <w:rFonts w:ascii="Arial" w:hAnsi="Arial"/>
          <w:b/>
          <w:color w:val="000000"/>
          <w:sz w:val="20"/>
        </w:rPr>
        <w:t>CONDENSED STATEMENTS OF CASH FLOWS</w:t>
      </w:r>
    </w:p>
    <w:p>
      <w:pPr>
        <w:pStyle w:val="TextBody"/>
        <w:bidi w:val="0"/>
        <w:jc w:val="center"/>
        <w:rPr>
          <w:rFonts w:ascii="Arial" w:hAnsi="Arial"/>
          <w:b/>
          <w:i/>
          <w:color w:val="000000"/>
          <w:sz w:val="20"/>
        </w:rPr>
      </w:pPr>
      <w:r>
        <w:rPr>
          <w:rFonts w:ascii="Arial" w:hAnsi="Arial"/>
          <w:b/>
          <w:i/>
          <w:color w:val="000000"/>
          <w:sz w:val="20"/>
        </w:rPr>
        <w:t>(in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92"/>
        <w:gridCol w:w="146"/>
        <w:gridCol w:w="211"/>
        <w:gridCol w:w="751"/>
        <w:gridCol w:w="166"/>
        <w:gridCol w:w="146"/>
        <w:gridCol w:w="211"/>
        <w:gridCol w:w="751"/>
        <w:gridCol w:w="1331"/>
      </w:tblGrid>
      <w:tr>
        <w:trPr/>
        <w:tc>
          <w:tcPr>
            <w:tcW w:w="6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(10,649</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2,047</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accretion of discount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(1,147</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(10,624</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(22,307</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31,500</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9,193</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issuance of common stock in the 2026 Private Placement, net of placement agent fees and other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issuance of pre-funded warrants in the 2026 Private Placement, net of placement agent fees and other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(1,366</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21,351</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19,985</w:t>
            </w:r>
          </w:p>
        </w:tc>
        <w:tc>
          <w:tcPr>
            <w:tcW w:w="1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non-cash financing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 Private Placement Offering costs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color w:val="000000"/>
          <w:sz w:val="20"/>
        </w:rPr>
      </w:pPr>
      <w:r>
        <w:rPr>
          <w:rFonts w:ascii="Arial" w:hAnsi="Arial"/>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bookmarkStart w:id="11" w:name="notes_to_financial_statements"/>
      <w:bookmarkEnd w:id="11"/>
      <w:r>
        <w:rPr>
          <w:rFonts w:ascii="Arial" w:hAnsi="Arial"/>
          <w:b/>
          <w:color w:val="000000"/>
          <w:sz w:val="20"/>
        </w:rPr>
        <w:t>Notes to Unaudited Condensed Financial Statements</w:t>
      </w:r>
    </w:p>
    <w:p>
      <w:pPr>
        <w:pStyle w:val="TextBody"/>
        <w:bidi w:val="0"/>
        <w:spacing w:before="360" w:after="283"/>
        <w:jc w:val="left"/>
        <w:rPr>
          <w:rFonts w:ascii="Arial" w:hAnsi="Arial"/>
          <w:b/>
          <w:color w:val="000000"/>
          <w:sz w:val="20"/>
        </w:rPr>
      </w:pPr>
      <w:r>
        <w:rPr>
          <w:rFonts w:ascii="Arial" w:hAnsi="Arial"/>
          <w:b/>
          <w:color w:val="000000"/>
          <w:sz w:val="20"/>
        </w:rPr>
        <w:t>Note 1. Organization and Description of the Business</w:t>
      </w:r>
    </w:p>
    <w:p>
      <w:pPr>
        <w:pStyle w:val="TextBody"/>
        <w:bidi w:val="0"/>
        <w:spacing w:before="120" w:after="283"/>
        <w:jc w:val="left"/>
        <w:rPr>
          <w:rFonts w:ascii="Arial" w:hAnsi="Arial"/>
          <w:b/>
          <w:i/>
          <w:color w:val="000000"/>
          <w:sz w:val="20"/>
        </w:rPr>
      </w:pPr>
      <w:r>
        <w:rPr>
          <w:rFonts w:ascii="Arial" w:hAnsi="Arial"/>
          <w:b/>
          <w:i/>
          <w:color w:val="000000"/>
          <w:sz w:val="20"/>
        </w:rPr>
        <w:t>Description of Business</w:t>
      </w:r>
    </w:p>
    <w:p>
      <w:pPr>
        <w:pStyle w:val="TextBody"/>
        <w:bidi w:val="0"/>
        <w:spacing w:before="120" w:after="283"/>
        <w:jc w:val="left"/>
        <w:rPr>
          <w:rFonts w:ascii="Arial" w:hAnsi="Arial"/>
          <w:color w:val="000000"/>
          <w:sz w:val="20"/>
        </w:rPr>
      </w:pPr>
      <w:r>
        <w:rPr>
          <w:rFonts w:ascii="Arial" w:hAnsi="Arial"/>
          <w:color w:val="000000"/>
          <w:sz w:val="20"/>
        </w:rPr>
        <w:t>AN2 Therapeutics, Inc. (the “Company”) is a clinical-stage biopharmaceutical company focused on the discovery and development of novel small molecule therapeutics derived from its boron chemistry platform. The Company's development pipeline spans hematologic diseases, infectious diseases and oncology with three Phase 2 studies expected to be active in 2026, two preclinical candidates, as well as advanced research programs focused on targets in oncology, bone disorders and infectious diseases. The Company is committed to delivering high-impact drugs to patients that address critical medical needs and improve health outcomes. The Company was incorporated in the state of Delaware in February 2017, began operations in November 2019, began trading on the Nasdaq Global Select Market on March 25, 2022 under the symbol “ANTX”, and is based in Menlo Park, California.</w:t>
      </w:r>
    </w:p>
    <w:p>
      <w:pPr>
        <w:pStyle w:val="TextBody"/>
        <w:bidi w:val="0"/>
        <w:spacing w:before="240" w:after="283"/>
        <w:jc w:val="left"/>
        <w:rPr>
          <w:rFonts w:ascii="Arial" w:hAnsi="Arial"/>
          <w:color w:val="000000"/>
          <w:sz w:val="20"/>
        </w:rPr>
      </w:pPr>
      <w:r>
        <w:rPr>
          <w:rFonts w:ascii="Arial" w:hAnsi="Arial"/>
          <w:color w:val="000000"/>
          <w:sz w:val="20"/>
        </w:rPr>
        <w:t>Since launching operations in November 2019, the Company has devoted substantially all of its resources to performing research and development activities, business planning and restructuring, hiring personnel, raising capital, and providing general and administrative support for these operations.</w:t>
      </w:r>
    </w:p>
    <w:p>
      <w:pPr>
        <w:pStyle w:val="TextBody"/>
        <w:bidi w:val="0"/>
        <w:spacing w:before="12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2. Basis of Presentation and Summary of Significant Accounting Policies</w:t>
      </w:r>
    </w:p>
    <w:p>
      <w:pPr>
        <w:pStyle w:val="TextBody"/>
        <w:bidi w:val="0"/>
        <w:spacing w:before="120" w:after="283"/>
        <w:jc w:val="left"/>
        <w:rPr>
          <w:rFonts w:ascii="Arial" w:hAnsi="Arial"/>
          <w:b/>
          <w:i/>
          <w:color w:val="000000"/>
          <w:sz w:val="20"/>
        </w:rPr>
      </w:pPr>
      <w:r>
        <w:rPr>
          <w:rFonts w:ascii="Arial" w:hAnsi="Arial"/>
          <w:b/>
          <w:i/>
          <w:color w:val="000000"/>
          <w:sz w:val="20"/>
        </w:rPr>
        <w:t>Basis of Presentation</w:t>
      </w:r>
    </w:p>
    <w:p>
      <w:pPr>
        <w:pStyle w:val="TextBody"/>
        <w:bidi w:val="0"/>
        <w:spacing w:before="120" w:after="283"/>
        <w:jc w:val="left"/>
        <w:rPr>
          <w:rFonts w:ascii="Arial" w:hAnsi="Arial"/>
          <w:color w:val="000000"/>
          <w:sz w:val="20"/>
        </w:rPr>
      </w:pPr>
      <w:r>
        <w:rPr>
          <w:rFonts w:ascii="Arial" w:hAnsi="Arial"/>
          <w:color w:val="000000"/>
          <w:sz w:val="20"/>
        </w:rPr>
        <w:t>The Company’s financial statements have been prepared in accordance with United States generally accepted accounting principles (“U.S. GAAP”).</w:t>
      </w:r>
    </w:p>
    <w:p>
      <w:pPr>
        <w:pStyle w:val="TextBody"/>
        <w:bidi w:val="0"/>
        <w:spacing w:before="360" w:after="283"/>
        <w:jc w:val="left"/>
        <w:rPr>
          <w:rFonts w:ascii="Times New Roman" w:hAnsi="Times New Roman"/>
          <w:sz w:val="20"/>
        </w:rPr>
      </w:pPr>
      <w:r>
        <w:rPr>
          <w:rFonts w:ascii="Arial" w:hAnsi="Arial"/>
          <w:b/>
          <w:i/>
          <w:color w:val="000000"/>
          <w:sz w:val="20"/>
        </w:rPr>
        <w:t>Unaudited Interim Condensed Financial Information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accompanying condensed balance sheet as of March 31, 2026, the condensed statements of operations and comprehensive loss and the condensed statements of stockholders’ equity for the three months ended March 31, 2026 and 2025, and the condensed statements of cash flows for the three months ended March 31, 2026 and 2025 are unaudited. The unaudited interim condensed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2026, the results of its operations for the three months ended March 31, 2026 and 2025 and its cash flows for the three months ended March 31, 2026 and 2025. The financial data and other information disclosed in these notes related to the three months ended March 31, 2026 and 2025 are also unaudited. The results for the three months ended March 31, 2026 are not necessarily indicative of results to be expected for the year ending December 31, 2026, any other interim periods, or any future year or period. The balance sheet as of December 31, 2025 included herein was derived from the audited financial statements as of that date. Certain disclosures have been condensed or omitted from the interim condensed financial statements. Accordingly, these unaudited interim condensed financial statements should be read in conjunction with the Company’s audited financial statements as of and for the year ended December 31, 2025, which are included in the Company’s Annual Report on Form 10-K for the year ended December 31, 2025, as filed with the U.S. Securities and Exchange Commission (“SEC”), dated March 17, 2026.</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Risks and Uncertainties</w:t>
      </w:r>
    </w:p>
    <w:p>
      <w:pPr>
        <w:pStyle w:val="TextBody"/>
        <w:bidi w:val="0"/>
        <w:spacing w:before="120" w:after="283"/>
        <w:jc w:val="left"/>
        <w:rPr>
          <w:rFonts w:ascii="Arial" w:hAnsi="Arial"/>
          <w:i/>
          <w:color w:val="000000"/>
          <w:sz w:val="20"/>
        </w:rPr>
      </w:pPr>
      <w:r>
        <w:rPr>
          <w:rFonts w:ascii="Arial" w:hAnsi="Arial"/>
          <w:i/>
          <w:color w:val="000000"/>
          <w:sz w:val="20"/>
        </w:rPr>
        <w:t>Liquidity</w:t>
      </w:r>
    </w:p>
    <w:p>
      <w:pPr>
        <w:pStyle w:val="TextBody"/>
        <w:bidi w:val="0"/>
        <w:spacing w:before="120" w:after="283"/>
        <w:jc w:val="left"/>
        <w:rPr>
          <w:rFonts w:ascii="Times New Roman" w:hAnsi="Times New Roman"/>
          <w:sz w:val="20"/>
        </w:rPr>
      </w:pPr>
      <w:r>
        <w:rPr>
          <w:rFonts w:ascii="Arial" w:hAnsi="Arial"/>
          <w:color w:val="000000"/>
          <w:sz w:val="20"/>
        </w:rPr>
        <w:t>The Company’s operations have historically been primarily financed through the issuance and sale of redeemable convertible preferred stock and common stock. Since inception, the Company has incurred significant losses and negative net cash flows from operations. During the three months ended March 31, 2026 and 2025, the Company incurred a net loss of $10.0</w:t>
      </w:r>
      <w:r>
        <w:rPr>
          <w:rFonts w:ascii="Times New Roman" w:hAnsi="Times New Roman"/>
          <w:color w:val="000000"/>
          <w:sz w:val="20"/>
        </w:rPr>
        <w:t xml:space="preserve"> </w:t>
      </w:r>
      <w:r>
        <w:rPr>
          <w:rFonts w:ascii="Arial" w:hAnsi="Arial"/>
          <w:color w:val="000000"/>
          <w:sz w:val="20"/>
        </w:rPr>
        <w:t>million and $10.6</w:t>
      </w:r>
      <w:r>
        <w:rPr>
          <w:rFonts w:ascii="Times New Roman" w:hAnsi="Times New Roman"/>
          <w:color w:val="000000"/>
          <w:sz w:val="20"/>
        </w:rPr>
        <w:t xml:space="preserve"> </w:t>
      </w:r>
      <w:r>
        <w:rPr>
          <w:rFonts w:ascii="Arial" w:hAnsi="Arial"/>
          <w:color w:val="000000"/>
          <w:sz w:val="20"/>
        </w:rPr>
        <w:t>million, respectively, and had cash flows used in operating activities of $12.1</w:t>
      </w:r>
      <w:r>
        <w:rPr>
          <w:rFonts w:ascii="Times New Roman" w:hAnsi="Times New Roman"/>
          <w:color w:val="000000"/>
          <w:sz w:val="20"/>
        </w:rPr>
        <w:t xml:space="preserve"> </w:t>
      </w:r>
      <w:r>
        <w:rPr>
          <w:rFonts w:ascii="Arial" w:hAnsi="Arial"/>
          <w:color w:val="000000"/>
          <w:sz w:val="20"/>
        </w:rPr>
        <w:t>million and $10.6</w:t>
      </w:r>
      <w:r>
        <w:rPr>
          <w:rFonts w:ascii="Times New Roman" w:hAnsi="Times New Roman"/>
          <w:color w:val="000000"/>
          <w:sz w:val="20"/>
        </w:rPr>
        <w:t xml:space="preserve"> </w:t>
      </w:r>
      <w:r>
        <w:rPr>
          <w:rFonts w:ascii="Arial" w:hAnsi="Arial"/>
          <w:color w:val="000000"/>
          <w:sz w:val="20"/>
        </w:rPr>
        <w:t>million, respectively. The Company has an accumulated deficit of $251.0</w:t>
      </w:r>
      <w:r>
        <w:rPr>
          <w:rFonts w:ascii="Times New Roman" w:hAnsi="Times New Roman"/>
          <w:color w:val="000000"/>
          <w:sz w:val="20"/>
        </w:rPr>
        <w:t xml:space="preserve"> </w:t>
      </w:r>
      <w:r>
        <w:rPr>
          <w:rFonts w:ascii="Arial" w:hAnsi="Arial"/>
          <w:color w:val="000000"/>
          <w:sz w:val="20"/>
        </w:rPr>
        <w:t>million and $241.0</w:t>
      </w:r>
      <w:r>
        <w:rPr>
          <w:rFonts w:ascii="Times New Roman" w:hAnsi="Times New Roman"/>
          <w:color w:val="000000"/>
          <w:sz w:val="20"/>
        </w:rPr>
        <w:t xml:space="preserve"> </w:t>
      </w:r>
      <w:r>
        <w:rPr>
          <w:rFonts w:ascii="Arial" w:hAnsi="Arial"/>
          <w:color w:val="000000"/>
          <w:sz w:val="20"/>
        </w:rPr>
        <w:t>million as of March 31, 2026 and December 31, 2025, respectively, and will require substantial additional capital for research and development activities. The Company anticipates incurring additional losses until such time, if ever, that it can generate significant sales of its product candidates currently in development.</w:t>
      </w:r>
    </w:p>
    <w:p>
      <w:pPr>
        <w:pStyle w:val="TextBody"/>
        <w:bidi w:val="0"/>
        <w:spacing w:before="240" w:after="283"/>
        <w:jc w:val="left"/>
        <w:rPr>
          <w:rFonts w:ascii="Times New Roman" w:hAnsi="Times New Roman"/>
          <w:sz w:val="20"/>
        </w:rPr>
      </w:pPr>
      <w:r>
        <w:rPr>
          <w:rFonts w:ascii="Arial" w:hAnsi="Arial"/>
          <w:color w:val="000000"/>
          <w:sz w:val="20"/>
        </w:rPr>
        <w:t>As of March 31, 2026, the Company had cash, cash equivalents, and investments of $85.3</w:t>
      </w:r>
      <w:r>
        <w:rPr>
          <w:rFonts w:ascii="Times New Roman" w:hAnsi="Times New Roman"/>
          <w:color w:val="000000"/>
          <w:sz w:val="20"/>
        </w:rPr>
        <w:t xml:space="preserve"> </w:t>
      </w:r>
      <w:r>
        <w:rPr>
          <w:rFonts w:ascii="Arial" w:hAnsi="Arial"/>
          <w:color w:val="000000"/>
          <w:sz w:val="20"/>
        </w:rPr>
        <w:t>million. Management believes that its cash, cash equivalents, and investments as of March 31, 2026</w:t>
      </w:r>
      <w:r>
        <w:rPr>
          <w:rFonts w:ascii="Times New Roman" w:hAnsi="Times New Roman"/>
          <w:color w:val="000000"/>
          <w:sz w:val="20"/>
        </w:rPr>
        <w:t xml:space="preserve"> </w:t>
      </w:r>
      <w:r>
        <w:rPr>
          <w:rFonts w:ascii="Arial" w:hAnsi="Arial"/>
          <w:color w:val="000000"/>
          <w:sz w:val="20"/>
        </w:rPr>
        <w:t>will be sufficient to fund its current operating plan through at least twelve months from the issuance date of these condensed financial statements. Future capital requirements will depend on many factors, including the timing and extent of spending on research and development, including costs for preclinical and nonclinical studies, clinical trials, and clinical trial and material manufacturing.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pStyle w:val="TextBody"/>
        <w:bidi w:val="0"/>
        <w:spacing w:before="360" w:after="283"/>
        <w:jc w:val="left"/>
        <w:rPr>
          <w:rFonts w:ascii="Arial" w:hAnsi="Arial"/>
          <w:b/>
          <w:i/>
          <w:color w:val="000000"/>
          <w:sz w:val="20"/>
        </w:rPr>
      </w:pPr>
      <w:r>
        <w:rPr>
          <w:rFonts w:ascii="Arial" w:hAnsi="Arial"/>
          <w:b/>
          <w:i/>
          <w:color w:val="000000"/>
          <w:sz w:val="20"/>
        </w:rPr>
        <w:t>Segments</w:t>
      </w:r>
    </w:p>
    <w:p>
      <w:pPr>
        <w:pStyle w:val="TextBody"/>
        <w:bidi w:val="0"/>
        <w:spacing w:before="120" w:after="283"/>
        <w:jc w:val="left"/>
        <w:rPr>
          <w:rFonts w:ascii="Times New Roman" w:hAnsi="Times New Roman"/>
          <w:sz w:val="20"/>
        </w:rPr>
      </w:pPr>
      <w:r>
        <w:rPr>
          <w:rFonts w:ascii="Arial" w:hAnsi="Arial"/>
          <w:color w:val="000000"/>
          <w:sz w:val="20"/>
        </w:rPr>
        <w:t>The Company operates and manages its business as one</w:t>
      </w:r>
      <w:r>
        <w:rPr>
          <w:rFonts w:ascii="Times New Roman" w:hAnsi="Times New Roman"/>
          <w:color w:val="000000"/>
          <w:sz w:val="20"/>
        </w:rPr>
        <w:t xml:space="preserve"> </w:t>
      </w:r>
      <w:r>
        <w:rPr>
          <w:rFonts w:ascii="Arial" w:hAnsi="Arial"/>
          <w:color w:val="000000"/>
          <w:sz w:val="20"/>
        </w:rPr>
        <w:t>reportable and operating segment. For financial information related to the Company's one operating segment, see Note 12 - Segment Reporting.</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Use of Estimates</w:t>
      </w:r>
    </w:p>
    <w:p>
      <w:pPr>
        <w:pStyle w:val="TextBody"/>
        <w:bidi w:val="0"/>
        <w:spacing w:before="120" w:after="283"/>
        <w:jc w:val="left"/>
        <w:rPr>
          <w:rFonts w:ascii="Arial" w:hAnsi="Arial"/>
          <w:color w:val="000000"/>
          <w:sz w:val="20"/>
        </w:rPr>
      </w:pPr>
      <w:r>
        <w:rPr>
          <w:rFonts w:ascii="Arial" w:hAnsi="Arial"/>
          <w:color w:val="000000"/>
          <w:sz w:val="20"/>
        </w:rPr>
        <w:t>The preparation of financial statements in conformity with U.S. GAAP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including those related to research and development accruals, fair value of assets and stock-based compensation. Management bases its estimates on historical experience and on various other market-specific and relevant assumptions that management believes to be reasonable under the circumstances. Actual results could differ from those estimates.</w:t>
      </w:r>
    </w:p>
    <w:p>
      <w:pPr>
        <w:pStyle w:val="TextBody"/>
        <w:bidi w:val="0"/>
        <w:spacing w:before="360" w:after="283"/>
        <w:jc w:val="left"/>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All research and development costs, including work performed by third parties, are expensed as incurred. Research and development costs consist of salaries and other personnel-related expenses, including associated stock-based compensation, consulting fees, and facility costs, as well as fees paid to other entities that conduct certain research and development activities on behalf of the Company. Payments made prior to the receipt of goods or services to be used in research and development are capitalized until the goods are received or services are rendered.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As part of the process of preparing its financial statements, the Company estimates its accrued expenses.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contract manufacturing and clinical and other research organizations, academic research centers, and other vendors in connection with research and development activities for which the Company has not yet been invoiced.</w:t>
      </w:r>
    </w:p>
    <w:p>
      <w:pPr>
        <w:pStyle w:val="TextBody"/>
        <w:bidi w:val="0"/>
        <w:spacing w:before="360" w:after="283"/>
        <w:jc w:val="left"/>
        <w:rPr>
          <w:rFonts w:ascii="Arial" w:hAnsi="Arial"/>
          <w:b/>
          <w:i/>
          <w:color w:val="000000"/>
          <w:sz w:val="20"/>
        </w:rPr>
      </w:pPr>
      <w:r>
        <w:rPr>
          <w:rFonts w:ascii="Arial" w:hAnsi="Arial"/>
          <w:b/>
          <w:i/>
          <w:color w:val="000000"/>
          <w:sz w:val="20"/>
        </w:rPr>
        <w:t>Stock-Based Compensation</w:t>
      </w:r>
    </w:p>
    <w:p>
      <w:pPr>
        <w:pStyle w:val="TextBody"/>
        <w:bidi w:val="0"/>
        <w:spacing w:before="120" w:after="283"/>
        <w:jc w:val="left"/>
        <w:rPr>
          <w:rFonts w:ascii="Arial" w:hAnsi="Arial"/>
          <w:color w:val="000000"/>
          <w:sz w:val="20"/>
        </w:rPr>
      </w:pPr>
      <w:r>
        <w:rPr>
          <w:rFonts w:ascii="Arial" w:hAnsi="Arial"/>
          <w:color w:val="000000"/>
          <w:sz w:val="20"/>
        </w:rPr>
        <w:t>The Company measures and recognizes compensation expense for equity-classified stock-based awards made to employees, directors and non-employees based on the grant date estimated fair value of each award. Compensation expense for employee and director awards is recognized on a straight-line basis over the requisite service period which is generally the vesting period for the entire award. Expense is adjusted for forfeitures as they occur. Compensation expense for non-employee awards is recognized in the same period and manner as if the Company had paid cash for the goods or services provided.</w:t>
      </w:r>
    </w:p>
    <w:p>
      <w:pPr>
        <w:pStyle w:val="TextBody"/>
        <w:bidi w:val="0"/>
        <w:spacing w:before="240" w:after="283"/>
        <w:jc w:val="left"/>
        <w:rPr>
          <w:rFonts w:ascii="Arial" w:hAnsi="Arial"/>
          <w:color w:val="000000"/>
          <w:sz w:val="20"/>
        </w:rPr>
      </w:pPr>
      <w:r>
        <w:rPr>
          <w:rFonts w:ascii="Arial" w:hAnsi="Arial"/>
          <w:color w:val="000000"/>
          <w:sz w:val="20"/>
        </w:rPr>
        <w:t>The valuation model used for calculating the fair value of stock options for stock-based compensation expense is the Black-Scholes option-pricing model (the “Black-Scholes model”). The Black-Scholes model requires management to make assumptions and judgments about the variables used in the calculation, including the expected term, the expected volatility of common stock, an assumed risk-free interest rate, and expected dividends the Company may pay. Management uses the simplified calculation (based on the mid-point between the vesting date and the end of the contractual term) of the expected term for its stock options as the Company has concluded that its stock option history does not provide a reasonable basis upon which to estimate expected term. Through November 2025, volatility is based on an average of the historical volatilities of the common stock of entities with characteristics similar to that of the Company. Beginning in December 2025, after sufficient trading data of the Company’s common stock on the Nasdaq Global Select Market became available, the Company adopted a blended volatility methodology that combines the Company’s historical volatility with that of a peer group, weighting the volatility of its peer group for the amount of time prior to the Company's initial public offering in March 2022 so that the blended volatility term equals the expected term of the related stock-based award. The Company will continue to utilize this blended volatility methodology until sufficient historical trading data of the Company's common stock is available. The risk-free rate is based on the U.S. Treasury yield curve in effect at the time of grant for periods corresponding with the expected life of the option. The Company uses an assumed dividend yield of zero as the Company has never paid dividends and has no current plans to pay any dividends on its common stock.</w:t>
      </w:r>
    </w:p>
    <w:p>
      <w:pPr>
        <w:pStyle w:val="TextBody"/>
        <w:bidi w:val="0"/>
        <w:spacing w:before="240" w:after="283"/>
        <w:jc w:val="left"/>
        <w:rPr>
          <w:rFonts w:ascii="Arial" w:hAnsi="Arial"/>
          <w:color w:val="000000"/>
          <w:sz w:val="20"/>
        </w:rPr>
      </w:pPr>
      <w:r>
        <w:rPr>
          <w:rFonts w:ascii="Arial" w:hAnsi="Arial"/>
          <w:color w:val="000000"/>
          <w:sz w:val="20"/>
        </w:rPr>
        <w:t>For option awards that contain performance conditions, compensation cost is recognized in the period in which it becomes probable that the performance condition will be satisfied. For option awards that vest upon a liquidity event or a change in control, the performance condition is not probable of being achieved until the event occurs. As a result, no compensation expense would be recognized until the performance-based vesting condition is achieved.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Warrants</w:t>
      </w:r>
    </w:p>
    <w:p>
      <w:pPr>
        <w:pStyle w:val="TextBody"/>
        <w:bidi w:val="0"/>
        <w:spacing w:before="120" w:after="283"/>
        <w:jc w:val="left"/>
        <w:rPr>
          <w:rFonts w:ascii="Arial" w:hAnsi="Arial"/>
          <w:color w:val="000000"/>
          <w:sz w:val="20"/>
        </w:rPr>
      </w:pPr>
      <w:r>
        <w:rPr>
          <w:rFonts w:ascii="Arial" w:hAnsi="Arial"/>
          <w:color w:val="000000"/>
          <w:sz w:val="20"/>
        </w:rPr>
        <w:t>The Company accounts for warrants as equity-classified instruments based on an assessment of the warrant’s specific terms and applicable authoritative guidance in the Financial Accounting Standards Board (“FASB”) ASC 480, Distinguishing Liabilities from Equity (“ASC 480”) and ASC 815, Derivatives and Hedging (“ASC 815”). This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Finally, the Company determines if the warrants meet the definition of a derivative based on their contractual terms. This assessment, which requires the use of professional judgment, is conducted at the time of warrant issuance and as of each subsequent quarterly period end date while the warrants are outstanding.</w:t>
      </w:r>
    </w:p>
    <w:p>
      <w:pPr>
        <w:pStyle w:val="TextBody"/>
        <w:bidi w:val="0"/>
        <w:spacing w:before="240" w:after="283"/>
        <w:jc w:val="left"/>
        <w:rPr>
          <w:rFonts w:ascii="Arial" w:hAnsi="Arial"/>
          <w:color w:val="000000"/>
          <w:sz w:val="20"/>
        </w:rPr>
      </w:pPr>
      <w:r>
        <w:rPr>
          <w:rFonts w:ascii="Arial" w:hAnsi="Arial"/>
          <w:color w:val="000000"/>
          <w:sz w:val="20"/>
        </w:rPr>
        <w:t>For issued or modified warrants that meet all of the criteria for equity classification, the warrants are required to be recorded as a component of additional paid-in capital at the time of issuance. The Company also evaluates if changes in contractual terms or other considerations would result in the reclassification of outstanding warrants from stockholders’ equity to liabilities (or vice versa).</w:t>
      </w:r>
    </w:p>
    <w:p>
      <w:pPr>
        <w:pStyle w:val="TextBody"/>
        <w:bidi w:val="0"/>
        <w:spacing w:before="360" w:after="283"/>
        <w:jc w:val="left"/>
        <w:rPr>
          <w:rFonts w:ascii="Times New Roman" w:hAnsi="Times New Roman"/>
          <w:sz w:val="20"/>
        </w:rPr>
      </w:pPr>
      <w:r>
        <w:rPr>
          <w:rFonts w:ascii="Arial" w:hAnsi="Arial"/>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 considers all highly liquid investments with a maturity of three months or less when purchased to be cash equivalents. Cash equivalents, which consist of money market funds, are stated at fair value. As of March 31, 2026 and December 31, 2025, the Company had cash and cash equivalents of $53.5</w:t>
      </w:r>
      <w:r>
        <w:rPr>
          <w:rFonts w:ascii="Times New Roman" w:hAnsi="Times New Roman"/>
          <w:color w:val="000000"/>
          <w:sz w:val="20"/>
        </w:rPr>
        <w:t xml:space="preserve"> </w:t>
      </w:r>
      <w:r>
        <w:rPr>
          <w:rFonts w:ascii="Arial" w:hAnsi="Arial"/>
          <w:color w:val="000000"/>
          <w:sz w:val="20"/>
        </w:rPr>
        <w:t>million and $19.9</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360" w:after="283"/>
        <w:jc w:val="left"/>
        <w:rPr>
          <w:rFonts w:ascii="Arial" w:hAnsi="Arial"/>
          <w:b/>
          <w:i/>
          <w:color w:val="000000"/>
          <w:sz w:val="20"/>
        </w:rPr>
      </w:pPr>
      <w:r>
        <w:rPr>
          <w:rFonts w:ascii="Arial" w:hAnsi="Arial"/>
          <w:b/>
          <w:i/>
          <w:color w:val="000000"/>
          <w:sz w:val="20"/>
        </w:rPr>
        <w:t>Investments</w:t>
      </w:r>
    </w:p>
    <w:p>
      <w:pPr>
        <w:pStyle w:val="TextBody"/>
        <w:bidi w:val="0"/>
        <w:spacing w:before="120" w:after="283"/>
        <w:jc w:val="left"/>
        <w:rPr>
          <w:rFonts w:ascii="Times New Roman" w:hAnsi="Times New Roman"/>
          <w:sz w:val="20"/>
        </w:rPr>
      </w:pPr>
      <w:r>
        <w:rPr>
          <w:rFonts w:ascii="Arial" w:hAnsi="Arial"/>
          <w:color w:val="000000"/>
          <w:sz w:val="20"/>
        </w:rPr>
        <w:t>Investments consist of U.S. Treasury securities, commercial paper, U.S. Government agency securities, and corporate debt securities. All of the Company’s investments are classified as available-for-sale and are carried at estimated fair values and reported as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 The cost of investments sold, if any, is based on the specific identification method.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Unrealized gains and losses on available-for-sale investments are reported in accumulated other comprehensive (loss) gain as a separate component of stockholders’ equity (deficit).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statements of operations and comprehensive loss. If neither criterion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other income, net. Any unrealized losses from declines in fair value below the amortized cost basis as a result of non-credit factors are recognized in accumulated other comprehensive income (loss) as a separate component of stockholders’ equity, along with unrealized gains. Realized gains and losses and declines in fair value, if any, on available-for-sale securities are included in other income, net in the statements of operations and comprehensive loss.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to prepaid expenses and other current assets on the Company’s unaudited interim condensed balance sheets.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As of March 31, 2026 and December 31, 2025, the Company had investments of $31.8</w:t>
      </w:r>
      <w:r>
        <w:rPr>
          <w:rFonts w:ascii="Times New Roman" w:hAnsi="Times New Roman"/>
          <w:color w:val="000000"/>
          <w:sz w:val="20"/>
        </w:rPr>
        <w:t xml:space="preserve"> </w:t>
      </w:r>
      <w:r>
        <w:rPr>
          <w:rFonts w:ascii="Arial" w:hAnsi="Arial"/>
          <w:color w:val="000000"/>
          <w:sz w:val="20"/>
        </w:rPr>
        <w:t>million and $40.1</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360" w:after="283"/>
        <w:jc w:val="left"/>
        <w:rPr>
          <w:rFonts w:ascii="Arial" w:hAnsi="Arial"/>
          <w:b/>
          <w:i/>
          <w:color w:val="000000"/>
          <w:sz w:val="20"/>
        </w:rPr>
      </w:pPr>
      <w:r>
        <w:rPr>
          <w:rFonts w:ascii="Arial" w:hAnsi="Arial"/>
          <w:b/>
          <w:i/>
          <w:color w:val="000000"/>
          <w:sz w:val="20"/>
        </w:rPr>
        <w:t>Concentrations of Credit Risk</w:t>
      </w:r>
    </w:p>
    <w:p>
      <w:pPr>
        <w:pStyle w:val="TextBody"/>
        <w:bidi w:val="0"/>
        <w:spacing w:before="120" w:after="283"/>
        <w:jc w:val="left"/>
        <w:rPr>
          <w:rFonts w:ascii="Arial" w:hAnsi="Arial"/>
          <w:color w:val="000000"/>
          <w:sz w:val="20"/>
        </w:rPr>
      </w:pPr>
      <w:r>
        <w:rPr>
          <w:rFonts w:ascii="Arial" w:hAnsi="Arial"/>
          <w:color w:val="000000"/>
          <w:sz w:val="20"/>
        </w:rPr>
        <w:t>Financial instruments that potentially subject the Company to concentrations of credit risk consist of cash, cash equivalents and investments. The Company’s cash is invested through financial institutions in the United States. The Company’s investments consist of debt securities, issued by highly rated corporate entities or the U.S. government, and asset-backed securities. The Company’s exposure to any individual corporate entity is limited by its investment policy. Deposits have and will continue to exceed federally insured limits. The Company invests its cash equivalents in highly rated money market funds. The Company has not experienced any credit losses in such accounts.</w:t>
      </w:r>
    </w:p>
    <w:p>
      <w:pPr>
        <w:pStyle w:val="TextBody"/>
        <w:bidi w:val="0"/>
        <w:spacing w:before="240" w:after="283"/>
        <w:jc w:val="left"/>
        <w:rPr>
          <w:rFonts w:ascii="Arial" w:hAnsi="Arial"/>
          <w:color w:val="000000"/>
          <w:sz w:val="20"/>
        </w:rPr>
      </w:pPr>
      <w:r>
        <w:rPr>
          <w:rFonts w:ascii="Arial" w:hAnsi="Arial"/>
          <w:color w:val="000000"/>
          <w:sz w:val="20"/>
        </w:rPr>
        <w:t>The Company is exposed to credit risk in the event of a default by the financial institutions holding its cash to the extent recorded on the condensed balance sheets. Through March 31, 2026, the Company had no off-balance sheet concentrations of credit risk.</w:t>
      </w:r>
    </w:p>
    <w:p>
      <w:pPr>
        <w:pStyle w:val="TextBody"/>
        <w:bidi w:val="0"/>
        <w:spacing w:before="360" w:after="283"/>
        <w:jc w:val="left"/>
        <w:rPr>
          <w:rFonts w:ascii="Arial" w:hAnsi="Arial"/>
          <w:b/>
          <w:i/>
          <w:color w:val="000000"/>
          <w:sz w:val="20"/>
        </w:rPr>
      </w:pPr>
      <w:r>
        <w:rPr>
          <w:rFonts w:ascii="Arial" w:hAnsi="Arial"/>
          <w:b/>
          <w:i/>
          <w:color w:val="000000"/>
          <w:sz w:val="20"/>
        </w:rPr>
        <w:t>Government Contract</w:t>
      </w:r>
    </w:p>
    <w:p>
      <w:pPr>
        <w:pStyle w:val="TextBody"/>
        <w:bidi w:val="0"/>
        <w:spacing w:before="120" w:after="283"/>
        <w:jc w:val="left"/>
        <w:rPr>
          <w:rFonts w:ascii="Times New Roman" w:hAnsi="Times New Roman"/>
          <w:sz w:val="20"/>
        </w:rPr>
      </w:pPr>
      <w:r>
        <w:rPr>
          <w:rFonts w:ascii="Arial" w:hAnsi="Arial"/>
          <w:color w:val="000000"/>
          <w:sz w:val="20"/>
        </w:rPr>
        <w:t>In September 2022, the Company received a cost-reimbursement contract award under which the Company was eligible to receive up to $17.8</w:t>
      </w:r>
      <w:r>
        <w:rPr>
          <w:rFonts w:ascii="Times New Roman" w:hAnsi="Times New Roman"/>
          <w:color w:val="000000"/>
          <w:sz w:val="20"/>
        </w:rPr>
        <w:t xml:space="preserve"> </w:t>
      </w:r>
      <w:r>
        <w:rPr>
          <w:rFonts w:ascii="Arial" w:hAnsi="Arial"/>
          <w:color w:val="000000"/>
          <w:sz w:val="20"/>
        </w:rPr>
        <w:t>million from the U.S. National Institute of Allergy and Infectious Diseases (“NIAID”) to support preclinical, Phase 1 studies and other activities to enable advancement of epetraborole into late-stage development for acute systemic melioidosis and other biothreat pathogens. In April 2025, the Company entered into a contract modification with NIAID for a $0.5</w:t>
      </w:r>
      <w:r>
        <w:rPr>
          <w:rFonts w:ascii="Times New Roman" w:hAnsi="Times New Roman"/>
          <w:color w:val="000000"/>
          <w:sz w:val="20"/>
        </w:rPr>
        <w:t xml:space="preserve"> </w:t>
      </w:r>
      <w:r>
        <w:rPr>
          <w:rFonts w:ascii="Arial" w:hAnsi="Arial"/>
          <w:color w:val="000000"/>
          <w:sz w:val="20"/>
        </w:rPr>
        <w:t>million increase and term extension to an existing NIAID contract option.</w:t>
      </w:r>
      <w:r>
        <w:rPr>
          <w:rFonts w:ascii="Times New Roman" w:hAnsi="Times New Roman"/>
          <w:color w:val="000000"/>
          <w:sz w:val="20"/>
        </w:rPr>
        <w:t xml:space="preserve"> </w:t>
      </w:r>
      <w:r>
        <w:rPr>
          <w:rFonts w:ascii="Arial" w:hAnsi="Arial"/>
          <w:color w:val="000000"/>
          <w:sz w:val="20"/>
        </w:rPr>
        <w:t>In June 2025, as part of a U.S. Government cost efficiency initiative under a 2025 Executive Order, the Company was notified that the NIAID will not exercise certain remaining options under the contract, resulting in a total $9.0</w:t>
      </w:r>
      <w:r>
        <w:rPr>
          <w:rFonts w:ascii="Times New Roman" w:hAnsi="Times New Roman"/>
          <w:color w:val="000000"/>
          <w:sz w:val="20"/>
        </w:rPr>
        <w:t xml:space="preserve"> </w:t>
      </w:r>
      <w:r>
        <w:rPr>
          <w:rFonts w:ascii="Arial" w:hAnsi="Arial"/>
          <w:color w:val="000000"/>
          <w:sz w:val="20"/>
        </w:rPr>
        <w:t>million reduction to the $18.3</w:t>
      </w:r>
      <w:r>
        <w:rPr>
          <w:rFonts w:ascii="Times New Roman" w:hAnsi="Times New Roman"/>
          <w:color w:val="000000"/>
          <w:sz w:val="20"/>
        </w:rPr>
        <w:t xml:space="preserve"> </w:t>
      </w:r>
      <w:r>
        <w:rPr>
          <w:rFonts w:ascii="Arial" w:hAnsi="Arial"/>
          <w:color w:val="000000"/>
          <w:sz w:val="20"/>
        </w:rPr>
        <w:t>million contract, for a total cumulative contract funding of up to $9.3</w:t>
      </w:r>
      <w:r>
        <w:rPr>
          <w:rFonts w:ascii="Times New Roman" w:hAnsi="Times New Roman"/>
          <w:color w:val="000000"/>
          <w:sz w:val="20"/>
        </w:rPr>
        <w:t xml:space="preserve"> </w:t>
      </w:r>
      <w:r>
        <w:rPr>
          <w:rFonts w:ascii="Arial" w:hAnsi="Arial"/>
          <w:color w:val="000000"/>
          <w:sz w:val="20"/>
        </w:rPr>
        <w:t>million. With the completion of pivotal work under the contract, including the manufacture of drug product, the Company is engaged with federal agencies to fund a Phase 2 proof-of-concept clinical trial for acute melioidosis. This project will be funded in whole with Federal funds from the NIAID, National Institutes of Health, and Department of Health and Human Services Contract No. 75N93022C00059. Accounting for this contract does not fall under ASC 606, Revenue from Contracts with Customers, as NIAID will not benefit directly from the advancement of epetraborole. As there was no authoritative guidance under U.S. GAAP on accounting for government assistance to for-profit business entities at the inception of the NIAID contract, the Company applied International Accounting Standards (IAS) 20, Accounting for Government Grants and Disclosure of Government Assistance, by analogy when accounting for the NIAID contract payments to the Company. The Company has not yet adopted Accounting Standards Update 2025-10, which was announced in December 2025 to address accounting for government assistance to for-profit business entities (see Recent Accounting Pronouncements Not Yet Adopted). Under IAS 20, government contract proceeds are recognized when there is reasonable assurance the conditions of the contract will be met and the contract funding will be received. For the NIAID contract, this occurs after the qualifying expenses related to the contract have been incurred, or the Company concludes the conditions of the contract have been substantially met. The income related to the reimbursement of operating expenses is then recorded as a reduction of those expenses (see Note 4 - Funding Arrangements).</w:t>
      </w:r>
    </w:p>
    <w:p>
      <w:pPr>
        <w:pStyle w:val="TextBody"/>
        <w:bidi w:val="0"/>
        <w:spacing w:before="360" w:after="283"/>
        <w:jc w:val="left"/>
        <w:rPr>
          <w:rFonts w:ascii="Arial" w:hAnsi="Arial"/>
          <w:b/>
          <w:i/>
          <w:color w:val="000000"/>
          <w:sz w:val="20"/>
        </w:rPr>
      </w:pPr>
      <w:r>
        <w:rPr>
          <w:rFonts w:ascii="Arial" w:hAnsi="Arial"/>
          <w:b/>
          <w:i/>
          <w:color w:val="000000"/>
          <w:sz w:val="20"/>
        </w:rPr>
        <w:t>Grant Agreements</w:t>
      </w:r>
    </w:p>
    <w:p>
      <w:pPr>
        <w:pStyle w:val="TextBody"/>
        <w:bidi w:val="0"/>
        <w:spacing w:before="120" w:after="283"/>
        <w:jc w:val="left"/>
        <w:rPr>
          <w:rFonts w:ascii="Arial" w:hAnsi="Arial"/>
          <w:color w:val="000000"/>
          <w:sz w:val="20"/>
        </w:rPr>
      </w:pPr>
      <w:r>
        <w:rPr>
          <w:rFonts w:ascii="Arial" w:hAnsi="Arial"/>
          <w:color w:val="000000"/>
          <w:sz w:val="20"/>
        </w:rPr>
        <w:t>The Company recognizes grant proceeds from the Gates Foundation, formerly the Bill and Melinda Gates Foundation, in accordance with ASC 958-605, Not-for-Profit Entities - Revenue Recognition. When qualifying costs are incurred and the conditions of the grant agreement have been met, the Company records a reduction to the research and development expenses incurred and a corresponding grant receivable. Cash received from grants in advance of incurring qualifying costs is recorded as a liability and recognized as a reduction to the qualifying research and development expenses incurred (see Note 4 - Funding Arrangements).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Comprehensive Loss</w:t>
      </w:r>
    </w:p>
    <w:p>
      <w:pPr>
        <w:pStyle w:val="TextBody"/>
        <w:bidi w:val="0"/>
        <w:spacing w:before="120" w:after="283"/>
        <w:jc w:val="left"/>
        <w:rPr>
          <w:rFonts w:ascii="Times New Roman" w:hAnsi="Times New Roman"/>
          <w:sz w:val="20"/>
        </w:rPr>
      </w:pPr>
      <w:r>
        <w:rPr>
          <w:rFonts w:ascii="Arial" w:hAnsi="Arial"/>
          <w:color w:val="000000"/>
          <w:sz w:val="20"/>
        </w:rPr>
        <w:t>Comprehensive loss includes net loss and certain changes in stockholders’ equity that are excluded from net loss. The Company’s other comprehensive loss consists of net changes in unrealized gains and losses on its available-for-sale investments. For the three months ended March 31, 2026 and 2025, the Company had an insignificant net unrealized loss and gain</w:t>
      </w:r>
      <w:r>
        <w:rPr>
          <w:rFonts w:ascii="Times New Roman" w:hAnsi="Times New Roman"/>
          <w:color w:val="000000"/>
          <w:sz w:val="20"/>
        </w:rPr>
        <w:t xml:space="preserve"> </w:t>
      </w:r>
      <w:r>
        <w:rPr>
          <w:rFonts w:ascii="Arial" w:hAnsi="Arial"/>
          <w:color w:val="000000"/>
          <w:sz w:val="20"/>
        </w:rPr>
        <w:t>on available-for-sale investments, respectively.</w:t>
      </w:r>
    </w:p>
    <w:p>
      <w:pPr>
        <w:pStyle w:val="TextBody"/>
        <w:bidi w:val="0"/>
        <w:spacing w:before="360" w:after="283"/>
        <w:jc w:val="left"/>
        <w:rPr>
          <w:rFonts w:ascii="Arial" w:hAnsi="Arial"/>
          <w:b/>
          <w:i/>
          <w:color w:val="000000"/>
          <w:sz w:val="20"/>
        </w:rPr>
      </w:pPr>
      <w:r>
        <w:rPr>
          <w:rFonts w:ascii="Arial" w:hAnsi="Arial"/>
          <w:b/>
          <w:i/>
          <w:color w:val="000000"/>
          <w:sz w:val="20"/>
        </w:rPr>
        <w:t>Net Loss Per Share</w:t>
      </w:r>
    </w:p>
    <w:p>
      <w:pPr>
        <w:pStyle w:val="TextBody"/>
        <w:bidi w:val="0"/>
        <w:spacing w:before="120" w:after="283"/>
        <w:jc w:val="left"/>
        <w:rPr>
          <w:rFonts w:ascii="Times New Roman" w:hAnsi="Times New Roman"/>
          <w:sz w:val="20"/>
        </w:rPr>
      </w:pPr>
      <w:r>
        <w:rPr>
          <w:rFonts w:ascii="Arial" w:hAnsi="Arial"/>
          <w:color w:val="000000"/>
          <w:sz w:val="20"/>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stock options, unvested restricted stock units (“RSUs”), common stock subject to repurchase related to unvested early exercise of stock options, and shares committed under the Company’s 2022 Employee Stock Purchase Plan (“ESPP”) are considered to be potentially dilutive securities. Basic and diluted net loss attributable to common stockholders per share is presented in conformity with the two-class method required for participating securities. The Company also considers the shares issued upon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the Company’s losses. As such, the net loss was attributed entirely to common stockholders. In June 2025, the Company entered into exchange agreements with existing stockholders to exchange 2,952,000</w:t>
      </w:r>
      <w:r>
        <w:rPr>
          <w:rFonts w:ascii="Times New Roman" w:hAnsi="Times New Roman"/>
          <w:color w:val="000000"/>
          <w:sz w:val="20"/>
        </w:rPr>
        <w:t xml:space="preserve"> </w:t>
      </w:r>
      <w:r>
        <w:rPr>
          <w:rFonts w:ascii="Arial" w:hAnsi="Arial"/>
          <w:color w:val="000000"/>
          <w:sz w:val="20"/>
        </w:rPr>
        <w:t>shares of the Company’s common stock for pre-funded warrants (the “2025 Pre-Funded Warrants”) for an equivalent number of shares of common stock at a nominal exercise price of $0.00001</w:t>
      </w:r>
      <w:r>
        <w:rPr>
          <w:rFonts w:ascii="Times New Roman" w:hAnsi="Times New Roman"/>
          <w:color w:val="000000"/>
          <w:sz w:val="20"/>
        </w:rPr>
        <w:t xml:space="preserve"> </w:t>
      </w:r>
      <w:r>
        <w:rPr>
          <w:rFonts w:ascii="Arial" w:hAnsi="Arial"/>
          <w:color w:val="000000"/>
          <w:sz w:val="20"/>
        </w:rPr>
        <w:t>per share. In March 2026, the Company entered into a Securities Purchase Agreement which provided for the sale and issuance by the Company of an aggregate of: (i) 8,245,611</w:t>
      </w:r>
      <w:r>
        <w:rPr>
          <w:rFonts w:ascii="Times New Roman" w:hAnsi="Times New Roman"/>
          <w:color w:val="000000"/>
          <w:sz w:val="20"/>
        </w:rPr>
        <w:t xml:space="preserve"> </w:t>
      </w:r>
      <w:r>
        <w:rPr>
          <w:rFonts w:ascii="Arial" w:hAnsi="Arial"/>
          <w:color w:val="000000"/>
          <w:sz w:val="20"/>
        </w:rPr>
        <w:t>shares of the Company’s common stock and (ii) pre-funded warrants to purchase up to an aggregate of 5,789,493</w:t>
      </w:r>
      <w:r>
        <w:rPr>
          <w:rFonts w:ascii="Times New Roman" w:hAnsi="Times New Roman"/>
          <w:color w:val="000000"/>
          <w:sz w:val="20"/>
        </w:rPr>
        <w:t xml:space="preserve"> </w:t>
      </w:r>
      <w:r>
        <w:rPr>
          <w:rFonts w:ascii="Arial" w:hAnsi="Arial"/>
          <w:color w:val="000000"/>
          <w:sz w:val="20"/>
        </w:rPr>
        <w:t>shares of common stock (the “2026 Pre-Funded Warrants”). The shares of common stock underlying the 2026 Pre-Funded Warrants and 2025 Pre-Funded Warrants are considered outstanding for the purposes of computing net loss per share because the shares may be issued for little or no consideration, they are fully vested and the Warrants are immediately exercisable upon their issuance date. Because the Company has reported a net loss for all periods presented, diluted net loss per share is the same as basic net loss per share for those periods because the impact of potentially dilutive securities would be anti-dilutive.</w:t>
      </w:r>
    </w:p>
    <w:p>
      <w:pPr>
        <w:pStyle w:val="TextBody"/>
        <w:bidi w:val="0"/>
        <w:spacing w:before="360" w:after="283"/>
        <w:jc w:val="left"/>
        <w:rPr>
          <w:rFonts w:ascii="Times New Roman" w:hAnsi="Times New Roman"/>
          <w:sz w:val="20"/>
        </w:rPr>
      </w:pPr>
      <w:r>
        <w:rPr>
          <w:rFonts w:ascii="Arial" w:hAnsi="Arial"/>
          <w:b/>
          <w:i/>
          <w:color w:val="000000"/>
          <w:sz w:val="20"/>
        </w:rPr>
        <w:t>JOBS Act Accounting Election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the Company (i) is no longer an emerging growth company or (ii) affirmatively and irrevocably opts out of the extended transition period provided in the JOBS Act. The Company may take advantage of these provisions until December 2027, unless the Company ceases to be an emerging growth company at an earlier date. As a result, these financial statements may not be comparable to companies that comply with new or revised accounting pronouncements as of public company effective dates.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Recently Adopted Accounting Pronouncements</w:t>
      </w:r>
    </w:p>
    <w:p>
      <w:pPr>
        <w:pStyle w:val="TextBody"/>
        <w:bidi w:val="0"/>
        <w:spacing w:before="120" w:after="283"/>
        <w:jc w:val="left"/>
        <w:rPr>
          <w:rFonts w:ascii="Times New Roman" w:hAnsi="Times New Roman"/>
          <w:sz w:val="20"/>
        </w:rPr>
      </w:pPr>
      <w:r>
        <w:rPr>
          <w:rFonts w:ascii="Arial" w:hAnsi="Arial"/>
          <w:color w:val="000000"/>
          <w:sz w:val="20"/>
        </w:rPr>
        <w:t>In August 2020, the FASB issued ASU 2020-06, Debt - Debt with Conversion and Other Options (Subtopic 470-20) and Derivatives and Hedging-Contracts in Entity’s Own Equity (Subtopic 815-40), Accounting for Convertible Instruments and Contracts in an Entity’s Own Equity (“ASU 2020-06”). ASU 2020-06 simplifies the accounting for convertible instruments by reducing the number of accounting models available for convertible debt instruments, replacing the treasury stock method with the if-converted method for calculation of diluted earnings per share, and removing certain settlement conditions that are required for equity contracts to qualify for the derivative scope exception. ASU 2020-06 was effective for annual periods beginning after December 15, 2023, but was not applicable to the Company at that time. The Company adopted</w:t>
      </w:r>
      <w:r>
        <w:rPr>
          <w:rFonts w:ascii="Times New Roman" w:hAnsi="Times New Roman"/>
          <w:color w:val="000000"/>
          <w:sz w:val="20"/>
        </w:rPr>
        <w:t xml:space="preserve"> </w:t>
      </w:r>
      <w:r>
        <w:rPr>
          <w:rFonts w:ascii="Arial" w:hAnsi="Arial"/>
          <w:color w:val="000000"/>
          <w:sz w:val="20"/>
        </w:rPr>
        <w:t>ASU 2020-06 on June 17, 2025</w:t>
      </w:r>
      <w:r>
        <w:rPr>
          <w:rFonts w:ascii="Times New Roman" w:hAnsi="Times New Roman"/>
          <w:color w:val="000000"/>
          <w:sz w:val="20"/>
        </w:rPr>
        <w:t xml:space="preserve"> </w:t>
      </w:r>
      <w:r>
        <w:rPr>
          <w:rFonts w:ascii="Arial" w:hAnsi="Arial"/>
          <w:color w:val="000000"/>
          <w:sz w:val="20"/>
        </w:rPr>
        <w:t>using the modified retrospective method in connection with accounting for the pre-funded warrant exchange (See Note 8 – Equity, Issuance of Pre-Funded Warrants in Exchange for Common Stock). Adoption of this standard did not have any impact on the Company's financial statements or net loss per share amounts.</w:t>
      </w:r>
    </w:p>
    <w:p>
      <w:pPr>
        <w:pStyle w:val="TextBody"/>
        <w:bidi w:val="0"/>
        <w:spacing w:before="240" w:after="283"/>
        <w:jc w:val="left"/>
        <w:rPr>
          <w:rFonts w:ascii="Times New Roman" w:hAnsi="Times New Roman"/>
          <w:sz w:val="20"/>
        </w:rPr>
      </w:pPr>
      <w:r>
        <w:rPr>
          <w:rFonts w:ascii="Arial" w:hAnsi="Arial"/>
          <w:color w:val="000000"/>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adopted</w:t>
      </w:r>
      <w:r>
        <w:rPr>
          <w:rFonts w:ascii="Times New Roman" w:hAnsi="Times New Roman"/>
          <w:color w:val="000000"/>
          <w:sz w:val="20"/>
        </w:rPr>
        <w:t xml:space="preserve"> </w:t>
      </w:r>
      <w:r>
        <w:rPr>
          <w:rFonts w:ascii="Arial" w:hAnsi="Arial"/>
          <w:color w:val="000000"/>
          <w:sz w:val="20"/>
        </w:rPr>
        <w:t>ASU 2023-09 for the year ended December 31, 2025, prospectively. Newly required disclosures were included in</w:t>
      </w:r>
      <w:r>
        <w:rPr>
          <w:rFonts w:ascii="Times New Roman" w:hAnsi="Times New Roman"/>
          <w:color w:val="000000"/>
          <w:sz w:val="20"/>
        </w:rPr>
        <w:t xml:space="preserve"> </w:t>
      </w:r>
      <w:r>
        <w:rPr>
          <w:rFonts w:ascii="Arial" w:hAnsi="Arial"/>
          <w:color w:val="000000"/>
          <w:sz w:val="20"/>
        </w:rPr>
        <w:t>Note 10 - Income Taxes in the Company’s Annual Report on Form 10-K for the year ended December 31, 2025, as filed with the SEC, dated March 17, 2026.</w:t>
      </w:r>
    </w:p>
    <w:p>
      <w:pPr>
        <w:pStyle w:val="TextBody"/>
        <w:bidi w:val="0"/>
        <w:spacing w:before="240" w:after="283"/>
        <w:jc w:val="left"/>
        <w:rPr>
          <w:rFonts w:ascii="Arial" w:hAnsi="Arial"/>
          <w:color w:val="000000"/>
          <w:sz w:val="20"/>
        </w:rPr>
      </w:pPr>
      <w:r>
        <w:rPr>
          <w:rFonts w:ascii="Arial" w:hAnsi="Arial"/>
          <w:color w:val="000000"/>
          <w:sz w:val="20"/>
        </w:rPr>
        <w:t>On July 4, 2025, the U.S. government enacted the One Big Beautiful Bill Act (the “OBBBA”), which includes several changes to U.S. federal income tax law, including the temporary and permanent extension of certain expiring provisions of the Tax Cuts and Jobs Act of 2017. Adoption of the relevant provisions of the OBBBA did not have a material impact on the Company's financial statements and related disclosures. The Company will continue to monitor the impact of the OBBBA in future periods.</w:t>
      </w:r>
    </w:p>
    <w:p>
      <w:pPr>
        <w:pStyle w:val="TextBody"/>
        <w:bidi w:val="0"/>
        <w:spacing w:before="360" w:after="283"/>
        <w:jc w:val="left"/>
        <w:rPr>
          <w:rFonts w:ascii="Arial" w:hAnsi="Arial"/>
          <w:b/>
          <w:i/>
          <w:color w:val="000000"/>
          <w:sz w:val="20"/>
        </w:rPr>
      </w:pPr>
      <w:r>
        <w:rPr>
          <w:rFonts w:ascii="Arial" w:hAnsi="Arial"/>
          <w:b/>
          <w:i/>
          <w:color w:val="000000"/>
          <w:sz w:val="20"/>
        </w:rPr>
        <w:t>Recent Accounting Pronouncements Not Yet Adopted</w:t>
      </w:r>
    </w:p>
    <w:p>
      <w:pPr>
        <w:pStyle w:val="TextBody"/>
        <w:bidi w:val="0"/>
        <w:spacing w:before="120" w:after="283"/>
        <w:jc w:val="left"/>
        <w:rPr>
          <w:rFonts w:ascii="Arial" w:hAnsi="Arial"/>
          <w:color w:val="000000"/>
          <w:sz w:val="20"/>
        </w:rPr>
      </w:pPr>
      <w:r>
        <w:rPr>
          <w:rFonts w:ascii="Arial" w:hAnsi="Arial"/>
          <w:color w:val="000000"/>
          <w:sz w:val="20"/>
        </w:rPr>
        <w:t>From time to time, new accounting pronouncements are issued by the FASB or other standard setting bodies and adopted by the Company as of the specified effective date. Unless otherwise noted, the Company believes that the impact of recently issued standards that are not yet effective will not have a material impact on its condensed financial statements and disclosures. As an “emerging growth” company, it has been the Company’s intention to take advantage of certain temporary exemptions from various reporting requirements, as well as taking advantage of additional transitional relief.</w:t>
      </w:r>
    </w:p>
    <w:p>
      <w:pPr>
        <w:pStyle w:val="TextBody"/>
        <w:bidi w:val="0"/>
        <w:spacing w:before="240" w:after="283"/>
        <w:jc w:val="left"/>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 xml:space="preserve">Income Statement—Reporting Comprehensive Income—Expense Disaggregation Disclosures (Subtopic 220-40): Disaggregation of Income Statement Expenses </w:t>
      </w:r>
      <w:r>
        <w:rPr>
          <w:rFonts w:ascii="Arial" w:hAnsi="Arial"/>
          <w:color w:val="000000"/>
          <w:sz w:val="20"/>
        </w:rPr>
        <w:t xml:space="preserve">(“ASU 2024-03”), and in January 2025, the FASB issued ASU 2025-01, </w:t>
      </w:r>
      <w:r>
        <w:rPr>
          <w:rFonts w:ascii="Arial" w:hAnsi="Arial"/>
          <w:i/>
          <w:color w:val="000000"/>
          <w:sz w:val="20"/>
        </w:rPr>
        <w:t>Income Statement—Reporting Comprehensive Income—Expense Disaggregation Disclosures (Subtopic 220-40): Clarifying the Effective Date</w:t>
      </w:r>
      <w:r>
        <w:rPr>
          <w:rFonts w:ascii="Arial" w:hAnsi="Arial"/>
          <w:color w:val="000000"/>
          <w:sz w:val="20"/>
        </w:rPr>
        <w:t>, which clarified the effective date of ASU 2024-03. ASU 2024-03 will require the Company to disclose the amounts of purchases of inventory, employee compensation, depreciation and intangible asset amortization, as applicable, included in certain expense captions in the Statements of Operations, as well as qualitatively describe remaining amounts included in those captions. ASU 2024-03 will also require the Company to disclose both the amount and the Company’s definition of selling expenses. ASU 2024-03 is effective for annual periods beginning after December 15, 2026 and may be adopted on a prospective or retrospective basis. Early adoption is permitted. The Company is evaluating the impact of this standard on its financial statements and related disclosures.</w:t>
      </w:r>
    </w:p>
    <w:p>
      <w:pPr>
        <w:pStyle w:val="TextBody"/>
        <w:bidi w:val="0"/>
        <w:spacing w:before="240" w:after="283"/>
        <w:jc w:val="left"/>
        <w:rPr>
          <w:rFonts w:ascii="Times New Roman" w:hAnsi="Times New Roman"/>
          <w:sz w:val="20"/>
        </w:rPr>
      </w:pPr>
      <w:r>
        <w:rPr>
          <w:rFonts w:ascii="Arial" w:hAnsi="Arial"/>
          <w:color w:val="000000"/>
          <w:sz w:val="20"/>
        </w:rPr>
        <w:t>In December 2025, the FASB issued ASU 2025-10,</w:t>
      </w:r>
      <w:r>
        <w:rPr>
          <w:rFonts w:ascii="Times New Roman" w:hAnsi="Times New Roman"/>
          <w:color w:val="000000"/>
          <w:sz w:val="20"/>
        </w:rPr>
        <w:t xml:space="preserve"> </w:t>
      </w:r>
      <w:r>
        <w:rPr>
          <w:rFonts w:ascii="Arial" w:hAnsi="Arial"/>
          <w:i/>
          <w:color w:val="000000"/>
          <w:sz w:val="20"/>
        </w:rPr>
        <w:t>Government Grants</w:t>
      </w:r>
      <w:r>
        <w:rPr>
          <w:rFonts w:ascii="Times New Roman" w:hAnsi="Times New Roman"/>
          <w:color w:val="000000"/>
          <w:sz w:val="20"/>
        </w:rPr>
        <w:t xml:space="preserve"> </w:t>
      </w:r>
      <w:r>
        <w:rPr>
          <w:rFonts w:ascii="Arial" w:hAnsi="Arial"/>
          <w:color w:val="000000"/>
          <w:sz w:val="20"/>
        </w:rPr>
        <w:t>(Topic 832) (“ASU 2025-10”), which adds guidance to ASC 832, Government Assistance, on the recognition, measurement, and presentation of government grants. ASU 2025-10 is effective for fiscal years, including interim reporting periods within those fiscal years, beginning after December 15, 2028 and may be adopted on a modified prospective or modified or full retrospective basis. Early adoption is permitted. The Company is evaluating the impact of this standard on its financial statements and related disclosures.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In December 2025, the FASB issued ASU 2025-11,</w:t>
      </w:r>
      <w:r>
        <w:rPr>
          <w:rFonts w:ascii="Times New Roman" w:hAnsi="Times New Roman"/>
          <w:color w:val="000000"/>
          <w:sz w:val="20"/>
        </w:rPr>
        <w:t xml:space="preserve"> </w:t>
      </w:r>
      <w:r>
        <w:rPr>
          <w:rFonts w:ascii="Arial" w:hAnsi="Arial"/>
          <w:i/>
          <w:color w:val="000000"/>
          <w:sz w:val="20"/>
        </w:rPr>
        <w:t>Interim Reporting</w:t>
      </w:r>
      <w:r>
        <w:rPr>
          <w:rFonts w:ascii="Times New Roman" w:hAnsi="Times New Roman"/>
          <w:color w:val="000000"/>
          <w:sz w:val="20"/>
        </w:rPr>
        <w:t xml:space="preserve"> </w:t>
      </w:r>
      <w:r>
        <w:rPr>
          <w:rFonts w:ascii="Arial" w:hAnsi="Arial"/>
          <w:color w:val="000000"/>
          <w:sz w:val="20"/>
        </w:rPr>
        <w:t>(“ASU 2025-11”), which clarifies guidance on interim reporting. ASU 2025-11 is effective for interim periods within annual reporting periods beginning after December 15, 2027 and may be adopted on a prospective or retrospective basis. Early adoption is permitted. The Company is evaluating the impact of this standard on its financial statements and related disclosures.</w:t>
      </w:r>
    </w:p>
    <w:p>
      <w:pPr>
        <w:pStyle w:val="TextBody"/>
        <w:bidi w:val="0"/>
        <w:spacing w:before="360" w:after="283"/>
        <w:jc w:val="left"/>
        <w:rPr>
          <w:rFonts w:ascii="Arial" w:hAnsi="Arial"/>
          <w:b/>
          <w:color w:val="000000"/>
          <w:sz w:val="20"/>
        </w:rPr>
      </w:pPr>
      <w:r>
        <w:rPr>
          <w:rFonts w:ascii="Arial" w:hAnsi="Arial"/>
          <w:b/>
          <w:color w:val="000000"/>
          <w:sz w:val="20"/>
        </w:rPr>
        <w:t>Note 3. Fair Value Measurements</w:t>
      </w:r>
    </w:p>
    <w:p>
      <w:pPr>
        <w:pStyle w:val="TextBody"/>
        <w:bidi w:val="0"/>
        <w:spacing w:before="120" w:after="283"/>
        <w:jc w:val="left"/>
        <w:rPr>
          <w:rFonts w:ascii="Arial" w:hAnsi="Arial"/>
          <w:color w:val="000000"/>
          <w:sz w:val="20"/>
        </w:rPr>
      </w:pPr>
      <w:r>
        <w:rPr>
          <w:rFonts w:ascii="Arial" w:hAnsi="Arial"/>
          <w:color w:val="000000"/>
          <w:sz w:val="20"/>
        </w:rPr>
        <w:t>The Company records certain financial assets and liabilities at fair value.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1: Inputs which include quoted prices in active markets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2: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3: Unobservable inputs that are supported by little or no market activity and that are significant to the fair value of the assets or liabilities.</w:t>
      </w:r>
    </w:p>
    <w:p>
      <w:pPr>
        <w:pStyle w:val="TextBody"/>
        <w:bidi w:val="0"/>
        <w:spacing w:before="240" w:after="283"/>
        <w:jc w:val="left"/>
        <w:rPr>
          <w:rFonts w:ascii="Arial" w:hAnsi="Arial"/>
          <w:color w:val="000000"/>
          <w:sz w:val="20"/>
        </w:rPr>
      </w:pPr>
      <w:r>
        <w:rPr>
          <w:rFonts w:ascii="Arial" w:hAnsi="Arial"/>
          <w:color w:val="000000"/>
          <w:sz w:val="20"/>
        </w:rPr>
        <w:t>The Company’s primary financial instruments include cash, cash equivalents and investments, accounts payable, and accrued liabilities. The carrying amounts of the Company’s financial instruments, other than cash equivalents and investments, approximate fair value due to their relatively short maturities.</w:t>
      </w:r>
    </w:p>
    <w:p>
      <w:pPr>
        <w:pStyle w:val="TextBody"/>
        <w:bidi w:val="0"/>
        <w:spacing w:before="240" w:after="200"/>
        <w:jc w:val="left"/>
        <w:rPr>
          <w:rFonts w:ascii="Times New Roman" w:hAnsi="Times New Roman"/>
          <w:sz w:val="20"/>
        </w:rPr>
      </w:pPr>
      <w:r>
        <w:rPr>
          <w:rFonts w:ascii="Arial" w:hAnsi="Arial"/>
          <w:color w:val="000000"/>
          <w:sz w:val="20"/>
        </w:rPr>
        <w:t>The following table presents the Company’s financial assets, which consist of cash equivalents and investments classified as available-for-sale investments, that are measured at fair value on a recurring basis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786"/>
        <w:gridCol w:w="146"/>
        <w:gridCol w:w="677"/>
        <w:gridCol w:w="146"/>
        <w:gridCol w:w="279"/>
        <w:gridCol w:w="922"/>
        <w:gridCol w:w="146"/>
        <w:gridCol w:w="146"/>
        <w:gridCol w:w="460"/>
        <w:gridCol w:w="756"/>
        <w:gridCol w:w="146"/>
        <w:gridCol w:w="146"/>
        <w:gridCol w:w="441"/>
        <w:gridCol w:w="785"/>
        <w:gridCol w:w="166"/>
        <w:gridCol w:w="146"/>
        <w:gridCol w:w="335"/>
        <w:gridCol w:w="1099"/>
        <w:gridCol w:w="477"/>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Fair Value</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35,853</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16,787</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2,482</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7,084</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4,957</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67,659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67,654</w:t>
            </w:r>
          </w:p>
        </w:tc>
        <w:tc>
          <w:tcPr>
            <w:tcW w:w="4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86"/>
        <w:gridCol w:w="146"/>
        <w:gridCol w:w="677"/>
        <w:gridCol w:w="146"/>
        <w:gridCol w:w="279"/>
        <w:gridCol w:w="922"/>
        <w:gridCol w:w="146"/>
        <w:gridCol w:w="146"/>
        <w:gridCol w:w="460"/>
        <w:gridCol w:w="756"/>
        <w:gridCol w:w="146"/>
        <w:gridCol w:w="146"/>
        <w:gridCol w:w="464"/>
        <w:gridCol w:w="762"/>
        <w:gridCol w:w="166"/>
        <w:gridCol w:w="146"/>
        <w:gridCol w:w="335"/>
        <w:gridCol w:w="1099"/>
        <w:gridCol w:w="477"/>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9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Fair Value</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7,104</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22,841</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3,964</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6,810</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3,957</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1,508</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47,724</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The Company classifies its money market funds and U.S. Treasury securities, which are valued based on quoted market prices in active markets with no valuation adjustment, as Level 1 assets within the fair value hierarchy.</w:t>
      </w:r>
    </w:p>
    <w:p>
      <w:pPr>
        <w:pStyle w:val="TextBody"/>
        <w:bidi w:val="0"/>
        <w:spacing w:before="240" w:after="283"/>
        <w:jc w:val="left"/>
        <w:rPr>
          <w:rFonts w:ascii="Times New Roman" w:hAnsi="Times New Roman"/>
          <w:sz w:val="20"/>
        </w:rPr>
      </w:pPr>
      <w:r>
        <w:rPr>
          <w:rFonts w:ascii="Arial" w:hAnsi="Arial"/>
          <w:color w:val="000000"/>
          <w:sz w:val="20"/>
        </w:rPr>
        <w:t>The Company classifies its investments in commercial paper, corporate debt securities, U.S. government agency securities and U.S. Treasury securities</w:t>
      </w:r>
      <w:r>
        <w:rPr>
          <w:rFonts w:ascii="Times New Roman" w:hAnsi="Times New Roman"/>
          <w:color w:val="000000"/>
          <w:sz w:val="20"/>
        </w:rPr>
        <w:t xml:space="preserve"> </w:t>
      </w:r>
      <w:r>
        <w:rPr>
          <w:rFonts w:ascii="Arial" w:hAnsi="Arial"/>
          <w:color w:val="000000"/>
          <w:sz w:val="20"/>
        </w:rPr>
        <w:t>as Level 2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w:t>
      </w:r>
      <w:r>
        <w:rPr>
          <w:rFonts w:ascii="Times New Roman" w:hAnsi="Times New Roman"/>
          <w:color w:val="000000"/>
          <w:sz w:val="20"/>
        </w:rPr>
        <w:t xml:space="preserve"> </w:t>
      </w:r>
      <w:r>
        <w:rPr>
          <w:rFonts w:ascii="Arial" w:hAnsi="Arial"/>
          <w:color w:val="000000"/>
          <w:sz w:val="20"/>
        </w:rPr>
        <w:t>transfers of financial instruments between valuation levels during the three months ended March 31, 2026.</w:t>
      </w:r>
    </w:p>
    <w:p>
      <w:pPr>
        <w:pStyle w:val="TextBody"/>
        <w:bidi w:val="0"/>
        <w:spacing w:before="240" w:after="283"/>
        <w:jc w:val="left"/>
        <w:rPr>
          <w:rFonts w:ascii="Arial" w:hAnsi="Arial"/>
          <w:color w:val="000000"/>
          <w:sz w:val="20"/>
        </w:rPr>
      </w:pPr>
      <w:r>
        <w:rPr>
          <w:rFonts w:ascii="Arial" w:hAnsi="Arial"/>
          <w:color w:val="000000"/>
          <w:sz w:val="20"/>
        </w:rPr>
        <w:t>As of March 31, 2026, none of the Company’s available-for-sale investments that were in an unrealized loss position had been in an unrealized loss position for more than 12 months. During the three months ended March 31, 2026 and 2025, the Company did not sell any available-for-sale investments.</w:t>
      </w:r>
    </w:p>
    <w:p>
      <w:pPr>
        <w:pStyle w:val="TextBody"/>
        <w:bidi w:val="0"/>
        <w:spacing w:before="240" w:after="283"/>
        <w:jc w:val="left"/>
        <w:rPr>
          <w:rFonts w:ascii="Arial" w:hAnsi="Arial"/>
          <w:color w:val="000000"/>
          <w:sz w:val="20"/>
        </w:rPr>
      </w:pPr>
      <w:r>
        <w:rPr>
          <w:rFonts w:ascii="Arial" w:hAnsi="Arial"/>
          <w:color w:val="000000"/>
          <w:sz w:val="20"/>
        </w:rPr>
        <w:t>As of March 31, 2026, the Company’s short-term investments had maturities of less than one year from the balance sheet date. As of December 31, 2025, the Company’s long-term investments had maturities of between one and two years from the balance sheet date.</w:t>
      </w:r>
    </w:p>
    <w:p>
      <w:pPr>
        <w:pStyle w:val="TextBody"/>
        <w:bidi w:val="0"/>
        <w:spacing w:before="240" w:after="283"/>
        <w:jc w:val="left"/>
        <w:rPr>
          <w:rFonts w:ascii="Times New Roman" w:hAnsi="Times New Roman"/>
          <w:sz w:val="20"/>
        </w:rPr>
      </w:pPr>
      <w:r>
        <w:rPr>
          <w:rFonts w:ascii="Arial" w:hAnsi="Arial"/>
          <w:color w:val="000000"/>
          <w:sz w:val="20"/>
        </w:rPr>
        <w:t>The Company does not intend to sell the securities in an unrealized loss position and does not expect they will be required to sell the securities before recovery of the unamortized cost basis. Additionally, the Company evaluated its securities for credit losses and considered the decline in market value to be primarily attributable to current economic and market conditions and not credit related. Accordingly, no</w:t>
      </w:r>
      <w:r>
        <w:rPr>
          <w:rFonts w:ascii="Times New Roman" w:hAnsi="Times New Roman"/>
          <w:color w:val="000000"/>
          <w:sz w:val="20"/>
        </w:rPr>
        <w:t xml:space="preserve"> </w:t>
      </w:r>
      <w:r>
        <w:rPr>
          <w:rFonts w:ascii="Arial" w:hAnsi="Arial"/>
          <w:color w:val="000000"/>
          <w:sz w:val="20"/>
        </w:rPr>
        <w:t>allowance for credit losses had been recognized as of March 31, 2026 and December 31, 2025. During the three months ended March 31, 2026 and 2025, the Company did not recognize any impairment losses related to investments.</w:t>
      </w:r>
    </w:p>
    <w:p>
      <w:pPr>
        <w:pStyle w:val="TextBody"/>
        <w:bidi w:val="0"/>
        <w:spacing w:before="240" w:after="283"/>
        <w:jc w:val="left"/>
        <w:rPr>
          <w:rFonts w:ascii="Times New Roman" w:hAnsi="Times New Roman"/>
          <w:sz w:val="20"/>
        </w:rPr>
      </w:pPr>
      <w:r>
        <w:rPr>
          <w:rFonts w:ascii="Arial" w:hAnsi="Arial"/>
          <w:color w:val="000000"/>
          <w:sz w:val="20"/>
        </w:rPr>
        <w:t>As of March 31, 2026 and December 31, 2025, the Company had accrued interest receivable of $0.3</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respectively, which was included in prepaid expenses and other current assets on the balance sheets.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4. Funding Arrangements</w:t>
      </w:r>
    </w:p>
    <w:p>
      <w:pPr>
        <w:pStyle w:val="TextBody"/>
        <w:bidi w:val="0"/>
        <w:spacing w:before="120" w:after="283"/>
        <w:jc w:val="left"/>
        <w:rPr>
          <w:rFonts w:ascii="Arial" w:hAnsi="Arial"/>
          <w:b/>
          <w:i/>
          <w:color w:val="000000"/>
          <w:sz w:val="20"/>
        </w:rPr>
      </w:pPr>
      <w:r>
        <w:rPr>
          <w:rFonts w:ascii="Arial" w:hAnsi="Arial"/>
          <w:b/>
          <w:i/>
          <w:color w:val="000000"/>
          <w:sz w:val="20"/>
        </w:rPr>
        <w:t>NIAID Contract</w:t>
      </w:r>
    </w:p>
    <w:p>
      <w:pPr>
        <w:pStyle w:val="TextBody"/>
        <w:bidi w:val="0"/>
        <w:spacing w:before="120" w:after="283"/>
        <w:jc w:val="left"/>
        <w:rPr>
          <w:rFonts w:ascii="Times New Roman" w:hAnsi="Times New Roman"/>
          <w:sz w:val="20"/>
        </w:rPr>
      </w:pPr>
      <w:r>
        <w:rPr>
          <w:rFonts w:ascii="Arial" w:hAnsi="Arial"/>
          <w:color w:val="000000"/>
          <w:sz w:val="20"/>
        </w:rPr>
        <w:t>In September 2022, the Company received a cost-reimbursement contract award from the NIAID to support preclinical, Phase 1 studies and other activities to enable the advancement of epetraborole into late-stage development for acute systemic melioidosis and other biothreat pathogens. Under the original award, the Company was eligible to receive up to $17.8</w:t>
      </w:r>
      <w:r>
        <w:rPr>
          <w:rFonts w:ascii="Times New Roman" w:hAnsi="Times New Roman"/>
          <w:color w:val="000000"/>
          <w:sz w:val="20"/>
        </w:rPr>
        <w:t xml:space="preserve"> </w:t>
      </w:r>
      <w:r>
        <w:rPr>
          <w:rFonts w:ascii="Arial" w:hAnsi="Arial"/>
          <w:color w:val="000000"/>
          <w:sz w:val="20"/>
        </w:rPr>
        <w:t>million in funding over a total term of 48 months, consisting of a base period and seven option periods. In July 2023 and May 2024, the NIAID exercised two</w:t>
      </w:r>
      <w:r>
        <w:rPr>
          <w:rFonts w:ascii="Times New Roman" w:hAnsi="Times New Roman"/>
          <w:color w:val="000000"/>
          <w:sz w:val="20"/>
        </w:rPr>
        <w:t xml:space="preserve"> </w:t>
      </w:r>
      <w:r>
        <w:rPr>
          <w:rFonts w:ascii="Arial" w:hAnsi="Arial"/>
          <w:color w:val="000000"/>
          <w:sz w:val="20"/>
        </w:rPr>
        <w:t>of seven</w:t>
      </w:r>
      <w:r>
        <w:rPr>
          <w:rFonts w:ascii="Times New Roman" w:hAnsi="Times New Roman"/>
          <w:color w:val="000000"/>
          <w:sz w:val="20"/>
        </w:rPr>
        <w:t xml:space="preserve"> </w:t>
      </w:r>
      <w:r>
        <w:rPr>
          <w:rFonts w:ascii="Arial" w:hAnsi="Arial"/>
          <w:color w:val="000000"/>
          <w:sz w:val="20"/>
        </w:rPr>
        <w:t>available options under the NIAID contract (No: 75N93022C00059), resulting in an increase in committed contract funding of $0.7</w:t>
      </w:r>
      <w:r>
        <w:rPr>
          <w:rFonts w:ascii="Times New Roman" w:hAnsi="Times New Roman"/>
          <w:color w:val="000000"/>
          <w:sz w:val="20"/>
        </w:rPr>
        <w:t xml:space="preserve"> </w:t>
      </w:r>
      <w:r>
        <w:rPr>
          <w:rFonts w:ascii="Arial" w:hAnsi="Arial"/>
          <w:color w:val="000000"/>
          <w:sz w:val="20"/>
        </w:rPr>
        <w:t>million and $3.8</w:t>
      </w:r>
      <w:r>
        <w:rPr>
          <w:rFonts w:ascii="Times New Roman" w:hAnsi="Times New Roman"/>
          <w:color w:val="000000"/>
          <w:sz w:val="20"/>
        </w:rPr>
        <w:t xml:space="preserve"> </w:t>
      </w:r>
      <w:r>
        <w:rPr>
          <w:rFonts w:ascii="Arial" w:hAnsi="Arial"/>
          <w:color w:val="000000"/>
          <w:sz w:val="20"/>
        </w:rPr>
        <w:t>million, respectively, for a cumulative total of $8.8</w:t>
      </w:r>
      <w:r>
        <w:rPr>
          <w:rFonts w:ascii="Times New Roman" w:hAnsi="Times New Roman"/>
          <w:color w:val="000000"/>
          <w:sz w:val="20"/>
        </w:rPr>
        <w:t xml:space="preserve"> </w:t>
      </w:r>
      <w:r>
        <w:rPr>
          <w:rFonts w:ascii="Arial" w:hAnsi="Arial"/>
          <w:color w:val="000000"/>
          <w:sz w:val="20"/>
        </w:rPr>
        <w:t>million. In April 2025, the Company entered into a contract modification with NIAID for a $0.5</w:t>
      </w:r>
      <w:r>
        <w:rPr>
          <w:rFonts w:ascii="Times New Roman" w:hAnsi="Times New Roman"/>
          <w:color w:val="000000"/>
          <w:sz w:val="20"/>
        </w:rPr>
        <w:t xml:space="preserve"> </w:t>
      </w:r>
      <w:r>
        <w:rPr>
          <w:rFonts w:ascii="Arial" w:hAnsi="Arial"/>
          <w:color w:val="000000"/>
          <w:sz w:val="20"/>
        </w:rPr>
        <w:t>million increase and term extension to an existing NIAID contract option. In June 2025, as part of a U.S. government cost efficiency initiative under a 2025 Executive Order, the Company was notified that the NIAID will not exercise certain remaining options under the contract, resulting in a total $9.0</w:t>
      </w:r>
      <w:r>
        <w:rPr>
          <w:rFonts w:ascii="Times New Roman" w:hAnsi="Times New Roman"/>
          <w:color w:val="000000"/>
          <w:sz w:val="20"/>
        </w:rPr>
        <w:t xml:space="preserve"> </w:t>
      </w:r>
      <w:r>
        <w:rPr>
          <w:rFonts w:ascii="Arial" w:hAnsi="Arial"/>
          <w:color w:val="000000"/>
          <w:sz w:val="20"/>
        </w:rPr>
        <w:t>million reduction to the $18.3</w:t>
      </w:r>
      <w:r>
        <w:rPr>
          <w:rFonts w:ascii="Times New Roman" w:hAnsi="Times New Roman"/>
          <w:color w:val="000000"/>
          <w:sz w:val="20"/>
        </w:rPr>
        <w:t xml:space="preserve"> </w:t>
      </w:r>
      <w:r>
        <w:rPr>
          <w:rFonts w:ascii="Arial" w:hAnsi="Arial"/>
          <w:color w:val="000000"/>
          <w:sz w:val="20"/>
        </w:rPr>
        <w:t>million contract, for a cumulative contract total of $9.3</w:t>
      </w:r>
      <w:r>
        <w:rPr>
          <w:rFonts w:ascii="Times New Roman" w:hAnsi="Times New Roman"/>
          <w:color w:val="000000"/>
          <w:sz w:val="20"/>
        </w:rPr>
        <w:t xml:space="preserve"> </w:t>
      </w:r>
      <w:r>
        <w:rPr>
          <w:rFonts w:ascii="Arial" w:hAnsi="Arial"/>
          <w:color w:val="000000"/>
          <w:sz w:val="20"/>
        </w:rPr>
        <w:t>million. Funding for the exercised options extends the estimated completion of the current contract by 29 months</w:t>
      </w:r>
      <w:r>
        <w:rPr>
          <w:rFonts w:ascii="Times New Roman" w:hAnsi="Times New Roman"/>
          <w:color w:val="000000"/>
          <w:sz w:val="20"/>
        </w:rPr>
        <w:t xml:space="preserve"> </w:t>
      </w:r>
      <w:r>
        <w:rPr>
          <w:rFonts w:ascii="Arial" w:hAnsi="Arial"/>
          <w:color w:val="000000"/>
          <w:sz w:val="20"/>
        </w:rPr>
        <w:t>beyond the base period of 18 months</w:t>
      </w:r>
      <w:r>
        <w:rPr>
          <w:rFonts w:ascii="Times New Roman" w:hAnsi="Times New Roman"/>
          <w:color w:val="000000"/>
          <w:sz w:val="20"/>
        </w:rPr>
        <w:t xml:space="preserve"> </w:t>
      </w:r>
      <w:r>
        <w:rPr>
          <w:rFonts w:ascii="Arial" w:hAnsi="Arial"/>
          <w:color w:val="000000"/>
          <w:sz w:val="20"/>
        </w:rPr>
        <w:t>to August 2026.</w:t>
      </w:r>
      <w:r>
        <w:rPr>
          <w:rFonts w:ascii="Times New Roman" w:hAnsi="Times New Roman"/>
          <w:color w:val="000000"/>
          <w:sz w:val="20"/>
        </w:rPr>
        <w:t xml:space="preserve"> </w:t>
      </w:r>
      <w:r>
        <w:rPr>
          <w:rFonts w:ascii="Arial" w:hAnsi="Arial"/>
          <w:color w:val="000000"/>
          <w:sz w:val="20"/>
        </w:rPr>
        <w:t>As of March 31, 2026, a total of $9.3</w:t>
      </w:r>
      <w:r>
        <w:rPr>
          <w:rFonts w:ascii="Times New Roman" w:hAnsi="Times New Roman"/>
          <w:color w:val="000000"/>
          <w:sz w:val="20"/>
        </w:rPr>
        <w:t xml:space="preserve"> </w:t>
      </w:r>
      <w:r>
        <w:rPr>
          <w:rFonts w:ascii="Arial" w:hAnsi="Arial"/>
          <w:color w:val="000000"/>
          <w:sz w:val="20"/>
        </w:rPr>
        <w:t>million of funding has been committed.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During the three months ended March 31, 2026, the Company recorded $0.2</w:t>
      </w:r>
      <w:r>
        <w:rPr>
          <w:rFonts w:ascii="Times New Roman" w:hAnsi="Times New Roman"/>
          <w:color w:val="000000"/>
          <w:sz w:val="20"/>
        </w:rPr>
        <w:t xml:space="preserve"> </w:t>
      </w:r>
      <w:r>
        <w:rPr>
          <w:rFonts w:ascii="Arial" w:hAnsi="Arial"/>
          <w:color w:val="000000"/>
          <w:sz w:val="20"/>
        </w:rPr>
        <w:t>million of income as a reduction in research and development operating expenses under the NIAID contract. As of March 31, 2026, the Company recorded a receivable of $0.7</w:t>
      </w:r>
      <w:r>
        <w:rPr>
          <w:rFonts w:ascii="Times New Roman" w:hAnsi="Times New Roman"/>
          <w:color w:val="000000"/>
          <w:sz w:val="20"/>
        </w:rPr>
        <w:t xml:space="preserve"> </w:t>
      </w:r>
      <w:r>
        <w:rPr>
          <w:rFonts w:ascii="Arial" w:hAnsi="Arial"/>
          <w:color w:val="000000"/>
          <w:sz w:val="20"/>
        </w:rPr>
        <w:t>million which was included in prepaid expenses and other current assets on the balance sheet. During the three months ended March 31, 2025, the Company did not record any income under the NIAID contract as a reduction in research and development operating expenses, and</w:t>
      </w:r>
      <w:r>
        <w:rPr>
          <w:rFonts w:ascii="Times New Roman" w:hAnsi="Times New Roman"/>
          <w:color w:val="000000"/>
          <w:sz w:val="20"/>
        </w:rPr>
        <w:t xml:space="preserve"> </w:t>
      </w:r>
      <w:r>
        <w:rPr>
          <w:rFonts w:ascii="Arial" w:hAnsi="Arial"/>
          <w:color w:val="000000"/>
          <w:sz w:val="20"/>
        </w:rPr>
        <w:t>had recorded a receivable of $0.5</w:t>
      </w:r>
      <w:r>
        <w:rPr>
          <w:rFonts w:ascii="Times New Roman" w:hAnsi="Times New Roman"/>
          <w:color w:val="000000"/>
          <w:sz w:val="20"/>
        </w:rPr>
        <w:t xml:space="preserve"> </w:t>
      </w:r>
      <w:r>
        <w:rPr>
          <w:rFonts w:ascii="Arial" w:hAnsi="Arial"/>
          <w:color w:val="000000"/>
          <w:sz w:val="20"/>
        </w:rPr>
        <w:t>million as of December 31, 2025.</w:t>
      </w:r>
    </w:p>
    <w:p>
      <w:pPr>
        <w:pStyle w:val="TextBody"/>
        <w:bidi w:val="0"/>
        <w:spacing w:before="360" w:after="283"/>
        <w:jc w:val="left"/>
        <w:rPr>
          <w:rFonts w:ascii="Arial" w:hAnsi="Arial"/>
          <w:b/>
          <w:i/>
          <w:color w:val="000000"/>
          <w:sz w:val="20"/>
        </w:rPr>
      </w:pPr>
      <w:r>
        <w:rPr>
          <w:rFonts w:ascii="Arial" w:hAnsi="Arial"/>
          <w:b/>
          <w:i/>
          <w:color w:val="000000"/>
          <w:sz w:val="20"/>
        </w:rPr>
        <w:t>Gates Foundation Grants</w:t>
      </w:r>
    </w:p>
    <w:p>
      <w:pPr>
        <w:pStyle w:val="TextBody"/>
        <w:bidi w:val="0"/>
        <w:spacing w:before="120" w:after="283"/>
        <w:jc w:val="left"/>
        <w:rPr>
          <w:rFonts w:ascii="Times New Roman" w:hAnsi="Times New Roman"/>
          <w:sz w:val="20"/>
        </w:rPr>
      </w:pPr>
      <w:r>
        <w:rPr>
          <w:rFonts w:ascii="Arial" w:hAnsi="Arial"/>
          <w:color w:val="000000"/>
          <w:sz w:val="20"/>
        </w:rPr>
        <w:t>In September 2023, the Company received a cost-reimbursement contract award from the Gates Foundation, formerly the Bill and Melinda Gates Foundation (“2023 BMGF Agreement”), under which the Company was awarded $1.8</w:t>
      </w:r>
      <w:r>
        <w:rPr>
          <w:rFonts w:ascii="Times New Roman" w:hAnsi="Times New Roman"/>
          <w:color w:val="000000"/>
          <w:sz w:val="20"/>
        </w:rPr>
        <w:t xml:space="preserve"> </w:t>
      </w:r>
      <w:r>
        <w:rPr>
          <w:rFonts w:ascii="Arial" w:hAnsi="Arial"/>
          <w:color w:val="000000"/>
          <w:sz w:val="20"/>
        </w:rPr>
        <w:t>million to support the discovery of novel, boron containing small molecules for the treatment of tuberculosis and malaria. The Company is required to apply the funds it receives under the 2023 BMGF Agreement solely toward direct costs related to this research program. The Company received $1.0</w:t>
      </w:r>
      <w:r>
        <w:rPr>
          <w:rFonts w:ascii="Times New Roman" w:hAnsi="Times New Roman"/>
          <w:color w:val="000000"/>
          <w:sz w:val="20"/>
        </w:rPr>
        <w:t xml:space="preserve"> </w:t>
      </w:r>
      <w:r>
        <w:rPr>
          <w:rFonts w:ascii="Arial" w:hAnsi="Arial"/>
          <w:color w:val="000000"/>
          <w:sz w:val="20"/>
        </w:rPr>
        <w:t>million of funding in advance and tracks and reports eligible expenses incurred to the Gates Foundation. In April 2024, the Company received $0.8</w:t>
      </w:r>
      <w:r>
        <w:rPr>
          <w:rFonts w:ascii="Times New Roman" w:hAnsi="Times New Roman"/>
          <w:color w:val="000000"/>
          <w:sz w:val="20"/>
        </w:rPr>
        <w:t xml:space="preserve"> </w:t>
      </w:r>
      <w:r>
        <w:rPr>
          <w:rFonts w:ascii="Arial" w:hAnsi="Arial"/>
          <w:color w:val="000000"/>
          <w:sz w:val="20"/>
        </w:rPr>
        <w:t>million in funding, making the grant fully funded.</w:t>
      </w:r>
    </w:p>
    <w:p>
      <w:pPr>
        <w:pStyle w:val="TextBody"/>
        <w:bidi w:val="0"/>
        <w:spacing w:before="240" w:after="283"/>
        <w:jc w:val="left"/>
        <w:rPr>
          <w:rFonts w:ascii="Times New Roman" w:hAnsi="Times New Roman"/>
          <w:sz w:val="20"/>
        </w:rPr>
      </w:pPr>
      <w:r>
        <w:rPr>
          <w:rFonts w:ascii="Arial" w:hAnsi="Arial"/>
          <w:color w:val="000000"/>
          <w:sz w:val="20"/>
        </w:rPr>
        <w:t>In September 2024, the Company entered into a second-year continuation cost-reimbursement contract award with the Gates Foundation (“2024 BMGF Agreement”) under which the Company was awarded $2.0</w:t>
      </w:r>
      <w:r>
        <w:rPr>
          <w:rFonts w:ascii="Times New Roman" w:hAnsi="Times New Roman"/>
          <w:color w:val="000000"/>
          <w:sz w:val="20"/>
        </w:rPr>
        <w:t xml:space="preserve"> </w:t>
      </w:r>
      <w:r>
        <w:rPr>
          <w:rFonts w:ascii="Arial" w:hAnsi="Arial"/>
          <w:color w:val="000000"/>
          <w:sz w:val="20"/>
        </w:rPr>
        <w:t>million to support an early-stage research program focused on delivering novel leads as starting points for new drugs that can be combined to deliver shorter, safer and simpler TB drug regimens. The Company is required to apply the funds it receives under the 2024 BMGF Agreement solely toward direct costs related to this research program. The Company received $1.1</w:t>
      </w:r>
      <w:r>
        <w:rPr>
          <w:rFonts w:ascii="Times New Roman" w:hAnsi="Times New Roman"/>
          <w:color w:val="000000"/>
          <w:sz w:val="20"/>
        </w:rPr>
        <w:t xml:space="preserve"> </w:t>
      </w:r>
      <w:r>
        <w:rPr>
          <w:rFonts w:ascii="Arial" w:hAnsi="Arial"/>
          <w:color w:val="000000"/>
          <w:sz w:val="20"/>
        </w:rPr>
        <w:t>million of funding in advance and tracks and reports eligible expenses incurred to the Gates Foundation. Any unspent funds and any funds spent that have not yet been incurred are recorded as part of other current liabilities on the balance sheets.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September 2025, the Company entered into a third-year continuation cost-reimbursement contract award with the Gates Foundation (“2025 GF Agreement”) under which the Company was awarded $1.9</w:t>
      </w:r>
      <w:r>
        <w:rPr>
          <w:rFonts w:ascii="Times New Roman" w:hAnsi="Times New Roman"/>
          <w:color w:val="000000"/>
          <w:sz w:val="20"/>
        </w:rPr>
        <w:t xml:space="preserve"> </w:t>
      </w:r>
      <w:r>
        <w:rPr>
          <w:rFonts w:ascii="Arial" w:hAnsi="Arial"/>
          <w:color w:val="000000"/>
          <w:sz w:val="20"/>
        </w:rPr>
        <w:t>million to support an early-stage research program focused on delivering an optimized lead compound for clinical development that can be combined with other compounds to deliver shorter, safer and simpler TB drug regimens. The Company is required to apply the funds it receives under the 2025 GF Agreement solely toward direct costs related to this research program. Any unspent funds and any funds spent that have not yet been incurred are recorded as part of other current liabilities on the balance sheets.</w:t>
      </w:r>
    </w:p>
    <w:p>
      <w:pPr>
        <w:pStyle w:val="TextBody"/>
        <w:bidi w:val="0"/>
        <w:spacing w:before="240" w:after="283"/>
        <w:jc w:val="left"/>
        <w:rPr>
          <w:rFonts w:ascii="Times New Roman" w:hAnsi="Times New Roman"/>
          <w:sz w:val="20"/>
        </w:rPr>
      </w:pPr>
      <w:r>
        <w:rPr>
          <w:rFonts w:ascii="Arial" w:hAnsi="Arial"/>
          <w:color w:val="000000"/>
          <w:sz w:val="20"/>
        </w:rPr>
        <w:t>As of March 31, 2026 and December 31, 2025, $0.6</w:t>
      </w:r>
      <w:r>
        <w:rPr>
          <w:rFonts w:ascii="Times New Roman" w:hAnsi="Times New Roman"/>
          <w:color w:val="000000"/>
          <w:sz w:val="20"/>
        </w:rPr>
        <w:t xml:space="preserve"> </w:t>
      </w:r>
      <w:r>
        <w:rPr>
          <w:rFonts w:ascii="Arial" w:hAnsi="Arial"/>
          <w:color w:val="000000"/>
          <w:sz w:val="20"/>
        </w:rPr>
        <w:t>million and $1.2</w:t>
      </w:r>
      <w:r>
        <w:rPr>
          <w:rFonts w:ascii="Times New Roman" w:hAnsi="Times New Roman"/>
          <w:color w:val="000000"/>
          <w:sz w:val="20"/>
        </w:rPr>
        <w:t xml:space="preserve"> </w:t>
      </w:r>
      <w:r>
        <w:rPr>
          <w:rFonts w:ascii="Arial" w:hAnsi="Arial"/>
          <w:color w:val="000000"/>
          <w:sz w:val="20"/>
        </w:rPr>
        <w:t>million, respectively, was recorded to other current liabilities on the balance sheets. During the three months ended March 31, 2026</w:t>
      </w:r>
      <w:r>
        <w:rPr>
          <w:rFonts w:ascii="Times New Roman" w:hAnsi="Times New Roman"/>
          <w:color w:val="000000"/>
          <w:sz w:val="20"/>
        </w:rPr>
        <w:t xml:space="preserve"> </w:t>
      </w:r>
      <w:r>
        <w:rPr>
          <w:rFonts w:ascii="Arial" w:hAnsi="Arial"/>
          <w:color w:val="000000"/>
          <w:sz w:val="20"/>
        </w:rPr>
        <w:t>the Company recorded income of $0.5</w:t>
      </w:r>
      <w:r>
        <w:rPr>
          <w:rFonts w:ascii="Times New Roman" w:hAnsi="Times New Roman"/>
          <w:color w:val="000000"/>
          <w:sz w:val="20"/>
        </w:rPr>
        <w:t xml:space="preserve"> </w:t>
      </w:r>
      <w:r>
        <w:rPr>
          <w:rFonts w:ascii="Arial" w:hAnsi="Arial"/>
          <w:color w:val="000000"/>
          <w:sz w:val="20"/>
        </w:rPr>
        <w:t>million as a reduction in research and development operating expenses under the 2025 GF Agreement. During the three months ended March 31, 2026 and 2025, the Company recorded no</w:t>
      </w:r>
      <w:r>
        <w:rPr>
          <w:rFonts w:ascii="Times New Roman" w:hAnsi="Times New Roman"/>
          <w:color w:val="000000"/>
          <w:sz w:val="20"/>
        </w:rPr>
        <w:t xml:space="preserve"> </w:t>
      </w:r>
      <w:r>
        <w:rPr>
          <w:rFonts w:ascii="Arial" w:hAnsi="Arial"/>
          <w:color w:val="000000"/>
          <w:sz w:val="20"/>
        </w:rPr>
        <w:t>income and income of</w:t>
      </w:r>
      <w:r>
        <w:rPr>
          <w:rFonts w:ascii="Times New Roman" w:hAnsi="Times New Roman"/>
          <w:color w:val="000000"/>
          <w:sz w:val="20"/>
        </w:rPr>
        <w:t xml:space="preserve"> </w:t>
      </w:r>
      <w:r>
        <w:rPr>
          <w:rFonts w:ascii="Arial" w:hAnsi="Arial"/>
          <w:color w:val="000000"/>
          <w:sz w:val="20"/>
        </w:rPr>
        <w:t>$0.4</w:t>
      </w:r>
      <w:r>
        <w:rPr>
          <w:rFonts w:ascii="Times New Roman" w:hAnsi="Times New Roman"/>
          <w:color w:val="000000"/>
          <w:sz w:val="20"/>
        </w:rPr>
        <w:t xml:space="preserve"> </w:t>
      </w:r>
      <w:r>
        <w:rPr>
          <w:rFonts w:ascii="Arial" w:hAnsi="Arial"/>
          <w:color w:val="000000"/>
          <w:sz w:val="20"/>
        </w:rPr>
        <w:t>million, respectively, as a reduction in research and development operating expenses under the 2024 BMGF Agreement.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5. Collaboration, License and Other Agreements</w:t>
      </w:r>
    </w:p>
    <w:p>
      <w:pPr>
        <w:pStyle w:val="TextBody"/>
        <w:bidi w:val="0"/>
        <w:spacing w:before="120" w:after="283"/>
        <w:jc w:val="left"/>
        <w:rPr>
          <w:rFonts w:ascii="Arial" w:hAnsi="Arial"/>
          <w:b/>
          <w:i/>
          <w:color w:val="000000"/>
          <w:sz w:val="20"/>
        </w:rPr>
      </w:pPr>
      <w:r>
        <w:rPr>
          <w:rFonts w:ascii="Arial" w:hAnsi="Arial"/>
          <w:b/>
          <w:i/>
          <w:color w:val="000000"/>
          <w:sz w:val="20"/>
        </w:rPr>
        <w:t>Anacor Licensing Agreement</w:t>
      </w:r>
    </w:p>
    <w:p>
      <w:pPr>
        <w:pStyle w:val="TextBody"/>
        <w:bidi w:val="0"/>
        <w:spacing w:before="120" w:after="283"/>
        <w:jc w:val="left"/>
        <w:rPr>
          <w:rFonts w:ascii="Times New Roman" w:hAnsi="Times New Roman"/>
          <w:sz w:val="20"/>
        </w:rPr>
      </w:pPr>
      <w:r>
        <w:rPr>
          <w:rFonts w:ascii="Arial" w:hAnsi="Arial"/>
          <w:color w:val="000000"/>
          <w:sz w:val="20"/>
        </w:rPr>
        <w:t>In November 2019, the Company entered into an exclusive worldwide license agreement with Anacor Pharmaceuticals, Inc. (“Anacor”) for certain compounds and other intellectual property controlled by Anacor for the treatment, diagnosis, or prevention of all human diseases (the “Anacor License”). The Anacor License will expire upon expiration of the last to expire royalty term. Either party may terminate the Anacor License for the other party’s material breach following a cure period or immediately upon certain insolvency events relating to the other party. The Company has the right to terminate the agreement at its convenience upon 90-day</w:t>
      </w:r>
      <w:r>
        <w:rPr>
          <w:rFonts w:ascii="Times New Roman" w:hAnsi="Times New Roman"/>
          <w:color w:val="000000"/>
          <w:sz w:val="20"/>
        </w:rPr>
        <w:t xml:space="preserve"> </w:t>
      </w:r>
      <w:r>
        <w:rPr>
          <w:rFonts w:ascii="Arial" w:hAnsi="Arial"/>
          <w:color w:val="000000"/>
          <w:sz w:val="20"/>
        </w:rPr>
        <w:t>written notice until the first regulatory approval or one-year</w:t>
      </w:r>
      <w:r>
        <w:rPr>
          <w:rFonts w:ascii="Times New Roman" w:hAnsi="Times New Roman"/>
          <w:color w:val="000000"/>
          <w:sz w:val="20"/>
        </w:rPr>
        <w:t xml:space="preserve"> </w:t>
      </w:r>
      <w:r>
        <w:rPr>
          <w:rFonts w:ascii="Arial" w:hAnsi="Arial"/>
          <w:color w:val="000000"/>
          <w:sz w:val="20"/>
        </w:rPr>
        <w:t>notice thereafter. Furthermore, upon termination of the Anacor License for any of the foregoing reasons, the rights and licenses within will terminate.</w:t>
      </w:r>
    </w:p>
    <w:p>
      <w:pPr>
        <w:pStyle w:val="TextBody"/>
        <w:bidi w:val="0"/>
        <w:spacing w:before="240" w:after="283"/>
        <w:jc w:val="left"/>
        <w:rPr>
          <w:rFonts w:ascii="Times New Roman" w:hAnsi="Times New Roman"/>
          <w:sz w:val="20"/>
        </w:rPr>
      </w:pPr>
      <w:r>
        <w:rPr>
          <w:rFonts w:ascii="Arial" w:hAnsi="Arial"/>
          <w:color w:val="000000"/>
          <w:sz w:val="20"/>
        </w:rPr>
        <w:t>In exchange for the worldwide, sublicensable, exclusive right and licenses to develop, manufacture, and commercialize the specified compounds, the Company paid Anacor a non-refundable $2.0</w:t>
      </w:r>
      <w:r>
        <w:rPr>
          <w:rFonts w:ascii="Times New Roman" w:hAnsi="Times New Roman"/>
          <w:color w:val="000000"/>
          <w:sz w:val="20"/>
        </w:rPr>
        <w:t xml:space="preserve"> </w:t>
      </w:r>
      <w:r>
        <w:rPr>
          <w:rFonts w:ascii="Arial" w:hAnsi="Arial"/>
          <w:color w:val="000000"/>
          <w:sz w:val="20"/>
        </w:rPr>
        <w:t>million upfront payment and granted Anacor shares of Series A redeemable convertible preferred stock.</w:t>
      </w:r>
    </w:p>
    <w:p>
      <w:pPr>
        <w:pStyle w:val="TextBody"/>
        <w:bidi w:val="0"/>
        <w:spacing w:before="240" w:after="283"/>
        <w:jc w:val="left"/>
        <w:rPr>
          <w:rFonts w:ascii="Times New Roman" w:hAnsi="Times New Roman"/>
          <w:sz w:val="20"/>
        </w:rPr>
      </w:pPr>
      <w:r>
        <w:rPr>
          <w:rFonts w:ascii="Arial" w:hAnsi="Arial"/>
          <w:color w:val="000000"/>
          <w:sz w:val="20"/>
        </w:rPr>
        <w:t>The Company agreed to make further payments to Anacor upon achievement of various development milestones for an aggregate maximum of $2.0</w:t>
      </w:r>
      <w:r>
        <w:rPr>
          <w:rFonts w:ascii="Times New Roman" w:hAnsi="Times New Roman"/>
          <w:color w:val="000000"/>
          <w:sz w:val="20"/>
        </w:rPr>
        <w:t xml:space="preserve"> </w:t>
      </w:r>
      <w:r>
        <w:rPr>
          <w:rFonts w:ascii="Arial" w:hAnsi="Arial"/>
          <w:color w:val="000000"/>
          <w:sz w:val="20"/>
        </w:rPr>
        <w:t>million, upon achievement of various</w:t>
      </w:r>
      <w:r>
        <w:rPr>
          <w:rFonts w:ascii="Times New Roman" w:hAnsi="Times New Roman"/>
          <w:color w:val="000000"/>
          <w:sz w:val="20"/>
        </w:rPr>
        <w:t xml:space="preserve"> </w:t>
      </w:r>
      <w:r>
        <w:rPr>
          <w:rFonts w:ascii="Arial" w:hAnsi="Arial"/>
          <w:color w:val="000000"/>
          <w:sz w:val="20"/>
        </w:rPr>
        <w:t>commercial and sales threshold milestones for an aggregate maximum payment of $125.0</w:t>
      </w:r>
      <w:r>
        <w:rPr>
          <w:rFonts w:ascii="Times New Roman" w:hAnsi="Times New Roman"/>
          <w:color w:val="000000"/>
          <w:sz w:val="20"/>
        </w:rPr>
        <w:t xml:space="preserve"> </w:t>
      </w:r>
      <w:r>
        <w:rPr>
          <w:rFonts w:ascii="Arial" w:hAnsi="Arial"/>
          <w:color w:val="000000"/>
          <w:sz w:val="20"/>
        </w:rPr>
        <w:t>million, and up to 50% of royalties received under certain sublicensing arrangements. Royalties are subject to certain customary reductions, including lack of patent coverage and generic product entry. The Company also agreed to pay Anacor non-refundable, non-creditable sales royalties on a tiered marginal royalty rate based on the country’s status as a developing or developed country as defined in the license agreement. Sales royalties are a percentage of net sales, as specified in the Anacor License, and range from mid-single digits for developing countries (as classified by the World Bank) and single to mid-teens for all other countries or the China, Hong Kong, Taiwan, and Macau territories, upon reaching a minimum of net sales in the low-teen millions. The sales royalties are required to be paid on a product-by-product and country-by-country basis, until the latest to occur of 15 years</w:t>
      </w:r>
      <w:r>
        <w:rPr>
          <w:rFonts w:ascii="Times New Roman" w:hAnsi="Times New Roman"/>
          <w:color w:val="000000"/>
          <w:sz w:val="20"/>
        </w:rPr>
        <w:t xml:space="preserve"> </w:t>
      </w:r>
      <w:r>
        <w:rPr>
          <w:rFonts w:ascii="Arial" w:hAnsi="Arial"/>
          <w:color w:val="000000"/>
          <w:sz w:val="20"/>
        </w:rPr>
        <w:t>following the date of first commercial sale of a product, the expiration of all regulatory or data exclusivity, or the date of the expiration of the last to expire valid claim of a licensed patent covering such product in such country. Currently, the date of the expiration of the last to expire valid claim of a licensed patent covering epetraborole in the licensed territory is June 2028. In addition, Anacor is entitled to certain milestone payments upon a change of control of the Company.</w:t>
      </w:r>
    </w:p>
    <w:p>
      <w:pPr>
        <w:pStyle w:val="TextBody"/>
        <w:bidi w:val="0"/>
        <w:spacing w:before="240" w:after="283"/>
        <w:jc w:val="left"/>
        <w:rPr>
          <w:rFonts w:ascii="Times New Roman" w:hAnsi="Times New Roman"/>
          <w:sz w:val="20"/>
        </w:rPr>
      </w:pPr>
      <w:r>
        <w:rPr>
          <w:rFonts w:ascii="Arial" w:hAnsi="Arial"/>
          <w:color w:val="000000"/>
          <w:sz w:val="20"/>
        </w:rPr>
        <w:t>In December 2021, the Company entered into an amendment to the Anacor License for certain compounds and other intellectual property controlled by Anacor for the treatment, diagnosis, or prevention of certain bacterial pathogens (the “Anacor License Amendment”). The Anacor License Amendment has no impact on the Anacor License financial terms.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None of the development, regulatory, commercial or sales milestones or royalty payments were recognized during the three months ended March 31, 2026 and 2025. As a result, the Company did not record any research and development expense—related party in the condensed statements of operations for the three months ended March 31, 2026 and 2025.</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Brii Biosciences Agreement</w:t>
      </w:r>
    </w:p>
    <w:p>
      <w:pPr>
        <w:pStyle w:val="TextBody"/>
        <w:bidi w:val="0"/>
        <w:spacing w:before="120" w:after="283"/>
        <w:jc w:val="left"/>
        <w:rPr>
          <w:rFonts w:ascii="Times New Roman" w:hAnsi="Times New Roman"/>
          <w:sz w:val="20"/>
        </w:rPr>
      </w:pPr>
      <w:r>
        <w:rPr>
          <w:rFonts w:ascii="Arial" w:hAnsi="Arial"/>
          <w:color w:val="000000"/>
          <w:sz w:val="20"/>
        </w:rPr>
        <w:t>In November 2019, the Company entered into a license agreement granting Brii Biosciences Limited the exclusive development and commercialization rights of certain compounds in China, Hong Kong, Taiwan, and Macau for the treatment of human diseases. The Company did not receive an upfront payment but is eligible to receive up to $15.0</w:t>
      </w:r>
      <w:r>
        <w:rPr>
          <w:rFonts w:ascii="Times New Roman" w:hAnsi="Times New Roman"/>
          <w:color w:val="000000"/>
          <w:sz w:val="20"/>
        </w:rPr>
        <w:t xml:space="preserve"> </w:t>
      </w:r>
      <w:r>
        <w:rPr>
          <w:rFonts w:ascii="Arial" w:hAnsi="Arial"/>
          <w:color w:val="000000"/>
          <w:sz w:val="20"/>
        </w:rPr>
        <w:t>million in the aggregate for development and regulatory milestones and up to $150.0</w:t>
      </w:r>
      <w:r>
        <w:rPr>
          <w:rFonts w:ascii="Times New Roman" w:hAnsi="Times New Roman"/>
          <w:color w:val="000000"/>
          <w:sz w:val="20"/>
        </w:rPr>
        <w:t xml:space="preserve"> </w:t>
      </w:r>
      <w:r>
        <w:rPr>
          <w:rFonts w:ascii="Arial" w:hAnsi="Arial"/>
          <w:color w:val="000000"/>
          <w:sz w:val="20"/>
        </w:rPr>
        <w:t>million in commercial milestones upon achieving sales thresholds. The Company is also entitled to tiered mid-single digits to high-first decile percentage sales-based royalties. The sales royalties are required to be paid on a product-by-product and region-by-region basis, until the latest to occur of 15 years</w:t>
      </w:r>
      <w:r>
        <w:rPr>
          <w:rFonts w:ascii="Times New Roman" w:hAnsi="Times New Roman"/>
          <w:color w:val="000000"/>
          <w:sz w:val="20"/>
        </w:rPr>
        <w:t xml:space="preserve"> </w:t>
      </w:r>
      <w:r>
        <w:rPr>
          <w:rFonts w:ascii="Arial" w:hAnsi="Arial"/>
          <w:color w:val="000000"/>
          <w:sz w:val="20"/>
        </w:rPr>
        <w:t>following the date of first commercial sale of a product, the expiration of all regulatory or data exclusivity, or the date upon the expiration of the last to expire claim of a licensed patent covering the composition of matter or approved use of such product in such region. The last to expire valid claim of a licensed patent covering the composition of matter or approved use of such product in the licensed territory is June 2028. Future milestone payments and royalties will be accounted for under ASC 606.</w:t>
      </w:r>
    </w:p>
    <w:p>
      <w:pPr>
        <w:pStyle w:val="TextBody"/>
        <w:bidi w:val="0"/>
        <w:spacing w:before="360" w:after="283"/>
        <w:jc w:val="left"/>
        <w:rPr>
          <w:rFonts w:ascii="Arial" w:hAnsi="Arial"/>
          <w:b/>
          <w:color w:val="000000"/>
          <w:sz w:val="20"/>
        </w:rPr>
      </w:pPr>
      <w:r>
        <w:rPr>
          <w:rFonts w:ascii="Arial" w:hAnsi="Arial"/>
          <w:b/>
          <w:color w:val="000000"/>
          <w:sz w:val="20"/>
        </w:rPr>
        <w:t>Note 6. Balance Sheet Components</w:t>
      </w:r>
    </w:p>
    <w:p>
      <w:pPr>
        <w:pStyle w:val="TextBody"/>
        <w:bidi w:val="0"/>
        <w:spacing w:before="120" w:after="283"/>
        <w:jc w:val="left"/>
        <w:rPr>
          <w:rFonts w:ascii="Arial" w:hAnsi="Arial"/>
          <w:b/>
          <w:i/>
          <w:color w:val="000000"/>
          <w:sz w:val="20"/>
        </w:rPr>
      </w:pPr>
      <w:r>
        <w:rPr>
          <w:rFonts w:ascii="Arial" w:hAnsi="Arial"/>
          <w:b/>
          <w:i/>
          <w:color w:val="000000"/>
          <w:sz w:val="20"/>
        </w:rPr>
        <w:t>Accrued Liabilities</w:t>
      </w:r>
    </w:p>
    <w:p>
      <w:pPr>
        <w:pStyle w:val="TextBody"/>
        <w:bidi w:val="0"/>
        <w:spacing w:before="120" w:after="283"/>
        <w:jc w:val="left"/>
        <w:rPr>
          <w:rFonts w:ascii="Arial" w:hAnsi="Arial"/>
          <w:color w:val="000000"/>
          <w:sz w:val="20"/>
        </w:rPr>
      </w:pPr>
      <w:r>
        <w:rPr>
          <w:rFonts w:ascii="Arial" w:hAnsi="Arial"/>
          <w:color w:val="000000"/>
          <w:sz w:val="20"/>
        </w:rPr>
        <w:t>Accrued liabilities consist of the following (in thousands):</w:t>
      </w:r>
    </w:p>
    <w:p>
      <w:pPr>
        <w:pStyle w:val="TextBody"/>
        <w:bidi w:val="0"/>
        <w:jc w:val="left"/>
        <w:rPr/>
      </w:pPr>
      <w:r>
        <w:rPr/>
        <w:t> </w:t>
      </w:r>
    </w:p>
    <w:tbl>
      <w:tblPr>
        <w:tblW w:w="7395" w:type="dxa"/>
        <w:jc w:val="left"/>
        <w:tblInd w:w="0" w:type="dxa"/>
        <w:tblLayout w:type="fixed"/>
        <w:tblCellMar>
          <w:top w:w="28" w:type="dxa"/>
          <w:left w:w="28" w:type="dxa"/>
          <w:bottom w:w="28" w:type="dxa"/>
          <w:right w:w="28" w:type="dxa"/>
        </w:tblCellMar>
      </w:tblPr>
      <w:tblGrid>
        <w:gridCol w:w="4741"/>
        <w:gridCol w:w="146"/>
        <w:gridCol w:w="226"/>
        <w:gridCol w:w="629"/>
        <w:gridCol w:w="146"/>
        <w:gridCol w:w="146"/>
        <w:gridCol w:w="309"/>
        <w:gridCol w:w="861"/>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clinical trial-related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7. Commitments and Contingencies</w:t>
      </w:r>
    </w:p>
    <w:p>
      <w:pPr>
        <w:pStyle w:val="TextBody"/>
        <w:bidi w:val="0"/>
        <w:spacing w:before="120" w:after="283"/>
        <w:jc w:val="left"/>
        <w:rPr>
          <w:rFonts w:ascii="Arial" w:hAnsi="Arial"/>
          <w:b/>
          <w:i/>
          <w:color w:val="000000"/>
          <w:sz w:val="20"/>
        </w:rPr>
      </w:pPr>
      <w:r>
        <w:rPr>
          <w:rFonts w:ascii="Arial" w:hAnsi="Arial"/>
          <w:b/>
          <w:i/>
          <w:color w:val="000000"/>
          <w:sz w:val="20"/>
        </w:rPr>
        <w:t>Contingencies</w:t>
      </w:r>
    </w:p>
    <w:p>
      <w:pPr>
        <w:pStyle w:val="TextBody"/>
        <w:bidi w:val="0"/>
        <w:spacing w:before="120" w:after="283"/>
        <w:jc w:val="left"/>
        <w:rPr>
          <w:rFonts w:ascii="Arial" w:hAnsi="Arial"/>
          <w:color w:val="000000"/>
          <w:sz w:val="20"/>
        </w:rPr>
      </w:pPr>
      <w:r>
        <w:rPr>
          <w:rFonts w:ascii="Arial" w:hAnsi="Arial"/>
          <w:color w:val="000000"/>
          <w:sz w:val="20"/>
        </w:rPr>
        <w:t>From time to time, the Company may become involved in legal proceedings arising in the ordinary course of business. The Company was not subject to any material legal proceedings as of March 31, 2026 and December 31, 2025, and the Company is not currently a party to any legal proceeding that, if determined adversely to the Company, in management’s opinion, is currently expected to individually or in the aggregate have a material adverse effect on the Company’s business, financial condition or results of operations taken as a whole.</w:t>
      </w:r>
    </w:p>
    <w:p>
      <w:pPr>
        <w:pStyle w:val="TextBody"/>
        <w:bidi w:val="0"/>
        <w:spacing w:before="360" w:after="283"/>
        <w:jc w:val="left"/>
        <w:rPr>
          <w:rFonts w:ascii="Arial" w:hAnsi="Arial"/>
          <w:b/>
          <w:i/>
          <w:color w:val="000000"/>
          <w:sz w:val="20"/>
        </w:rPr>
      </w:pPr>
      <w:r>
        <w:rPr>
          <w:rFonts w:ascii="Arial" w:hAnsi="Arial"/>
          <w:b/>
          <w:i/>
          <w:color w:val="000000"/>
          <w:sz w:val="20"/>
        </w:rPr>
        <w:t>Guarantees and Indemnifications</w:t>
      </w:r>
    </w:p>
    <w:p>
      <w:pPr>
        <w:pStyle w:val="TextBody"/>
        <w:bidi w:val="0"/>
        <w:spacing w:before="120" w:after="283"/>
        <w:jc w:val="left"/>
        <w:rPr>
          <w:rFonts w:ascii="Arial" w:hAnsi="Arial"/>
          <w:color w:val="000000"/>
          <w:sz w:val="20"/>
        </w:rPr>
      </w:pPr>
      <w:r>
        <w:rPr>
          <w:rFonts w:ascii="Arial" w:hAnsi="Arial"/>
          <w:color w:val="000000"/>
          <w:sz w:val="20"/>
        </w:rPr>
        <w:t>The Company, as permitted under Delaware law and in accordance with its certificate of incorporation, as amended, and bylaws, and pursuant to indemnification agreements with certain of its officers and directors, indemnifies its officers and directors for certain events or occurrences, subject to certain limits, which the officer or director is or was serving at the Company’s request in such capacity. The term of the indemnification period lasts as long as an officer or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limits the Company’s exposure and may enable it to recover a portion of any future amounts paid. The Company believes that the fair value of these indemnification obligations is minimal. Accordingly, the Company has not recognized any liabilities relating to these obligations for any period presented.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Adjuvant Global Health Agreement</w:t>
      </w:r>
    </w:p>
    <w:p>
      <w:pPr>
        <w:pStyle w:val="TextBody"/>
        <w:bidi w:val="0"/>
        <w:spacing w:before="120" w:after="283"/>
        <w:jc w:val="left"/>
        <w:rPr>
          <w:rFonts w:ascii="Arial" w:hAnsi="Arial"/>
          <w:color w:val="000000"/>
          <w:sz w:val="20"/>
        </w:rPr>
      </w:pPr>
      <w:r>
        <w:rPr>
          <w:rFonts w:ascii="Arial" w:hAnsi="Arial"/>
          <w:color w:val="000000"/>
          <w:sz w:val="20"/>
        </w:rPr>
        <w:t>In conjunction with Adjuvant Global Health Technology Fund L.P.’s (“Adjuvant”) investment in the Company in 2019 and 2020, the Company entered into a Global Health Agreement with Adjuvant, pursuant to which the Company agreed to support the creation of innovative and affordable drugs to treat disease, through public health programs and private purchasers in Low and Lower-Middle-Income Countries (as such terms are defined by the World Bank and in the agreement).</w:t>
      </w:r>
    </w:p>
    <w:p>
      <w:pPr>
        <w:pStyle w:val="TextBody"/>
        <w:bidi w:val="0"/>
        <w:spacing w:before="240" w:after="283"/>
        <w:jc w:val="left"/>
        <w:rPr>
          <w:rFonts w:ascii="Times New Roman" w:hAnsi="Times New Roman"/>
          <w:sz w:val="20"/>
        </w:rPr>
      </w:pPr>
      <w:r>
        <w:rPr>
          <w:rFonts w:ascii="Arial" w:hAnsi="Arial"/>
          <w:color w:val="000000"/>
          <w:sz w:val="20"/>
        </w:rPr>
        <w:t>Adjuvant’s investment supports the development of the Company’s product candidate, epetraborole, for use in melioidosis-endemic and melioidosis-at-risk countries and in tuberculosis-endemic and tuberculosis-at-risk countries, as defined in the agreement, as amended and restated. These global access commitments will remain in effect until the latter of either that Adjuvant ceases to be a shareholder of the Company, or ten years</w:t>
      </w:r>
      <w:r>
        <w:rPr>
          <w:rFonts w:ascii="Times New Roman" w:hAnsi="Times New Roman"/>
          <w:color w:val="000000"/>
          <w:sz w:val="20"/>
        </w:rPr>
        <w:t xml:space="preserve"> </w:t>
      </w:r>
      <w:r>
        <w:rPr>
          <w:rFonts w:ascii="Arial" w:hAnsi="Arial"/>
          <w:color w:val="000000"/>
          <w:sz w:val="20"/>
        </w:rPr>
        <w:t>following epetraborole approval for the treatment of melioidosis by a regulatory authority.</w:t>
      </w:r>
    </w:p>
    <w:p>
      <w:pPr>
        <w:pStyle w:val="TextBody"/>
        <w:bidi w:val="0"/>
        <w:spacing w:before="240" w:after="283"/>
        <w:jc w:val="left"/>
        <w:rPr>
          <w:rFonts w:ascii="Arial" w:hAnsi="Arial"/>
          <w:color w:val="000000"/>
          <w:sz w:val="20"/>
        </w:rPr>
      </w:pPr>
      <w:r>
        <w:rPr>
          <w:rFonts w:ascii="Arial" w:hAnsi="Arial"/>
          <w:color w:val="000000"/>
          <w:sz w:val="20"/>
        </w:rPr>
        <w:t>The Global Health Agreement contains various affirmative and negative covenants agreed to by the Company, including its use of reasonably diligent endeavors to develop the agreed-upon products using non-dilutive funding and make accessible to people in need in the target countries so long as the Company does not sell products at a loss. Other covenants include prohibition of use of investment for propaganda, attempt to influence legislation, influence of any public election or voter registration drive or promotion of terrorist activities, as well as compliance with certain environmental, social and governance requirements and anti-corruption requirements.</w:t>
      </w:r>
    </w:p>
    <w:p>
      <w:pPr>
        <w:pStyle w:val="TextBody"/>
        <w:bidi w:val="0"/>
        <w:spacing w:before="360" w:after="283"/>
        <w:jc w:val="left"/>
        <w:rPr>
          <w:rFonts w:ascii="Arial" w:hAnsi="Arial"/>
          <w:b/>
          <w:color w:val="000000"/>
          <w:sz w:val="20"/>
        </w:rPr>
      </w:pPr>
      <w:r>
        <w:rPr>
          <w:rFonts w:ascii="Arial" w:hAnsi="Arial"/>
          <w:b/>
          <w:color w:val="000000"/>
          <w:sz w:val="20"/>
        </w:rPr>
        <w:t>Note 8. Equity</w:t>
      </w:r>
    </w:p>
    <w:p>
      <w:pPr>
        <w:pStyle w:val="TextBody"/>
        <w:bidi w:val="0"/>
        <w:spacing w:before="120" w:after="283"/>
        <w:jc w:val="left"/>
        <w:rPr>
          <w:rFonts w:ascii="Arial" w:hAnsi="Arial"/>
          <w:b/>
          <w:i/>
          <w:color w:val="000000"/>
          <w:sz w:val="20"/>
        </w:rPr>
      </w:pPr>
      <w:r>
        <w:rPr>
          <w:rFonts w:ascii="Arial" w:hAnsi="Arial"/>
          <w:b/>
          <w:i/>
          <w:color w:val="000000"/>
          <w:sz w:val="20"/>
        </w:rPr>
        <w:t>Common Stock</w:t>
      </w:r>
    </w:p>
    <w:p>
      <w:pPr>
        <w:pStyle w:val="TextBody"/>
        <w:bidi w:val="0"/>
        <w:spacing w:before="120" w:after="283"/>
        <w:jc w:val="left"/>
        <w:rPr>
          <w:rFonts w:ascii="Times New Roman" w:hAnsi="Times New Roman"/>
          <w:sz w:val="20"/>
        </w:rPr>
      </w:pPr>
      <w:r>
        <w:rPr>
          <w:rFonts w:ascii="Arial" w:hAnsi="Arial"/>
          <w:color w:val="000000"/>
          <w:sz w:val="20"/>
        </w:rPr>
        <w:t>The Company’s certificate of incorporation, as amended, authorizes the Company to issue up to 500,000,000</w:t>
      </w:r>
      <w:r>
        <w:rPr>
          <w:rFonts w:ascii="Times New Roman" w:hAnsi="Times New Roman"/>
          <w:color w:val="000000"/>
          <w:sz w:val="20"/>
        </w:rPr>
        <w:t xml:space="preserve"> </w:t>
      </w:r>
      <w:r>
        <w:rPr>
          <w:rFonts w:ascii="Arial" w:hAnsi="Arial"/>
          <w:color w:val="000000"/>
          <w:sz w:val="20"/>
        </w:rPr>
        <w:t>shares of $0.00001</w:t>
      </w:r>
      <w:r>
        <w:rPr>
          <w:rFonts w:ascii="Times New Roman" w:hAnsi="Times New Roman"/>
          <w:color w:val="000000"/>
          <w:sz w:val="20"/>
        </w:rPr>
        <w:t xml:space="preserve"> </w:t>
      </w:r>
      <w:r>
        <w:rPr>
          <w:rFonts w:ascii="Arial" w:hAnsi="Arial"/>
          <w:color w:val="000000"/>
          <w:sz w:val="20"/>
        </w:rPr>
        <w:t>par value common stock. Holders of common stock are entitled to one</w:t>
      </w:r>
      <w:r>
        <w:rPr>
          <w:rFonts w:ascii="Times New Roman" w:hAnsi="Times New Roman"/>
          <w:color w:val="000000"/>
          <w:sz w:val="20"/>
        </w:rPr>
        <w:t xml:space="preserve"> </w:t>
      </w:r>
      <w:r>
        <w:rPr>
          <w:rFonts w:ascii="Arial" w:hAnsi="Arial"/>
          <w:color w:val="000000"/>
          <w:sz w:val="20"/>
        </w:rPr>
        <w:t>vote per share on all matters to be voted upon by the stockholders of the Company.</w:t>
      </w:r>
    </w:p>
    <w:p>
      <w:pPr>
        <w:pStyle w:val="TextBody"/>
        <w:bidi w:val="0"/>
        <w:spacing w:before="240" w:after="283"/>
        <w:jc w:val="left"/>
        <w:rPr>
          <w:rFonts w:ascii="Arial" w:hAnsi="Arial"/>
          <w:color w:val="000000"/>
          <w:sz w:val="20"/>
        </w:rPr>
      </w:pPr>
      <w:r>
        <w:rPr>
          <w:rFonts w:ascii="Arial" w:hAnsi="Arial"/>
          <w:color w:val="000000"/>
          <w:sz w:val="20"/>
        </w:rPr>
        <w:t>Subject to the preferences that may be applicable to any outstanding shares of preferred stock, the holders of common stock are entitled to receive ratably such dividends, if any, as may be declared by the Board of Directors (the “Board”). No dividends have been declared to date.</w:t>
      </w:r>
    </w:p>
    <w:p>
      <w:pPr>
        <w:pStyle w:val="TextBody"/>
        <w:bidi w:val="0"/>
        <w:spacing w:before="240" w:after="283"/>
        <w:jc w:val="left"/>
        <w:rPr>
          <w:rFonts w:ascii="Times New Roman" w:hAnsi="Times New Roman"/>
          <w:sz w:val="20"/>
        </w:rPr>
      </w:pPr>
      <w:r>
        <w:rPr>
          <w:rFonts w:ascii="Arial" w:hAnsi="Arial"/>
          <w:color w:val="000000"/>
          <w:sz w:val="20"/>
        </w:rPr>
        <w:t>On April 6, 2023, the Company entered into a sales agreement (“Sales Agreement”) with Cowen and Company, LLC as the Company’s agent (“Agent”), to issue and sell up to an aggregate gross sales of $100.0</w:t>
      </w:r>
      <w:r>
        <w:rPr>
          <w:rFonts w:ascii="Times New Roman" w:hAnsi="Times New Roman"/>
          <w:color w:val="000000"/>
          <w:sz w:val="20"/>
        </w:rPr>
        <w:t xml:space="preserve"> </w:t>
      </w:r>
      <w:r>
        <w:rPr>
          <w:rFonts w:ascii="Arial" w:hAnsi="Arial"/>
          <w:color w:val="000000"/>
          <w:sz w:val="20"/>
        </w:rPr>
        <w:t>million in shares (</w:t>
      </w:r>
      <w:r>
        <w:rPr>
          <w:rFonts w:ascii="Times New Roman" w:hAnsi="Times New Roman"/>
          <w:color w:val="000000"/>
          <w:sz w:val="20"/>
        </w:rPr>
        <w:t>“</w:t>
      </w:r>
      <w:r>
        <w:rPr>
          <w:rFonts w:ascii="Arial" w:hAnsi="Arial"/>
          <w:color w:val="000000"/>
          <w:sz w:val="20"/>
        </w:rPr>
        <w:t>Shares”) of the Company’s common stock through an “at-the-market” equity offering program (“ATM Offering”). The Company will pay commissions to the Agent of up to 3.0% of the gross proceeds of the sale of the Shares sold under the Sales Agreement and reimburse the Agent for certain expenses. During the year ended December 31, 2023, the Company issued and sold 2,502,000</w:t>
      </w:r>
      <w:r>
        <w:rPr>
          <w:rFonts w:ascii="Times New Roman" w:hAnsi="Times New Roman"/>
          <w:color w:val="000000"/>
          <w:sz w:val="20"/>
        </w:rPr>
        <w:t xml:space="preserve"> </w:t>
      </w:r>
      <w:r>
        <w:rPr>
          <w:rFonts w:ascii="Arial" w:hAnsi="Arial"/>
          <w:color w:val="000000"/>
          <w:sz w:val="20"/>
        </w:rPr>
        <w:t>shares of common stock under the ATM Offering, resulting in net proceeds of $19.1</w:t>
      </w:r>
      <w:r>
        <w:rPr>
          <w:rFonts w:ascii="Times New Roman" w:hAnsi="Times New Roman"/>
          <w:color w:val="000000"/>
          <w:sz w:val="20"/>
        </w:rPr>
        <w:t xml:space="preserve"> </w:t>
      </w:r>
      <w:r>
        <w:rPr>
          <w:rFonts w:ascii="Arial" w:hAnsi="Arial"/>
          <w:color w:val="000000"/>
          <w:sz w:val="20"/>
        </w:rPr>
        <w:t>million, after deducting commissions and other offering costs. The Company did not sell any shares of common stock through the ATM Offering during the three months ended March 31, 2026. The Company terminated the Sales Agreement with the Agent in April 2026.</w:t>
      </w:r>
    </w:p>
    <w:p>
      <w:pPr>
        <w:pStyle w:val="TextBody"/>
        <w:bidi w:val="0"/>
        <w:spacing w:before="240" w:after="283"/>
        <w:jc w:val="left"/>
        <w:rPr>
          <w:rFonts w:ascii="Times New Roman" w:hAnsi="Times New Roman"/>
          <w:sz w:val="20"/>
        </w:rPr>
      </w:pPr>
      <w:r>
        <w:rPr>
          <w:rFonts w:ascii="Arial" w:hAnsi="Arial"/>
          <w:color w:val="000000"/>
          <w:sz w:val="20"/>
        </w:rPr>
        <w:t>On April 9, 2026, the Company entered into an open market sale agreement (the “2026 Sales Agreement”) with Jefferies LLC (“Jefferies”), as sales agent, pursuant to which the Company may offer and sell from time to time up to an aggregate of $80.0</w:t>
      </w:r>
      <w:r>
        <w:rPr>
          <w:rFonts w:ascii="Times New Roman" w:hAnsi="Times New Roman"/>
          <w:color w:val="000000"/>
          <w:sz w:val="20"/>
        </w:rPr>
        <w:t xml:space="preserve"> </w:t>
      </w:r>
      <w:r>
        <w:rPr>
          <w:rFonts w:ascii="Arial" w:hAnsi="Arial"/>
          <w:color w:val="000000"/>
          <w:sz w:val="20"/>
        </w:rPr>
        <w:t>million in shares of the Company’s common stock through an ATM Offering Program. Sales of shares of the Company’s common stock under the 2026 Sales Agreement will be made pursuant to a Registration Statement on Form S-3 as supplemented by a prospectus supplement. The Company has agreed to pay Jefferies a commission of up to 3.0% of the gross proceeds from the sale of shares of the Company’s common stock sold under the 2026 Sales Agreement.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Shares of common stock reserved for future issuance, on an as-if-converted basis, as of March 31, 2026 and December 31, 2025, consisted of the following:</w:t>
      </w:r>
    </w:p>
    <w:p>
      <w:pPr>
        <w:pStyle w:val="TextBody"/>
        <w:bidi w:val="0"/>
        <w:jc w:val="left"/>
        <w:rPr/>
      </w:pPr>
      <w:r>
        <w:rPr/>
        <w:t> </w:t>
      </w:r>
    </w:p>
    <w:tbl>
      <w:tblPr>
        <w:tblW w:w="7354" w:type="dxa"/>
        <w:jc w:val="left"/>
        <w:tblInd w:w="0" w:type="dxa"/>
        <w:tblLayout w:type="fixed"/>
        <w:tblCellMar>
          <w:top w:w="28" w:type="dxa"/>
          <w:left w:w="28" w:type="dxa"/>
          <w:bottom w:w="28" w:type="dxa"/>
          <w:right w:w="28" w:type="dxa"/>
        </w:tblCellMar>
      </w:tblPr>
      <w:tblGrid>
        <w:gridCol w:w="4021"/>
        <w:gridCol w:w="146"/>
        <w:gridCol w:w="146"/>
        <w:gridCol w:w="1066"/>
        <w:gridCol w:w="146"/>
        <w:gridCol w:w="146"/>
        <w:gridCol w:w="146"/>
        <w:gridCol w:w="1066"/>
        <w:gridCol w:w="47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6,443,394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5,466,222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8,741,493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2,952,000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1,275,412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856,160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authorized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783,106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ESPP, authorized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1,013,728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775,882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17,666,703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10,833,370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i/>
          <w:color w:val="000000"/>
          <w:sz w:val="20"/>
        </w:rPr>
      </w:pPr>
      <w:r>
        <w:rPr>
          <w:rFonts w:ascii="Arial" w:hAnsi="Arial"/>
          <w:b/>
          <w:i/>
          <w:color w:val="000000"/>
          <w:sz w:val="20"/>
        </w:rPr>
        <w:t>Preferred Stock</w:t>
      </w:r>
    </w:p>
    <w:p>
      <w:pPr>
        <w:pStyle w:val="TextBody"/>
        <w:bidi w:val="0"/>
        <w:spacing w:before="120" w:after="283"/>
        <w:jc w:val="left"/>
        <w:rPr>
          <w:rFonts w:ascii="Times New Roman" w:hAnsi="Times New Roman"/>
          <w:sz w:val="20"/>
        </w:rPr>
      </w:pPr>
      <w:r>
        <w:rPr>
          <w:rFonts w:ascii="Arial" w:hAnsi="Arial"/>
          <w:color w:val="000000"/>
          <w:sz w:val="20"/>
        </w:rPr>
        <w:t>The Company’s certificate of incorporation, as amended, authorizes the Company to issue up to 10,000,000</w:t>
      </w:r>
      <w:r>
        <w:rPr>
          <w:rFonts w:ascii="Times New Roman" w:hAnsi="Times New Roman"/>
          <w:color w:val="000000"/>
          <w:sz w:val="20"/>
        </w:rPr>
        <w:t xml:space="preserve"> </w:t>
      </w:r>
      <w:r>
        <w:rPr>
          <w:rFonts w:ascii="Arial" w:hAnsi="Arial"/>
          <w:color w:val="000000"/>
          <w:sz w:val="20"/>
        </w:rPr>
        <w:t>shares of $0.00001</w:t>
      </w:r>
      <w:r>
        <w:rPr>
          <w:rFonts w:ascii="Times New Roman" w:hAnsi="Times New Roman"/>
          <w:color w:val="000000"/>
          <w:sz w:val="20"/>
        </w:rPr>
        <w:t xml:space="preserve"> </w:t>
      </w:r>
      <w:r>
        <w:rPr>
          <w:rFonts w:ascii="Arial" w:hAnsi="Arial"/>
          <w:color w:val="000000"/>
          <w:sz w:val="20"/>
        </w:rPr>
        <w:t>par value preferred stock. The preferred stock is not convertible. No</w:t>
      </w:r>
      <w:r>
        <w:rPr>
          <w:rFonts w:ascii="Times New Roman" w:hAnsi="Times New Roman"/>
          <w:color w:val="000000"/>
          <w:sz w:val="20"/>
        </w:rPr>
        <w:t xml:space="preserve"> </w:t>
      </w:r>
      <w:r>
        <w:rPr>
          <w:rFonts w:ascii="Arial" w:hAnsi="Arial"/>
          <w:color w:val="000000"/>
          <w:sz w:val="20"/>
        </w:rPr>
        <w:t>shares of preferred stock were issued and outstanding as of March 31, 2026 and December 31, 2025.</w:t>
      </w:r>
    </w:p>
    <w:p>
      <w:pPr>
        <w:pStyle w:val="TextBody"/>
        <w:bidi w:val="0"/>
        <w:spacing w:before="360" w:after="283"/>
        <w:jc w:val="left"/>
        <w:rPr>
          <w:rFonts w:ascii="Arial" w:hAnsi="Arial"/>
          <w:b/>
          <w:i/>
          <w:color w:val="000000"/>
          <w:sz w:val="20"/>
        </w:rPr>
      </w:pPr>
      <w:r>
        <w:rPr>
          <w:rFonts w:ascii="Arial" w:hAnsi="Arial"/>
          <w:b/>
          <w:i/>
          <w:color w:val="000000"/>
          <w:sz w:val="20"/>
        </w:rPr>
        <w:t>Shareholder Rights Plan</w:t>
      </w:r>
    </w:p>
    <w:p>
      <w:pPr>
        <w:pStyle w:val="TextBody"/>
        <w:bidi w:val="0"/>
        <w:spacing w:before="120" w:after="160"/>
        <w:jc w:val="left"/>
        <w:rPr>
          <w:rFonts w:ascii="Times New Roman" w:hAnsi="Times New Roman"/>
          <w:sz w:val="20"/>
        </w:rPr>
      </w:pPr>
      <w:r>
        <w:rPr>
          <w:rFonts w:ascii="Arial" w:hAnsi="Arial"/>
          <w:color w:val="000000"/>
          <w:sz w:val="20"/>
        </w:rPr>
        <w:t>On August 15, 2024, the Company entered into a Rights Agreement between the Company and Equiniti Trust Company, LLC as Rights Agent (as amended from time to time, the “Rights Agreement”), which was previously approved by the Board. In connection with the Rights Agreement, a dividend was declared of one preferred stock purchase right (individually, a “Right” and collectively, the “Rights”) for each share of the common stock, par value $0.00001 per share, of the Company outstanding at the close of business on August 29, 2024 (the “Record Date”). Each Right entitles the registered holder thereof, after the Rights become exercisable and until August 15, 2025 (or the earlier redemption, exchange or termination of the Rights), to purchase from the Company one one-thousandth of a share of Series A Junior Participating Preferred Stock, par value $0.00001 per share, (the “Series A Preferred”), of the Company at a price of $6.50 per one one-thousandth of a share of Series A Preferred, subject to adjustment.</w:t>
      </w:r>
      <w:r>
        <w:rPr>
          <w:rFonts w:ascii="Times New Roman" w:hAnsi="Times New Roman"/>
          <w:color w:val="000000"/>
          <w:sz w:val="20"/>
        </w:rPr>
        <w:t xml:space="preserve"> </w:t>
      </w:r>
      <w:r>
        <w:rPr>
          <w:rFonts w:ascii="Arial" w:hAnsi="Arial"/>
          <w:color w:val="000000"/>
          <w:sz w:val="20"/>
        </w:rPr>
        <w:t>The Rights are not exercisable until the Distribution Date (as defined in the Rights Agreement”) and the Rights will expire on August 15, 2025, subject to the Company’s right to extend such date, unless earlier redeemed or exchanged by the Company or terminated. Additional information regarding the Rights Agreement is contained in a Current Report on Form 8-K filed with the SEC on August 19, 2024. The adoption of the Shareholder Rights Plan had no impact on the financial position of the Company. The Shareholder Rights Plan expired on August 15, 2025.</w:t>
      </w:r>
    </w:p>
    <w:p>
      <w:pPr>
        <w:pStyle w:val="TextBody"/>
        <w:bidi w:val="0"/>
        <w:spacing w:before="200" w:after="283"/>
        <w:jc w:val="left"/>
        <w:rPr>
          <w:rFonts w:ascii="Arial" w:hAnsi="Arial"/>
          <w:b/>
          <w:i/>
          <w:color w:val="000000"/>
          <w:sz w:val="20"/>
        </w:rPr>
      </w:pPr>
      <w:r>
        <w:rPr>
          <w:rFonts w:ascii="Arial" w:hAnsi="Arial"/>
          <w:b/>
          <w:i/>
          <w:color w:val="000000"/>
          <w:sz w:val="20"/>
        </w:rPr>
        <w:t>Common Stock and Pre-Funded Warrants Transactions</w:t>
      </w:r>
    </w:p>
    <w:p>
      <w:pPr>
        <w:pStyle w:val="TextBody"/>
        <w:bidi w:val="0"/>
        <w:spacing w:before="120" w:after="283"/>
        <w:jc w:val="left"/>
        <w:rPr>
          <w:rFonts w:ascii="Arial" w:hAnsi="Arial"/>
          <w:b/>
          <w:i/>
          <w:color w:val="000000"/>
          <w:sz w:val="20"/>
        </w:rPr>
      </w:pPr>
      <w:r>
        <w:rPr>
          <w:rFonts w:ascii="Arial" w:hAnsi="Arial"/>
          <w:b/>
          <w:i/>
          <w:color w:val="000000"/>
          <w:sz w:val="20"/>
        </w:rPr>
        <w:t>2026 Private Placement</w:t>
      </w:r>
    </w:p>
    <w:p>
      <w:pPr>
        <w:pStyle w:val="TextBody"/>
        <w:bidi w:val="0"/>
        <w:spacing w:before="120" w:after="283"/>
        <w:jc w:val="left"/>
        <w:rPr>
          <w:rFonts w:ascii="Times New Roman" w:hAnsi="Times New Roman"/>
          <w:sz w:val="20"/>
        </w:rPr>
      </w:pPr>
      <w:r>
        <w:rPr>
          <w:rFonts w:ascii="Arial" w:hAnsi="Arial"/>
          <w:color w:val="000000"/>
          <w:sz w:val="20"/>
        </w:rPr>
        <w:t>In March 2026, the Company entered into a Securities Purchase Agreement (the “Purchase Agreement”) with certain investors (the “Purchasers”) to raise approximately $40.0</w:t>
      </w:r>
      <w:r>
        <w:rPr>
          <w:rFonts w:ascii="Times New Roman" w:hAnsi="Times New Roman"/>
          <w:color w:val="000000"/>
          <w:sz w:val="20"/>
        </w:rPr>
        <w:t xml:space="preserve"> </w:t>
      </w:r>
      <w:r>
        <w:rPr>
          <w:rFonts w:ascii="Arial" w:hAnsi="Arial"/>
          <w:color w:val="000000"/>
          <w:sz w:val="20"/>
        </w:rPr>
        <w:t>million. The Purchase Agreement provided for the sale and issuance by the Company of an aggregate of: (i) 8,245,611</w:t>
      </w:r>
      <w:r>
        <w:rPr>
          <w:rFonts w:ascii="Times New Roman" w:hAnsi="Times New Roman"/>
          <w:color w:val="000000"/>
          <w:sz w:val="20"/>
        </w:rPr>
        <w:t xml:space="preserve"> </w:t>
      </w:r>
      <w:r>
        <w:rPr>
          <w:rFonts w:ascii="Arial" w:hAnsi="Arial"/>
          <w:color w:val="000000"/>
          <w:sz w:val="20"/>
        </w:rPr>
        <w:t>shares (the “Shares”) of the Company’s common stock and (ii) pre-funded warrants to purchase up to an aggregate of 5,789,493</w:t>
      </w:r>
      <w:r>
        <w:rPr>
          <w:rFonts w:ascii="Times New Roman" w:hAnsi="Times New Roman"/>
          <w:color w:val="000000"/>
          <w:sz w:val="20"/>
        </w:rPr>
        <w:t xml:space="preserve"> </w:t>
      </w:r>
      <w:r>
        <w:rPr>
          <w:rFonts w:ascii="Arial" w:hAnsi="Arial"/>
          <w:color w:val="000000"/>
          <w:sz w:val="20"/>
        </w:rPr>
        <w:t>shares of common stock (collectively, the "2026 Private Placement”). The price per Share was $2.85, and the price per 2026 Pre-Funded Warrant was $2.84999. The closing of the 2026 Private Placement occurred on March 10, 2026</w:t>
      </w:r>
      <w:r>
        <w:rPr>
          <w:rFonts w:ascii="Times New Roman" w:hAnsi="Times New Roman"/>
          <w:color w:val="000000"/>
          <w:sz w:val="20"/>
        </w:rPr>
        <w:t xml:space="preserve"> </w:t>
      </w:r>
      <w:r>
        <w:rPr>
          <w:rFonts w:ascii="Arial" w:hAnsi="Arial"/>
          <w:color w:val="000000"/>
          <w:sz w:val="20"/>
        </w:rPr>
        <w:t>(the “Closing”).</w:t>
      </w:r>
    </w:p>
    <w:p>
      <w:pPr>
        <w:pStyle w:val="TextBody"/>
        <w:bidi w:val="0"/>
        <w:spacing w:before="240" w:after="283"/>
        <w:jc w:val="left"/>
        <w:rPr>
          <w:rFonts w:ascii="Times New Roman" w:hAnsi="Times New Roman"/>
          <w:sz w:val="20"/>
        </w:rPr>
      </w:pPr>
      <w:r>
        <w:rPr>
          <w:rFonts w:ascii="Arial" w:hAnsi="Arial"/>
          <w:color w:val="000000"/>
          <w:sz w:val="20"/>
        </w:rPr>
        <w:t>The Company valued the 2026 Pre-Funded Warrants at issuance, concluding their sales price approximated their fair value, and allocated net proceeds from the sale proportionately to the common stock and the 2026 Pre-Funded Warrants. Net proceeds allocated to the common stock and the 2026 Pre-Funded Warrants were $21.9</w:t>
      </w:r>
      <w:r>
        <w:rPr>
          <w:rFonts w:ascii="Times New Roman" w:hAnsi="Times New Roman"/>
          <w:color w:val="000000"/>
          <w:sz w:val="20"/>
        </w:rPr>
        <w:t xml:space="preserve"> </w:t>
      </w:r>
      <w:r>
        <w:rPr>
          <w:rFonts w:ascii="Arial" w:hAnsi="Arial"/>
          <w:color w:val="000000"/>
          <w:sz w:val="20"/>
        </w:rPr>
        <w:t>million and $15.4</w:t>
      </w:r>
      <w:r>
        <w:rPr>
          <w:rFonts w:ascii="Times New Roman" w:hAnsi="Times New Roman"/>
          <w:color w:val="000000"/>
          <w:sz w:val="20"/>
        </w:rPr>
        <w:t xml:space="preserve"> </w:t>
      </w:r>
      <w:r>
        <w:rPr>
          <w:rFonts w:ascii="Arial" w:hAnsi="Arial"/>
          <w:color w:val="000000"/>
          <w:sz w:val="20"/>
        </w:rPr>
        <w:t>million, respectively, net of placement agent fees and other offering costs, and recorded as a component of additional paid-in-capital.</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connection with the 2026 Private Placement, the Company entered into a registration rights agreement (the “Registration Rights Agreement”) with the Purchasers at the Closing. Pursuant to the Registration Rights Agreement, among other things, the Company filed a registration statement (the “Registration Statement”) and a prospectus supplement with the SEC on April 9, 2026 to register the resale of the Shares and the shares of common stock issuable upon exercise of the 2026 Pre-Funded Warrants. The SEC declared the Registration Statement effective on April 20, 2026.</w:t>
      </w:r>
    </w:p>
    <w:p>
      <w:pPr>
        <w:pStyle w:val="TextBody"/>
        <w:bidi w:val="0"/>
        <w:spacing w:before="360" w:after="160"/>
        <w:jc w:val="left"/>
        <w:rPr>
          <w:rFonts w:ascii="Arial" w:hAnsi="Arial"/>
          <w:b/>
          <w:i/>
          <w:color w:val="000000"/>
          <w:sz w:val="20"/>
        </w:rPr>
      </w:pPr>
      <w:r>
        <w:rPr>
          <w:rFonts w:ascii="Arial" w:hAnsi="Arial"/>
          <w:b/>
          <w:i/>
          <w:color w:val="000000"/>
          <w:sz w:val="20"/>
        </w:rPr>
        <w:t>2025 Exchange Agreements</w:t>
      </w:r>
    </w:p>
    <w:p>
      <w:pPr>
        <w:pStyle w:val="TextBody"/>
        <w:bidi w:val="0"/>
        <w:jc w:val="left"/>
        <w:rPr>
          <w:rFonts w:ascii="Times New Roman" w:hAnsi="Times New Roman"/>
          <w:sz w:val="20"/>
        </w:rPr>
      </w:pPr>
      <w:r>
        <w:rPr>
          <w:rFonts w:ascii="Arial" w:hAnsi="Arial"/>
          <w:color w:val="000000"/>
          <w:sz w:val="20"/>
        </w:rPr>
        <w:t>In June 2025, the Company entered into exchange agreements (the “2025 Exchange Agreements”) with existing stockholders pursuant to which the stockholders exchanged an aggregate of 2,952,000</w:t>
      </w:r>
      <w:r>
        <w:rPr>
          <w:rFonts w:ascii="Times New Roman" w:hAnsi="Times New Roman"/>
          <w:color w:val="000000"/>
          <w:sz w:val="20"/>
        </w:rPr>
        <w:t xml:space="preserve"> </w:t>
      </w:r>
      <w:r>
        <w:rPr>
          <w:rFonts w:ascii="Arial" w:hAnsi="Arial"/>
          <w:color w:val="000000"/>
          <w:sz w:val="20"/>
        </w:rPr>
        <w:t>shares of the Company’s common stock for the 2025 Pre-Funded Warrants to purchase up to an equivalent number of shares of common stock. The exchange of 152,000</w:t>
      </w:r>
      <w:r>
        <w:rPr>
          <w:rFonts w:ascii="Times New Roman" w:hAnsi="Times New Roman"/>
          <w:color w:val="000000"/>
          <w:sz w:val="20"/>
        </w:rPr>
        <w:t xml:space="preserve"> </w:t>
      </w:r>
      <w:r>
        <w:rPr>
          <w:rFonts w:ascii="Arial" w:hAnsi="Arial"/>
          <w:color w:val="000000"/>
          <w:sz w:val="20"/>
        </w:rPr>
        <w:t>of shares of the Company's common stock settled in July 2025.</w:t>
      </w:r>
    </w:p>
    <w:p>
      <w:pPr>
        <w:pStyle w:val="TextBody"/>
        <w:bidi w:val="0"/>
        <w:spacing w:before="240" w:after="283"/>
        <w:jc w:val="left"/>
        <w:rPr>
          <w:rFonts w:ascii="Arial" w:hAnsi="Arial"/>
          <w:color w:val="000000"/>
          <w:sz w:val="20"/>
        </w:rPr>
      </w:pPr>
      <w:r>
        <w:rPr>
          <w:rFonts w:ascii="Arial" w:hAnsi="Arial"/>
          <w:color w:val="000000"/>
          <w:sz w:val="20"/>
        </w:rPr>
        <w:t>The exchange transactions were completed pursuant to Section 3(a)(9) of the Securities Act of 1933, as amended, and no cash consideration was received by the Company. As there was no cash consideration and the exchange involved equity instruments, the transactions were accounted for as an equity-for-equity exchange with no gain or loss recognized. The Company valued the 2025 Pre-Funded Warrants at issuance, concluding that the closing stock price on the transaction close dates approximated their fair value.</w:t>
      </w:r>
    </w:p>
    <w:p>
      <w:pPr>
        <w:pStyle w:val="TextBody"/>
        <w:bidi w:val="0"/>
        <w:spacing w:before="360" w:after="160"/>
        <w:jc w:val="left"/>
        <w:rPr>
          <w:rFonts w:ascii="Arial" w:hAnsi="Arial"/>
          <w:b/>
          <w:i/>
          <w:color w:val="000000"/>
          <w:sz w:val="20"/>
        </w:rPr>
      </w:pPr>
      <w:r>
        <w:rPr>
          <w:rFonts w:ascii="Arial" w:hAnsi="Arial"/>
          <w:b/>
          <w:i/>
          <w:color w:val="000000"/>
          <w:sz w:val="20"/>
        </w:rPr>
        <w:t>Pre-Funded Warrants</w:t>
      </w:r>
    </w:p>
    <w:p>
      <w:pPr>
        <w:pStyle w:val="TextBody"/>
        <w:bidi w:val="0"/>
        <w:jc w:val="left"/>
        <w:rPr>
          <w:rFonts w:ascii="Times New Roman" w:hAnsi="Times New Roman"/>
          <w:sz w:val="20"/>
        </w:rPr>
      </w:pPr>
      <w:r>
        <w:rPr>
          <w:rFonts w:ascii="Arial" w:hAnsi="Arial"/>
          <w:color w:val="000000"/>
          <w:sz w:val="20"/>
        </w:rPr>
        <w:t>The 2025 Pre-Funded Warrants and the 2026 Pre-Funded Warrants (collectively, the “Pre-Funded Warrants”) have</w:t>
      </w:r>
      <w:r>
        <w:rPr>
          <w:rFonts w:ascii="Times New Roman" w:hAnsi="Times New Roman"/>
          <w:color w:val="000000"/>
          <w:sz w:val="20"/>
        </w:rPr>
        <w:t xml:space="preserve"> </w:t>
      </w:r>
      <w:r>
        <w:rPr>
          <w:rFonts w:ascii="Arial" w:hAnsi="Arial"/>
          <w:color w:val="000000"/>
          <w:sz w:val="20"/>
        </w:rPr>
        <w:t>an exercise price of $0.00001</w:t>
      </w:r>
      <w:r>
        <w:rPr>
          <w:rFonts w:ascii="Times New Roman" w:hAnsi="Times New Roman"/>
          <w:color w:val="000000"/>
          <w:sz w:val="20"/>
        </w:rPr>
        <w:t xml:space="preserve"> </w:t>
      </w:r>
      <w:r>
        <w:rPr>
          <w:rFonts w:ascii="Arial" w:hAnsi="Arial"/>
          <w:color w:val="000000"/>
          <w:sz w:val="20"/>
        </w:rPr>
        <w:t>per share and do not have an expiration date. The Pre-Funded Warrants include a beneficial ownership limitation that restricts the holders from exercising any portion of the Pre-Funded Warrant to the extent that, following such exercise, the holder would own more than 9.99% of the Company’s outstanding common stock. The ownership limitation may be increased by the holders to up to 19.99% upon 61 days’ prior written notice to the Company.</w:t>
      </w:r>
    </w:p>
    <w:p>
      <w:pPr>
        <w:pStyle w:val="TextBody"/>
        <w:bidi w:val="0"/>
        <w:spacing w:before="240" w:after="283"/>
        <w:jc w:val="left"/>
        <w:rPr>
          <w:rFonts w:ascii="Times New Roman" w:hAnsi="Times New Roman"/>
          <w:sz w:val="20"/>
        </w:rPr>
      </w:pPr>
      <w:r>
        <w:rPr>
          <w:rFonts w:ascii="Arial" w:hAnsi="Arial"/>
          <w:color w:val="000000"/>
          <w:sz w:val="20"/>
        </w:rPr>
        <w:t>The Pre-Funded Warrants meet the criteria for equity classification under ASC 815-40,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and (v) are indexed to the Company’s common stock. Accordingly, the Pre-Funded Warrants were recorded in additional paid-in capital within stockholders’ equity.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of March 31, 2026, all of the Pre-Funded Warrants remain unexercised.</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Note 9. Equity Incentive Plan and Stock-Based Compensation</w:t>
      </w:r>
    </w:p>
    <w:p>
      <w:pPr>
        <w:pStyle w:val="TextBody"/>
        <w:bidi w:val="0"/>
        <w:spacing w:before="120" w:after="283"/>
        <w:jc w:val="left"/>
        <w:rPr>
          <w:rFonts w:ascii="Arial" w:hAnsi="Arial"/>
          <w:b/>
          <w:i/>
          <w:color w:val="000000"/>
          <w:sz w:val="20"/>
        </w:rPr>
      </w:pPr>
      <w:r>
        <w:rPr>
          <w:rFonts w:ascii="Arial" w:hAnsi="Arial"/>
          <w:b/>
          <w:i/>
          <w:color w:val="000000"/>
          <w:sz w:val="20"/>
        </w:rPr>
        <w:t>2022 Equity Incentive Plan</w:t>
      </w:r>
    </w:p>
    <w:p>
      <w:pPr>
        <w:pStyle w:val="TextBody"/>
        <w:bidi w:val="0"/>
        <w:spacing w:before="120" w:after="283"/>
        <w:jc w:val="left"/>
        <w:rPr>
          <w:rFonts w:ascii="Times New Roman" w:hAnsi="Times New Roman"/>
          <w:sz w:val="20"/>
        </w:rPr>
      </w:pPr>
      <w:r>
        <w:rPr>
          <w:rFonts w:ascii="Arial" w:hAnsi="Arial"/>
          <w:color w:val="000000"/>
          <w:sz w:val="20"/>
        </w:rPr>
        <w:t>The Company adopted the 2022 Equity Incentive Plan (the “2022 Plan”) effective upon the closing of the IPO, which provides for the granting of incentive stock options (“ISOs”) to the Company's employees, and for the grant of nonstatutory stock options (“NSOs”), stock appreciation rights, restricted stock awards (“RSAs”), RSUs, performance awards, and other forms of awards to employees, directors, and consultants. As of March 31, 2026, no</w:t>
      </w:r>
      <w:r>
        <w:rPr>
          <w:rFonts w:ascii="Times New Roman" w:hAnsi="Times New Roman"/>
          <w:color w:val="000000"/>
          <w:sz w:val="20"/>
        </w:rPr>
        <w:t xml:space="preserve"> </w:t>
      </w:r>
      <w:r>
        <w:rPr>
          <w:rFonts w:ascii="Arial" w:hAnsi="Arial"/>
          <w:color w:val="000000"/>
          <w:sz w:val="20"/>
        </w:rPr>
        <w:t>stock appreciation rights or performance awards were issued.</w:t>
      </w:r>
    </w:p>
    <w:p>
      <w:pPr>
        <w:pStyle w:val="TextBody"/>
        <w:bidi w:val="0"/>
        <w:spacing w:before="240" w:after="283"/>
        <w:jc w:val="left"/>
        <w:rPr>
          <w:rFonts w:ascii="Times New Roman" w:hAnsi="Times New Roman"/>
          <w:sz w:val="20"/>
        </w:rPr>
      </w:pPr>
      <w:r>
        <w:rPr>
          <w:rFonts w:ascii="Arial" w:hAnsi="Arial"/>
          <w:color w:val="000000"/>
          <w:sz w:val="20"/>
        </w:rPr>
        <w:t>The Company initially reserved for issuance 1,870,000</w:t>
      </w:r>
      <w:r>
        <w:rPr>
          <w:rFonts w:ascii="Times New Roman" w:hAnsi="Times New Roman"/>
          <w:color w:val="000000"/>
          <w:sz w:val="20"/>
        </w:rPr>
        <w:t xml:space="preserve"> </w:t>
      </w:r>
      <w:r>
        <w:rPr>
          <w:rFonts w:ascii="Arial" w:hAnsi="Arial"/>
          <w:color w:val="000000"/>
          <w:sz w:val="20"/>
        </w:rPr>
        <w:t>new shares of common stock pursuant to the 2022 Plan. The Company’s Amended and Restated 2017 Equity Incentive Plan (the “2017 Plan”) was terminated in 2022; however, shares underlying outstanding stock awards granted under the 2017 Plan will continue to be governed by the 2017 Plan. Shares available under the 2017 Plan were added to the available shares in the 2022 Plan. Shares underlying outstanding stock awards granted under the 2017 Plan that expire or are repurchased by, forfeited to, cancelled or withheld by the Company will also be reserved for issuance under the 2022 Plan.</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The initial number of shares of the Company’s common stock that may be issued under the 2022 Plan will not exceed 4,423,920</w:t>
      </w:r>
      <w:r>
        <w:rPr>
          <w:rFonts w:ascii="Times New Roman" w:hAnsi="Times New Roman"/>
          <w:color w:val="000000"/>
          <w:sz w:val="20"/>
        </w:rPr>
        <w:t xml:space="preserve"> </w:t>
      </w:r>
      <w:r>
        <w:rPr>
          <w:rFonts w:ascii="Arial" w:hAnsi="Arial"/>
          <w:color w:val="000000"/>
          <w:sz w:val="20"/>
        </w:rPr>
        <w:t>shares of the Company's common stock, which is the sum of (i) 1,870,000</w:t>
      </w:r>
      <w:r>
        <w:rPr>
          <w:rFonts w:ascii="Times New Roman" w:hAnsi="Times New Roman"/>
          <w:color w:val="000000"/>
          <w:sz w:val="20"/>
        </w:rPr>
        <w:t xml:space="preserve"> </w:t>
      </w:r>
      <w:r>
        <w:rPr>
          <w:rFonts w:ascii="Arial" w:hAnsi="Arial"/>
          <w:color w:val="000000"/>
          <w:sz w:val="20"/>
        </w:rPr>
        <w:t>new shares, plus (ii) 2,553,920</w:t>
      </w:r>
      <w:r>
        <w:rPr>
          <w:rFonts w:ascii="Times New Roman" w:hAnsi="Times New Roman"/>
          <w:color w:val="000000"/>
          <w:sz w:val="20"/>
        </w:rPr>
        <w:t xml:space="preserve"> </w:t>
      </w:r>
      <w:r>
        <w:rPr>
          <w:rFonts w:ascii="Arial" w:hAnsi="Arial"/>
          <w:color w:val="000000"/>
          <w:sz w:val="20"/>
        </w:rPr>
        <w:t>shares related to the 2017 Plan. In addition, the number of shares of the Company’s common stock reserved for issuance under the 2022 Plan will automatically increase on January 1 of each year for a period of ten years, beginning on January 1, 2023 and continuing through January 1, 2032, in an amount equal to (1) 4% of the total number of shares of the Company’s common stock outstanding on December 31 of the immediately preceding year, or (2) a lesser number of shares determined by the Company's board of directors no later than December 31 of the immediately preceding year. Accordingly, effective January 1, 2026, the number of shares in the 2022 Plan increased by 1,096,526</w:t>
      </w:r>
      <w:r>
        <w:rPr>
          <w:rFonts w:ascii="Times New Roman" w:hAnsi="Times New Roman"/>
          <w:color w:val="000000"/>
          <w:sz w:val="20"/>
        </w:rPr>
        <w:t xml:space="preserve"> </w:t>
      </w:r>
      <w:r>
        <w:rPr>
          <w:rFonts w:ascii="Arial" w:hAnsi="Arial"/>
          <w:color w:val="000000"/>
          <w:sz w:val="20"/>
        </w:rPr>
        <w:t>shares, representing 4% of the prior year end’s common stock outstanding</w:t>
      </w:r>
      <w:r>
        <w:rPr>
          <w:rFonts w:ascii="Times New Roman" w:hAnsi="Times New Roman"/>
          <w:color w:val="000000"/>
          <w:sz w:val="20"/>
        </w:rPr>
        <w:t xml:space="preserve">. </w:t>
      </w:r>
      <w:r>
        <w:rPr>
          <w:rFonts w:ascii="Arial" w:hAnsi="Arial"/>
          <w:color w:val="000000"/>
          <w:sz w:val="20"/>
        </w:rPr>
        <w:t>The maximum number of shares of the Company's common stock that may be issued on the exercise of stock options or vesting of RSUs under the 2022 Plan is 13,271,760</w:t>
      </w:r>
      <w:r>
        <w:rPr>
          <w:rFonts w:ascii="Times New Roman" w:hAnsi="Times New Roman"/>
          <w:color w:val="000000"/>
          <w:sz w:val="20"/>
        </w:rPr>
        <w:t xml:space="preserve"> </w:t>
      </w:r>
      <w:r>
        <w:rPr>
          <w:rFonts w:ascii="Arial" w:hAnsi="Arial"/>
          <w:color w:val="000000"/>
          <w:sz w:val="20"/>
        </w:rPr>
        <w:t>shares.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Since the date of incorporation and through March 31, 2026, the Company has issued stock options, RSUs and RSAs to its employees, directors, and consultants. As of March 31, 2026, 192,676</w:t>
      </w:r>
      <w:r>
        <w:rPr>
          <w:rFonts w:ascii="Times New Roman" w:hAnsi="Times New Roman"/>
          <w:color w:val="000000"/>
          <w:sz w:val="20"/>
        </w:rPr>
        <w:t xml:space="preserve"> </w:t>
      </w:r>
      <w:r>
        <w:rPr>
          <w:rFonts w:ascii="Arial" w:hAnsi="Arial"/>
          <w:color w:val="000000"/>
          <w:sz w:val="20"/>
        </w:rPr>
        <w:t>shares of common stock remained available for future issuance under the 2022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ISOs granted to newly hired employees under the 2022 Plan generally vest 25% after the completion of 12 months of service, and the balance vests in equal monthly installments over the next 36</w:t>
      </w:r>
      <w:r>
        <w:rPr>
          <w:rFonts w:ascii="Times New Roman" w:hAnsi="Times New Roman"/>
          <w:color w:val="000000"/>
          <w:sz w:val="20"/>
        </w:rPr>
        <w:t xml:space="preserve"> </w:t>
      </w:r>
      <w:r>
        <w:rPr>
          <w:rFonts w:ascii="Arial" w:hAnsi="Arial"/>
          <w:color w:val="000000"/>
          <w:sz w:val="20"/>
        </w:rPr>
        <w:t>months of service and expire ten years</w:t>
      </w:r>
      <w:r>
        <w:rPr>
          <w:rFonts w:ascii="Times New Roman" w:hAnsi="Times New Roman"/>
          <w:color w:val="000000"/>
          <w:sz w:val="20"/>
        </w:rPr>
        <w:t xml:space="preserve"> </w:t>
      </w:r>
      <w:r>
        <w:rPr>
          <w:rFonts w:ascii="Arial" w:hAnsi="Arial"/>
          <w:color w:val="000000"/>
          <w:sz w:val="20"/>
        </w:rPr>
        <w:t>from the grant date, unless subject to provisions regarding 10% stockholders. ISOs granted to existing employees generally vest ratably over a 48-month period of service and expire ten years</w:t>
      </w:r>
      <w:r>
        <w:rPr>
          <w:rFonts w:ascii="Times New Roman" w:hAnsi="Times New Roman"/>
          <w:color w:val="000000"/>
          <w:sz w:val="20"/>
        </w:rPr>
        <w:t xml:space="preserve"> </w:t>
      </w:r>
      <w:r>
        <w:rPr>
          <w:rFonts w:ascii="Arial" w:hAnsi="Arial"/>
          <w:color w:val="000000"/>
          <w:sz w:val="20"/>
        </w:rPr>
        <w:t>from the grant date. NSOs vest in accordance with the terms of the specific agreement under which the options were provided and expire ten years</w:t>
      </w:r>
      <w:r>
        <w:rPr>
          <w:rFonts w:ascii="Times New Roman" w:hAnsi="Times New Roman"/>
          <w:color w:val="000000"/>
          <w:sz w:val="20"/>
        </w:rPr>
        <w:t xml:space="preserve"> </w:t>
      </w:r>
      <w:r>
        <w:rPr>
          <w:rFonts w:ascii="Arial" w:hAnsi="Arial"/>
          <w:color w:val="000000"/>
          <w:sz w:val="20"/>
        </w:rPr>
        <w:t>from the date of grant. RSUs granted to employees generally vest annually over a two</w:t>
      </w:r>
      <w:r>
        <w:rPr>
          <w:rFonts w:ascii="Times New Roman" w:hAnsi="Times New Roman"/>
          <w:color w:val="000000"/>
          <w:sz w:val="20"/>
        </w:rPr>
        <w:t xml:space="preserve"> </w:t>
      </w:r>
      <w:r>
        <w:rPr>
          <w:rFonts w:ascii="Arial" w:hAnsi="Arial"/>
          <w:color w:val="000000"/>
          <w:sz w:val="20"/>
        </w:rPr>
        <w:t>to four year</w:t>
      </w:r>
      <w:r>
        <w:rPr>
          <w:rFonts w:ascii="Times New Roman" w:hAnsi="Times New Roman"/>
          <w:color w:val="000000"/>
          <w:sz w:val="20"/>
        </w:rPr>
        <w:t xml:space="preserve"> </w:t>
      </w:r>
      <w:r>
        <w:rPr>
          <w:rFonts w:ascii="Arial" w:hAnsi="Arial"/>
          <w:color w:val="000000"/>
          <w:sz w:val="20"/>
        </w:rPr>
        <w:t>period of service and expire ten years</w:t>
      </w:r>
      <w:r>
        <w:rPr>
          <w:rFonts w:ascii="Times New Roman" w:hAnsi="Times New Roman"/>
          <w:color w:val="000000"/>
          <w:sz w:val="20"/>
        </w:rPr>
        <w:t xml:space="preserve"> </w:t>
      </w:r>
      <w:r>
        <w:rPr>
          <w:rFonts w:ascii="Arial" w:hAnsi="Arial"/>
          <w:color w:val="000000"/>
          <w:sz w:val="20"/>
        </w:rPr>
        <w:t>from the grant date. RSAs and RSUs granted to non-employees generally vest at the time of grant and expire ten years</w:t>
      </w:r>
      <w:r>
        <w:rPr>
          <w:rFonts w:ascii="Times New Roman" w:hAnsi="Times New Roman"/>
          <w:color w:val="000000"/>
          <w:sz w:val="20"/>
        </w:rPr>
        <w:t xml:space="preserve"> </w:t>
      </w:r>
      <w:r>
        <w:rPr>
          <w:rFonts w:ascii="Arial" w:hAnsi="Arial"/>
          <w:color w:val="000000"/>
          <w:sz w:val="20"/>
        </w:rPr>
        <w:t>from the grant date.</w:t>
      </w:r>
    </w:p>
    <w:p>
      <w:pPr>
        <w:pStyle w:val="TextBody"/>
        <w:bidi w:val="0"/>
        <w:spacing w:before="360" w:after="283"/>
        <w:jc w:val="left"/>
        <w:rPr>
          <w:rFonts w:ascii="Arial" w:hAnsi="Arial"/>
          <w:b/>
          <w:i/>
          <w:color w:val="000000"/>
          <w:sz w:val="20"/>
        </w:rPr>
      </w:pPr>
      <w:r>
        <w:rPr>
          <w:rFonts w:ascii="Arial" w:hAnsi="Arial"/>
          <w:b/>
          <w:i/>
          <w:color w:val="000000"/>
          <w:sz w:val="20"/>
        </w:rPr>
        <w:t>Stock-Based Compensation Expense</w:t>
      </w:r>
    </w:p>
    <w:p>
      <w:pPr>
        <w:pStyle w:val="TextBody"/>
        <w:bidi w:val="0"/>
        <w:spacing w:before="120" w:after="283"/>
        <w:jc w:val="left"/>
        <w:rPr>
          <w:rFonts w:ascii="Arial" w:hAnsi="Arial"/>
          <w:color w:val="000000"/>
          <w:sz w:val="20"/>
        </w:rPr>
      </w:pPr>
      <w:r>
        <w:rPr>
          <w:rFonts w:ascii="Arial" w:hAnsi="Arial"/>
          <w:color w:val="000000"/>
          <w:sz w:val="20"/>
        </w:rPr>
        <w:t>The following table summarizes the components of stock-based compensation expense recognized in the Company’s condensed statements of operations and comprehensive loss during the three months ended March 31, 2026 and 2025 (in thousands):</w:t>
      </w:r>
    </w:p>
    <w:p>
      <w:pPr>
        <w:pStyle w:val="TextBody"/>
        <w:bidi w:val="0"/>
        <w:jc w:val="left"/>
        <w:rPr/>
      </w:pPr>
      <w:r>
        <w:rPr/>
        <w:t> </w:t>
      </w:r>
    </w:p>
    <w:tbl>
      <w:tblPr>
        <w:tblW w:w="6276" w:type="dxa"/>
        <w:jc w:val="left"/>
        <w:tblInd w:w="0" w:type="dxa"/>
        <w:tblLayout w:type="fixed"/>
        <w:tblCellMar>
          <w:top w:w="28" w:type="dxa"/>
          <w:left w:w="28" w:type="dxa"/>
          <w:bottom w:w="28" w:type="dxa"/>
          <w:right w:w="28" w:type="dxa"/>
        </w:tblCellMar>
      </w:tblPr>
      <w:tblGrid>
        <w:gridCol w:w="3391"/>
        <w:gridCol w:w="146"/>
        <w:gridCol w:w="285"/>
        <w:gridCol w:w="792"/>
        <w:gridCol w:w="197"/>
        <w:gridCol w:w="197"/>
        <w:gridCol w:w="285"/>
        <w:gridCol w:w="792"/>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Stock Option Activity</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 summary of the stock option activity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55"/>
        <w:gridCol w:w="146"/>
        <w:gridCol w:w="190"/>
        <w:gridCol w:w="1257"/>
        <w:gridCol w:w="166"/>
        <w:gridCol w:w="146"/>
        <w:gridCol w:w="413"/>
        <w:gridCol w:w="1148"/>
        <w:gridCol w:w="146"/>
        <w:gridCol w:w="146"/>
        <w:gridCol w:w="518"/>
        <w:gridCol w:w="1711"/>
        <w:gridCol w:w="146"/>
        <w:gridCol w:w="146"/>
        <w:gridCol w:w="342"/>
        <w:gridCol w:w="954"/>
        <w:gridCol w:w="475"/>
      </w:tblGrid>
      <w:tr>
        <w:trPr/>
        <w:tc>
          <w:tcPr>
            <w:tcW w:w="2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Weighted-Average Remaining Contractual Life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Intrinsic Value</w:t>
              <w:br/>
              <w:t>(in thousands)</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5,466,222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1,008,050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1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1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expected to vest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6,443,394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7,321</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4,232,659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2,959</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As of March 31, 2026, there was unrecognized stock-based compensation expense of $3.8</w:t>
      </w:r>
      <w:r>
        <w:rPr>
          <w:rFonts w:ascii="Times New Roman" w:hAnsi="Times New Roman"/>
          <w:color w:val="000000"/>
          <w:sz w:val="20"/>
        </w:rPr>
        <w:t xml:space="preserve"> </w:t>
      </w:r>
      <w:r>
        <w:rPr>
          <w:rFonts w:ascii="Arial" w:hAnsi="Arial"/>
          <w:color w:val="000000"/>
          <w:sz w:val="20"/>
        </w:rPr>
        <w:t>million related to unvested stock options which the Company expects to recognize over a weighted-average period of 2.2</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left"/>
        <w:rPr>
          <w:rFonts w:ascii="Times New Roman" w:hAnsi="Times New Roman"/>
          <w:sz w:val="20"/>
        </w:rPr>
      </w:pPr>
      <w:r>
        <w:rPr>
          <w:rFonts w:ascii="Arial" w:hAnsi="Arial"/>
          <w:color w:val="000000"/>
          <w:sz w:val="20"/>
        </w:rPr>
        <w:t>Weighted-average grant-date fair value of the options granted during the three months ended March 31, 2026 was $0.88</w:t>
      </w:r>
      <w:r>
        <w:rPr>
          <w:rFonts w:ascii="Times New Roman" w:hAnsi="Times New Roman"/>
          <w:color w:val="000000"/>
          <w:sz w:val="20"/>
        </w:rPr>
        <w:t xml:space="preserve"> </w:t>
      </w:r>
      <w:r>
        <w:rPr>
          <w:rFonts w:ascii="Arial" w:hAnsi="Arial"/>
          <w:color w:val="000000"/>
          <w:sz w:val="20"/>
        </w:rPr>
        <w:t>per share.</w:t>
      </w:r>
    </w:p>
    <w:p>
      <w:pPr>
        <w:pStyle w:val="TextBody"/>
        <w:bidi w:val="0"/>
        <w:spacing w:before="360" w:after="120"/>
        <w:jc w:val="left"/>
        <w:rPr>
          <w:rFonts w:ascii="Arial" w:hAnsi="Arial"/>
          <w:b/>
          <w:i/>
          <w:color w:val="000000"/>
          <w:sz w:val="20"/>
        </w:rPr>
      </w:pPr>
      <w:r>
        <w:rPr>
          <w:rFonts w:ascii="Arial" w:hAnsi="Arial"/>
          <w:b/>
          <w:i/>
          <w:color w:val="000000"/>
          <w:sz w:val="20"/>
        </w:rPr>
        <w:t>Option Repricing</w:t>
      </w:r>
    </w:p>
    <w:p>
      <w:pPr>
        <w:pStyle w:val="TextBody"/>
        <w:bidi w:val="0"/>
        <w:jc w:val="left"/>
        <w:rPr>
          <w:rFonts w:ascii="Times New Roman" w:hAnsi="Times New Roman"/>
          <w:sz w:val="20"/>
        </w:rPr>
      </w:pPr>
      <w:r>
        <w:rPr>
          <w:rFonts w:ascii="Arial" w:hAnsi="Arial"/>
          <w:color w:val="000000"/>
          <w:sz w:val="20"/>
        </w:rPr>
        <w:t>On March 19, 2026 (the “Repricing Date”), in accordance with the 2017 Plan and the 2022 Plan (together, the “Plans”), the Board approved a stock option repricing (the “Option Repricing”), effective as of the Repricing Date, of all outstanding stock options with an exercise price greater than $3.91</w:t>
      </w:r>
      <w:r>
        <w:rPr>
          <w:rFonts w:ascii="Times New Roman" w:hAnsi="Times New Roman"/>
          <w:color w:val="000000"/>
          <w:sz w:val="20"/>
        </w:rPr>
        <w:t xml:space="preserve"> </w:t>
      </w:r>
      <w:r>
        <w:rPr>
          <w:rFonts w:ascii="Arial" w:hAnsi="Arial"/>
          <w:color w:val="000000"/>
          <w:sz w:val="20"/>
        </w:rPr>
        <w:t>granted under the Plans prior to the Repricing Date (the “Eligible Options”), including stock options held by the Company’s named executive officers and non-employee members of the Board. The Board believes that the Option Repricing with the Premium End Date (as defined below) is in the best interests of the Company, as the amended stock options will provide added incentives to retain and motivate Plan participants without incurring the stock dilution resulting from significant additional equity grants to the eligible participants or significant additional cash expenditures resulting from additional cash compensation.</w:t>
      </w:r>
    </w:p>
    <w:p>
      <w:pPr>
        <w:pStyle w:val="TextBody"/>
        <w:bidi w:val="0"/>
        <w:spacing w:before="240" w:after="283"/>
        <w:jc w:val="left"/>
        <w:rPr>
          <w:rFonts w:ascii="Times New Roman" w:hAnsi="Times New Roman"/>
          <w:sz w:val="20"/>
        </w:rPr>
      </w:pPr>
      <w:r>
        <w:rPr>
          <w:rFonts w:ascii="Arial" w:hAnsi="Arial"/>
          <w:color w:val="000000"/>
          <w:sz w:val="20"/>
        </w:rPr>
        <w:t>Pursuant to the Option Repricing, the exercise price of each Eligible Option was reduced to $3.91</w:t>
      </w:r>
      <w:r>
        <w:rPr>
          <w:rFonts w:ascii="Times New Roman" w:hAnsi="Times New Roman"/>
          <w:color w:val="000000"/>
          <w:sz w:val="20"/>
        </w:rPr>
        <w:t xml:space="preserve"> </w:t>
      </w:r>
      <w:r>
        <w:rPr>
          <w:rFonts w:ascii="Arial" w:hAnsi="Arial"/>
          <w:color w:val="000000"/>
          <w:sz w:val="20"/>
        </w:rPr>
        <w:t>per share, the closing price of the Company’s common stock on the Repricing Date. To the extent an Eligible Option is exercised prior to the Premium End Date, or the eligible holder’s services with the Company terminates prior to the Premium End Date, the holder will be required to pay the original exercise price per share of the Eligible Options. The “Premium End Date” is the earliest of (i) September 19, 2027 (the “Retention Period”), (ii) the date of a change in control, or (iii) the eligible holder’s death or disability. Except for the reduction in the exercise prices of the Eligible Options as described above, the Eligible Options retain their existing terms and conditions as set forth in the Plans and the applicable award agreements.</w:t>
      </w:r>
    </w:p>
    <w:p>
      <w:pPr>
        <w:pStyle w:val="TextBody"/>
        <w:bidi w:val="0"/>
        <w:spacing w:before="240" w:after="283"/>
        <w:jc w:val="left"/>
        <w:rPr>
          <w:rFonts w:ascii="Times New Roman" w:hAnsi="Times New Roman"/>
          <w:sz w:val="20"/>
        </w:rPr>
      </w:pPr>
      <w:r>
        <w:rPr>
          <w:rFonts w:ascii="Arial" w:hAnsi="Arial"/>
          <w:color w:val="000000"/>
          <w:sz w:val="20"/>
        </w:rPr>
        <w:t>The Option Repricing resulted in $0.4</w:t>
      </w:r>
      <w:r>
        <w:rPr>
          <w:rFonts w:ascii="Times New Roman" w:hAnsi="Times New Roman"/>
          <w:color w:val="000000"/>
          <w:sz w:val="20"/>
        </w:rPr>
        <w:t xml:space="preserve"> </w:t>
      </w:r>
      <w:r>
        <w:rPr>
          <w:rFonts w:ascii="Arial" w:hAnsi="Arial"/>
          <w:color w:val="000000"/>
          <w:sz w:val="20"/>
        </w:rPr>
        <w:t>million of incremental stock compensation expense for both vested and unvested options, which was calculated using the Black-Scholes option-pricing model, and will be recognized on a straight-line basis over the remaining Retention Period of the repriced options.</w:t>
      </w:r>
    </w:p>
    <w:p>
      <w:pPr>
        <w:pStyle w:val="TextBody"/>
        <w:bidi w:val="0"/>
        <w:spacing w:before="240" w:after="283"/>
        <w:jc w:val="left"/>
        <w:rPr>
          <w:rFonts w:ascii="Arial" w:hAnsi="Arial"/>
          <w:color w:val="000000"/>
          <w:sz w:val="20"/>
        </w:rPr>
      </w:pPr>
      <w:r>
        <w:rPr>
          <w:rFonts w:ascii="Arial" w:hAnsi="Arial"/>
          <w:color w:val="000000"/>
          <w:sz w:val="20"/>
        </w:rPr>
        <w:t>Of the incremental compensation cost, an immaterial amount was recognized during the three months ended March 31, 2026.</w:t>
      </w:r>
    </w:p>
    <w:p>
      <w:pPr>
        <w:pStyle w:val="TextBody"/>
        <w:bidi w:val="0"/>
        <w:spacing w:before="360" w:after="283"/>
        <w:jc w:val="left"/>
        <w:rPr>
          <w:rFonts w:ascii="Arial" w:hAnsi="Arial"/>
          <w:b/>
          <w:i/>
          <w:color w:val="000000"/>
          <w:sz w:val="20"/>
        </w:rPr>
      </w:pPr>
      <w:r>
        <w:rPr>
          <w:rFonts w:ascii="Arial" w:hAnsi="Arial"/>
          <w:b/>
          <w:i/>
          <w:color w:val="000000"/>
          <w:sz w:val="20"/>
        </w:rPr>
        <w:t>RSU Activity</w:t>
      </w:r>
    </w:p>
    <w:p>
      <w:pPr>
        <w:pStyle w:val="TextBody"/>
        <w:bidi w:val="0"/>
        <w:spacing w:before="120" w:after="283"/>
        <w:jc w:val="left"/>
        <w:rPr>
          <w:rFonts w:ascii="Arial" w:hAnsi="Arial"/>
          <w:color w:val="000000"/>
          <w:sz w:val="20"/>
        </w:rPr>
      </w:pPr>
      <w:r>
        <w:rPr>
          <w:rFonts w:ascii="Arial" w:hAnsi="Arial"/>
          <w:color w:val="000000"/>
          <w:sz w:val="20"/>
        </w:rPr>
        <w:t>RSUs entitle the holder to receive shares of the Company’s common stock upon vesting. The fair value of RSUs is based upon the closing sales price of the Company’s common stock on the grant date.</w:t>
      </w:r>
    </w:p>
    <w:p>
      <w:pPr>
        <w:pStyle w:val="TextBody"/>
        <w:bidi w:val="0"/>
        <w:spacing w:before="240" w:after="283"/>
        <w:jc w:val="left"/>
        <w:rPr>
          <w:rFonts w:ascii="Times New Roman" w:hAnsi="Times New Roman"/>
          <w:sz w:val="20"/>
        </w:rPr>
      </w:pPr>
      <w:r>
        <w:rPr>
          <w:rFonts w:ascii="Arial" w:hAnsi="Arial"/>
          <w:color w:val="000000"/>
          <w:sz w:val="20"/>
        </w:rPr>
        <w:t>A summary of the RSU activity is as follows:</w:t>
        <w:br/>
      </w:r>
      <w:r>
        <w:rPr>
          <w:rFonts w:ascii="Times New Roman" w:hAnsi="Times New Roman"/>
          <w:color w:val="000000"/>
          <w:sz w:val="20"/>
        </w:rPr>
        <w:t> </w:t>
      </w:r>
    </w:p>
    <w:tbl>
      <w:tblPr>
        <w:tblW w:w="7050" w:type="dxa"/>
        <w:jc w:val="left"/>
        <w:tblInd w:w="0" w:type="dxa"/>
        <w:tblLayout w:type="fixed"/>
        <w:tblCellMar>
          <w:top w:w="28" w:type="dxa"/>
          <w:left w:w="28" w:type="dxa"/>
          <w:bottom w:w="28" w:type="dxa"/>
          <w:right w:w="28" w:type="dxa"/>
        </w:tblCellMar>
      </w:tblPr>
      <w:tblGrid>
        <w:gridCol w:w="2926"/>
        <w:gridCol w:w="146"/>
        <w:gridCol w:w="186"/>
        <w:gridCol w:w="1224"/>
        <w:gridCol w:w="166"/>
        <w:gridCol w:w="146"/>
        <w:gridCol w:w="543"/>
        <w:gridCol w:w="1242"/>
        <w:gridCol w:w="47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br/>
              <w:t>Grant Date 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701,665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Vested and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1,275,412</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As of March 31, 2026, there was unrecognized stock-based compensation expense of $1.3</w:t>
      </w:r>
      <w:r>
        <w:rPr>
          <w:rFonts w:ascii="Times New Roman" w:hAnsi="Times New Roman"/>
          <w:color w:val="000000"/>
          <w:sz w:val="20"/>
        </w:rPr>
        <w:t xml:space="preserve"> </w:t>
      </w:r>
      <w:r>
        <w:rPr>
          <w:rFonts w:ascii="Arial" w:hAnsi="Arial"/>
          <w:color w:val="000000"/>
          <w:sz w:val="20"/>
        </w:rPr>
        <w:t>million related to unvested RSUs which the Company expects to recognize over a weighted-average period of 3.1</w:t>
      </w:r>
      <w:r>
        <w:rPr>
          <w:rFonts w:ascii="Times New Roman" w:hAnsi="Times New Roman"/>
          <w:color w:val="000000"/>
          <w:sz w:val="20"/>
        </w:rPr>
        <w:t xml:space="preserve"> </w:t>
      </w:r>
      <w:r>
        <w:rPr>
          <w:rFonts w:ascii="Arial" w:hAnsi="Arial"/>
          <w:color w:val="000000"/>
          <w:sz w:val="20"/>
        </w:rPr>
        <w:t>years.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2022 Employee Stock Purchase Plan</w:t>
      </w:r>
    </w:p>
    <w:p>
      <w:pPr>
        <w:pStyle w:val="TextBody"/>
        <w:bidi w:val="0"/>
        <w:spacing w:before="120" w:after="283"/>
        <w:jc w:val="left"/>
        <w:rPr>
          <w:rFonts w:ascii="Arial" w:hAnsi="Arial"/>
          <w:color w:val="000000"/>
          <w:sz w:val="20"/>
        </w:rPr>
      </w:pPr>
      <w:r>
        <w:rPr>
          <w:rFonts w:ascii="Arial" w:hAnsi="Arial"/>
          <w:color w:val="000000"/>
          <w:sz w:val="20"/>
        </w:rPr>
        <w:t>The ESPP has two components: a component that is intended to qualify as an “employee stock purchase plan” under Section 423 of the Code (the “423 Component”) and a component that is not intended to qualify (the “Non-423 Component”). The ESPP allows eligible employees to purchase shares of the Company’s common stock at a discount through payroll deductions of up to 15% of their eligible compensation. At the end of each offering period, employees are able to purchase shares at 85% of the lower of the fair market value of the Company’s common stock at the beginning of the offering period or at the end of each applicable purchase period.</w:t>
      </w:r>
    </w:p>
    <w:p>
      <w:pPr>
        <w:pStyle w:val="TextBody"/>
        <w:bidi w:val="0"/>
        <w:spacing w:before="240" w:after="283"/>
        <w:jc w:val="left"/>
        <w:rPr>
          <w:rFonts w:ascii="Times New Roman" w:hAnsi="Times New Roman"/>
          <w:sz w:val="20"/>
        </w:rPr>
      </w:pPr>
      <w:r>
        <w:rPr>
          <w:rFonts w:ascii="Arial" w:hAnsi="Arial"/>
          <w:color w:val="000000"/>
          <w:sz w:val="20"/>
        </w:rPr>
        <w:t>Subject to adjustment in the case of certain capitalization events, 187,000</w:t>
      </w:r>
      <w:r>
        <w:rPr>
          <w:rFonts w:ascii="Times New Roman" w:hAnsi="Times New Roman"/>
          <w:color w:val="000000"/>
          <w:sz w:val="20"/>
        </w:rPr>
        <w:t xml:space="preserve"> </w:t>
      </w:r>
      <w:r>
        <w:rPr>
          <w:rFonts w:ascii="Arial" w:hAnsi="Arial"/>
          <w:color w:val="000000"/>
          <w:sz w:val="20"/>
        </w:rPr>
        <w:t>shares of the Company’s common stock were available for purchase at the adoption of the ESPP. Pursuant to the ESPP, the annual share increase pursuant to the evergreen provision is determined based on the least of (i) 1% of the Company’s common stock outstanding as of December 31 of the immediately preceding year, (ii) 561,000</w:t>
      </w:r>
      <w:r>
        <w:rPr>
          <w:rFonts w:ascii="Times New Roman" w:hAnsi="Times New Roman"/>
          <w:color w:val="000000"/>
          <w:sz w:val="20"/>
        </w:rPr>
        <w:t xml:space="preserve"> </w:t>
      </w:r>
      <w:r>
        <w:rPr>
          <w:rFonts w:ascii="Arial" w:hAnsi="Arial"/>
          <w:color w:val="000000"/>
          <w:sz w:val="20"/>
        </w:rPr>
        <w:t>shares, or (iii) such number of shares as determined by the Board. Accordingly, effective January 1, 2026, the number of shares in the ESPP increased by 274,131</w:t>
      </w:r>
      <w:r>
        <w:rPr>
          <w:rFonts w:ascii="Times New Roman" w:hAnsi="Times New Roman"/>
          <w:color w:val="000000"/>
          <w:sz w:val="20"/>
        </w:rPr>
        <w:t xml:space="preserve"> </w:t>
      </w:r>
      <w:r>
        <w:rPr>
          <w:rFonts w:ascii="Arial" w:hAnsi="Arial"/>
          <w:color w:val="000000"/>
          <w:sz w:val="20"/>
        </w:rPr>
        <w:t>shares, representing 1% of the prior year end’s common stock outstanding</w:t>
      </w:r>
      <w:r>
        <w:rPr>
          <w:rFonts w:ascii="Times New Roman" w:hAnsi="Times New Roman"/>
          <w:color w:val="000000"/>
          <w:sz w:val="20"/>
        </w:rPr>
        <w:t xml:space="preserve">. </w:t>
      </w:r>
      <w:r>
        <w:rPr>
          <w:rFonts w:ascii="Arial" w:hAnsi="Arial"/>
          <w:color w:val="000000"/>
          <w:sz w:val="20"/>
        </w:rPr>
        <w:t>As of March 31, 2026, 1,013,728</w:t>
      </w:r>
      <w:r>
        <w:rPr>
          <w:rFonts w:ascii="Times New Roman" w:hAnsi="Times New Roman"/>
          <w:color w:val="000000"/>
          <w:sz w:val="20"/>
        </w:rPr>
        <w:t xml:space="preserve"> </w:t>
      </w:r>
      <w:r>
        <w:rPr>
          <w:rFonts w:ascii="Arial" w:hAnsi="Arial"/>
          <w:color w:val="000000"/>
          <w:sz w:val="20"/>
        </w:rPr>
        <w:t>shares of common stock remained available for issuance under the ESPP.</w:t>
      </w:r>
      <w:r>
        <w:rPr>
          <w:rFonts w:ascii="Times New Roman" w:hAnsi="Times New Roman"/>
          <w:color w:val="000000"/>
          <w:sz w:val="20"/>
        </w:rPr>
        <w:t xml:space="preserve"> </w:t>
      </w:r>
    </w:p>
    <w:p>
      <w:pPr>
        <w:pStyle w:val="TextBody"/>
        <w:bidi w:val="0"/>
        <w:spacing w:before="240" w:after="360"/>
        <w:jc w:val="left"/>
        <w:rPr>
          <w:rFonts w:ascii="Times New Roman" w:hAnsi="Times New Roman"/>
          <w:sz w:val="20"/>
        </w:rPr>
      </w:pPr>
      <w:r>
        <w:rPr>
          <w:rFonts w:ascii="Arial" w:hAnsi="Arial"/>
          <w:color w:val="000000"/>
          <w:sz w:val="20"/>
        </w:rPr>
        <w:t>During the three months ended March 31, 2026 and 2025, the Company recognized an insignificant amount of stock-based compensation expense related to the ESPP.</w:t>
      </w:r>
      <w:r>
        <w:rPr>
          <w:rFonts w:ascii="Times New Roman" w:hAnsi="Times New Roman"/>
          <w:color w:val="000000"/>
          <w:sz w:val="20"/>
        </w:rPr>
        <w:t xml:space="preserve"> </w:t>
      </w:r>
    </w:p>
    <w:p>
      <w:pPr>
        <w:pStyle w:val="TextBody"/>
        <w:bidi w:val="0"/>
        <w:jc w:val="left"/>
        <w:rPr>
          <w:rFonts w:ascii="Arial" w:hAnsi="Arial"/>
          <w:b/>
          <w:color w:val="000000"/>
          <w:sz w:val="20"/>
        </w:rPr>
      </w:pPr>
      <w:r>
        <w:rPr>
          <w:rFonts w:ascii="Arial" w:hAnsi="Arial"/>
          <w:b/>
          <w:color w:val="000000"/>
          <w:sz w:val="20"/>
        </w:rPr>
        <w:t>Note 10. Net Loss Per Share</w:t>
      </w:r>
    </w:p>
    <w:p>
      <w:pPr>
        <w:pStyle w:val="TextBody"/>
        <w:bidi w:val="0"/>
        <w:spacing w:before="120" w:after="283"/>
        <w:jc w:val="left"/>
        <w:rPr>
          <w:rFonts w:ascii="Arial" w:hAnsi="Arial"/>
          <w:color w:val="000000"/>
          <w:sz w:val="20"/>
        </w:rPr>
      </w:pPr>
      <w:r>
        <w:rPr>
          <w:rFonts w:ascii="Arial" w:hAnsi="Arial"/>
          <w:color w:val="000000"/>
          <w:sz w:val="20"/>
        </w:rPr>
        <w:t>The following table sets forth the computation of the basic and diluted net loss per share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2"/>
        <w:gridCol w:w="146"/>
        <w:gridCol w:w="211"/>
        <w:gridCol w:w="1066"/>
        <w:gridCol w:w="166"/>
        <w:gridCol w:w="146"/>
        <w:gridCol w:w="211"/>
        <w:gridCol w:w="1066"/>
        <w:gridCol w:w="471"/>
      </w:tblGrid>
      <w:tr>
        <w:trPr/>
        <w:tc>
          <w:tcPr>
            <w:tcW w:w="6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(10,649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Weighted-average common shares outstanding used to calculate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34,059,876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30,053,659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Since the Company was in a loss position for all periods presented, basic net loss per share is the same as diluted net loss per share for all periods as the inclusion of all potential common shares outstanding would have been anti-dilutive. Potentially dilutive securities that were not included in the diluted per share calculations because they would be anti-dilutive were as follows:</w:t>
      </w:r>
    </w:p>
    <w:p>
      <w:pPr>
        <w:pStyle w:val="TextBody"/>
        <w:bidi w:val="0"/>
        <w:jc w:val="left"/>
        <w:rPr/>
      </w:pPr>
      <w:r>
        <w:rPr/>
        <w:t> </w:t>
      </w:r>
    </w:p>
    <w:tbl>
      <w:tblPr>
        <w:tblW w:w="5709" w:type="dxa"/>
        <w:jc w:val="left"/>
        <w:tblInd w:w="0" w:type="dxa"/>
        <w:tblLayout w:type="fixed"/>
        <w:tblCellMar>
          <w:top w:w="28" w:type="dxa"/>
          <w:left w:w="28" w:type="dxa"/>
          <w:bottom w:w="28" w:type="dxa"/>
          <w:right w:w="28" w:type="dxa"/>
        </w:tblCellMar>
      </w:tblPr>
      <w:tblGrid>
        <w:gridCol w:w="2866"/>
        <w:gridCol w:w="146"/>
        <w:gridCol w:w="146"/>
        <w:gridCol w:w="961"/>
        <w:gridCol w:w="146"/>
        <w:gridCol w:w="146"/>
        <w:gridCol w:w="146"/>
        <w:gridCol w:w="96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6,443,394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5,740,125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1,275,412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923,664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7,718,806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6,663,789</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The 8,741,493</w:t>
      </w:r>
      <w:r>
        <w:rPr>
          <w:rFonts w:ascii="Times New Roman" w:hAnsi="Times New Roman"/>
          <w:color w:val="000000"/>
          <w:sz w:val="20"/>
        </w:rPr>
        <w:t xml:space="preserve"> </w:t>
      </w:r>
      <w:r>
        <w:rPr>
          <w:rFonts w:ascii="Arial" w:hAnsi="Arial"/>
          <w:color w:val="000000"/>
          <w:sz w:val="20"/>
        </w:rPr>
        <w:t>shares of common stock that may be issued upon exercise of the Pre-Funded Warrants issued under the 2025 Exchange Agreements and the 2026 Private Placement (see Note 8) are considered outstanding for the purposes of computing earnings per share because the shares may be issued for little or no consideration, they are fully vested and the Warrants are immediately exercisable upon their issuance date.</w:t>
      </w:r>
    </w:p>
    <w:p>
      <w:pPr>
        <w:pStyle w:val="TextBody"/>
        <w:bidi w:val="0"/>
        <w:spacing w:before="360" w:after="283"/>
        <w:jc w:val="left"/>
        <w:rPr>
          <w:rFonts w:ascii="Arial" w:hAnsi="Arial"/>
          <w:b/>
          <w:color w:val="000000"/>
          <w:sz w:val="20"/>
        </w:rPr>
      </w:pPr>
      <w:r>
        <w:rPr>
          <w:rFonts w:ascii="Arial" w:hAnsi="Arial"/>
          <w:b/>
          <w:color w:val="000000"/>
          <w:sz w:val="20"/>
        </w:rPr>
        <w:t>Note 11. Related Party Transactions</w:t>
      </w:r>
    </w:p>
    <w:p>
      <w:pPr>
        <w:pStyle w:val="TextBody"/>
        <w:bidi w:val="0"/>
        <w:spacing w:before="120" w:after="283"/>
        <w:jc w:val="left"/>
        <w:rPr>
          <w:rFonts w:ascii="Times New Roman" w:hAnsi="Times New Roman"/>
          <w:sz w:val="20"/>
        </w:rPr>
      </w:pPr>
      <w:r>
        <w:rPr>
          <w:rFonts w:ascii="Arial" w:hAnsi="Arial"/>
          <w:color w:val="000000"/>
          <w:sz w:val="20"/>
        </w:rPr>
        <w:t>During the three months ended March 31, 2026, other than the significant stockholders who participated in the 2026 Private Placement as disclosed in Note 8, from which $30.0</w:t>
      </w:r>
      <w:r>
        <w:rPr>
          <w:rFonts w:ascii="Times New Roman" w:hAnsi="Times New Roman"/>
          <w:color w:val="000000"/>
          <w:sz w:val="20"/>
        </w:rPr>
        <w:t xml:space="preserve"> </w:t>
      </w:r>
      <w:r>
        <w:rPr>
          <w:rFonts w:ascii="Arial" w:hAnsi="Arial"/>
          <w:color w:val="000000"/>
          <w:sz w:val="20"/>
        </w:rPr>
        <w:t>million gross proceeds were received, there were no</w:t>
      </w:r>
      <w:r>
        <w:rPr>
          <w:rFonts w:ascii="Times New Roman" w:hAnsi="Times New Roman"/>
          <w:color w:val="000000"/>
          <w:sz w:val="20"/>
        </w:rPr>
        <w:t xml:space="preserve"> </w:t>
      </w:r>
      <w:r>
        <w:rPr>
          <w:rFonts w:ascii="Arial" w:hAnsi="Arial"/>
          <w:color w:val="000000"/>
          <w:sz w:val="20"/>
        </w:rPr>
        <w:t>additional material related party transactions. During the three months ended March 31, 2025, there were no</w:t>
      </w:r>
      <w:r>
        <w:rPr>
          <w:rFonts w:ascii="Times New Roman" w:hAnsi="Times New Roman"/>
          <w:color w:val="000000"/>
          <w:sz w:val="20"/>
        </w:rPr>
        <w:t xml:space="preserve"> </w:t>
      </w:r>
      <w:r>
        <w:rPr>
          <w:rFonts w:ascii="Arial" w:hAnsi="Arial"/>
          <w:color w:val="000000"/>
          <w:sz w:val="20"/>
        </w:rPr>
        <w:t>material related party transactions.</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12. Segment Reporting</w:t>
      </w:r>
    </w:p>
    <w:p>
      <w:pPr>
        <w:pStyle w:val="TextBody"/>
        <w:bidi w:val="0"/>
        <w:spacing w:before="120" w:after="283"/>
        <w:jc w:val="left"/>
        <w:rPr>
          <w:rFonts w:ascii="Times New Roman" w:hAnsi="Times New Roman"/>
          <w:sz w:val="20"/>
        </w:rPr>
      </w:pPr>
      <w:r>
        <w:rPr>
          <w:rFonts w:ascii="Arial" w:hAnsi="Arial"/>
          <w:color w:val="000000"/>
          <w:sz w:val="20"/>
        </w:rPr>
        <w:t>The Company operates and manages its business as one</w:t>
      </w:r>
      <w:r>
        <w:rPr>
          <w:rFonts w:ascii="Times New Roman" w:hAnsi="Times New Roman"/>
          <w:color w:val="000000"/>
          <w:sz w:val="20"/>
        </w:rPr>
        <w:t xml:space="preserve"> </w:t>
      </w:r>
      <w:r>
        <w:rPr>
          <w:rFonts w:ascii="Arial" w:hAnsi="Arial"/>
          <w:color w:val="000000"/>
          <w:sz w:val="20"/>
        </w:rPr>
        <w:t>reportable and operating segment. The determination of a single operating segment is consistent with the financial information regularly provided to the Company’s chief operating decision maker (the “CODM”). The Company's chief executive officer, who is the CODM, assesses performance for the single segment and decides how to allocate resources based on net loss that also is reported on the statements of operations and comprehensive loss. The monitoring of budgeted versus actual results are used in assessing performance of the segment, and making operating decisions, allocating resources, and planning and forecasting for future periods. The measure of segment assets is reported on the balance sheets as total assets.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to the significant expense categories included within net loss presented on the statements of operations and comprehensive loss, see below for disaggregated amounts that comprise research and development expenses:</w:t>
      </w:r>
      <w:r>
        <w:rPr>
          <w:rFonts w:ascii="Times New Roman" w:hAnsi="Times New Roman"/>
          <w:color w:val="000000"/>
          <w:sz w:val="20"/>
        </w:rPr>
        <w:t xml:space="preserve"> </w:t>
      </w:r>
    </w:p>
    <w:p>
      <w:pPr>
        <w:pStyle w:val="TextBody"/>
        <w:bidi w:val="0"/>
        <w:spacing w:before="160" w:after="283"/>
        <w:jc w:val="left"/>
        <w:rPr/>
      </w:pPr>
      <w:r>
        <w:rPr/>
        <w:t> </w:t>
      </w:r>
    </w:p>
    <w:tbl>
      <w:tblPr>
        <w:tblW w:w="7726" w:type="dxa"/>
        <w:jc w:val="left"/>
        <w:tblInd w:w="0" w:type="dxa"/>
        <w:tblLayout w:type="fixed"/>
        <w:tblCellMar>
          <w:top w:w="28" w:type="dxa"/>
          <w:left w:w="28" w:type="dxa"/>
          <w:bottom w:w="28" w:type="dxa"/>
          <w:right w:w="28" w:type="dxa"/>
        </w:tblCellMar>
      </w:tblPr>
      <w:tblGrid>
        <w:gridCol w:w="4561"/>
        <w:gridCol w:w="146"/>
        <w:gridCol w:w="285"/>
        <w:gridCol w:w="792"/>
        <w:gridCol w:w="197"/>
        <w:gridCol w:w="197"/>
        <w:gridCol w:w="285"/>
        <w:gridCol w:w="792"/>
        <w:gridCol w:w="47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Clinical trials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Consulting and outside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Other external research and development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6,743</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20"/>
        </w:rPr>
        <w:t>Chemistry manufacturing controls, research and preclinical studies and other miscellaneous expenses.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left"/>
        <w:rPr>
          <w:rFonts w:ascii="Arial" w:hAnsi="Arial"/>
          <w:b/>
          <w:color w:val="000000"/>
          <w:sz w:val="20"/>
        </w:rPr>
      </w:pPr>
      <w:bookmarkStart w:id="12" w:name="item_2_managements_discussion"/>
      <w:bookmarkEnd w:id="12"/>
      <w:r>
        <w:rPr>
          <w:rFonts w:ascii="Arial" w:hAnsi="Arial"/>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Arial" w:hAnsi="Arial"/>
          <w:i/>
          <w:color w:val="000000"/>
          <w:sz w:val="20"/>
        </w:rPr>
        <w:t>The following discussion and analysis of our financial condition as of March 31, 2026 and results of operations for the three months ended March 31, 2026 and 2025 should be read in conjunction with our condensed financial statements and related notes thereto included elsewhere in this Quarterly Report on Form 10-Q (“Form 10-Q”) and our audited financial statements and the related notes thereto included as a part of our Annual Report on Form 10-K for the year ended December 31, 2025.</w:t>
      </w:r>
      <w:r>
        <w:rPr>
          <w:rFonts w:ascii="Times New Roman" w:hAnsi="Times New Roman"/>
          <w:color w:val="000000"/>
          <w:sz w:val="20"/>
        </w:rPr>
        <w:t xml:space="preserve"> </w:t>
      </w:r>
      <w:r>
        <w:rPr>
          <w:rFonts w:ascii="Arial" w:hAnsi="Arial"/>
          <w:i/>
          <w:color w:val="000000"/>
          <w:sz w:val="20"/>
        </w:rPr>
        <w:t>Except as otherwise indicated herein or as the context otherwise requires, references in this Form 10-Q to “AN2” “the Company,” “we,” “us” and “our” refer to AN2 Therapeutics, Inc.</w:t>
      </w:r>
    </w:p>
    <w:p>
      <w:pPr>
        <w:pStyle w:val="TextBody"/>
        <w:bidi w:val="0"/>
        <w:spacing w:before="240" w:after="283"/>
        <w:jc w:val="left"/>
        <w:rPr>
          <w:rFonts w:ascii="Arial" w:hAnsi="Arial"/>
          <w:i/>
          <w:color w:val="000000"/>
          <w:sz w:val="20"/>
        </w:rPr>
      </w:pPr>
      <w:r>
        <w:rPr>
          <w:rFonts w:ascii="Arial" w:hAnsi="Arial"/>
          <w:i/>
          <w:color w:val="000000"/>
          <w:sz w:val="20"/>
        </w:rPr>
        <w:t>This discussion and analysis and other parts of this Form 10-Q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II, Item 1A of this Form 10-Q. See also the section titled “Special Note Regarding Forward-Looking Statements.”</w:t>
      </w:r>
    </w:p>
    <w:p>
      <w:pPr>
        <w:pStyle w:val="TextBody"/>
        <w:bidi w:val="0"/>
        <w:spacing w:before="360" w:after="283"/>
        <w:jc w:val="left"/>
        <w:rPr>
          <w:rFonts w:ascii="Arial" w:hAnsi="Arial"/>
          <w:b/>
          <w:color w:val="000000"/>
          <w:sz w:val="20"/>
        </w:rPr>
      </w:pPr>
      <w:r>
        <w:rPr>
          <w:rFonts w:ascii="Arial" w:hAnsi="Arial"/>
          <w:b/>
          <w:color w:val="000000"/>
          <w:sz w:val="20"/>
        </w:rPr>
        <w:t>Overview</w:t>
      </w:r>
    </w:p>
    <w:p>
      <w:pPr>
        <w:pStyle w:val="TextBody"/>
        <w:bidi w:val="0"/>
        <w:spacing w:before="120" w:after="283"/>
        <w:jc w:val="left"/>
        <w:rPr>
          <w:rFonts w:ascii="Arial" w:hAnsi="Arial"/>
          <w:color w:val="000000"/>
          <w:sz w:val="20"/>
        </w:rPr>
      </w:pPr>
      <w:r>
        <w:rPr>
          <w:rFonts w:ascii="Arial" w:hAnsi="Arial"/>
          <w:color w:val="000000"/>
          <w:sz w:val="20"/>
        </w:rPr>
        <w:t>We are a clinical-stage biopharmaceutical company focused on the discovery and development of novel small molecule therapeutics derived from our boron chemistry platform. Our development pipeline spans hematologic diseases, infectious diseases, and oncology with three Phase 2 studies expected to be active in 2026 and two preclinical candidates, as well as advanced research programs focused on targets in oncology, bone disorders, and infectious diseases. We are committed to delivering high-impact drugs to patients that address critical medical needs and improve health outcomes.</w:t>
      </w:r>
    </w:p>
    <w:p>
      <w:pPr>
        <w:pStyle w:val="TextBody"/>
        <w:bidi w:val="0"/>
        <w:spacing w:before="360" w:after="283"/>
        <w:jc w:val="left"/>
        <w:rPr>
          <w:rFonts w:ascii="Arial" w:hAnsi="Arial"/>
          <w:b/>
          <w:i/>
          <w:color w:val="000000"/>
          <w:sz w:val="20"/>
        </w:rPr>
      </w:pPr>
      <w:r>
        <w:rPr>
          <w:rFonts w:ascii="Arial" w:hAnsi="Arial"/>
          <w:b/>
          <w:i/>
          <w:color w:val="000000"/>
          <w:sz w:val="20"/>
        </w:rPr>
        <w:t>Epetraborole - Polycythemia vera</w:t>
      </w:r>
    </w:p>
    <w:p>
      <w:pPr>
        <w:pStyle w:val="TextBody"/>
        <w:bidi w:val="0"/>
        <w:spacing w:before="120" w:after="283"/>
        <w:jc w:val="left"/>
        <w:rPr>
          <w:rFonts w:ascii="Arial" w:hAnsi="Arial"/>
          <w:color w:val="000000"/>
          <w:sz w:val="20"/>
        </w:rPr>
      </w:pPr>
      <w:r>
        <w:rPr>
          <w:rFonts w:ascii="Arial" w:hAnsi="Arial"/>
          <w:color w:val="000000"/>
          <w:sz w:val="20"/>
        </w:rPr>
        <w:t>In March 2026, we announced our plan to expand the development of oral epetraborole into a Phase 2 proof-of-concept clinical study in adults with phlebotomy-dependent polycythemia vera (“PV”). PV is a blood cancer characterized by overproduction of red blood cells in the bone marrow. This overproduction increases hematocrit, which can lead to serious medical complications including arterial and venous thromboembolic events. If untreated, PV can be life-threatening. Despite available therapies, such as burdensome periodic therapeutic phlebotomies, many patients experience uncontrolled hematocrit levels and persistent symptoms, requiring long-term management to maintain adequate disease control. PV is estimated to affect approximately 155,000 people in the U.S.</w:t>
      </w:r>
    </w:p>
    <w:p>
      <w:pPr>
        <w:pStyle w:val="TextBody"/>
        <w:bidi w:val="0"/>
        <w:spacing w:before="240" w:after="283"/>
        <w:jc w:val="left"/>
        <w:rPr>
          <w:rFonts w:ascii="Arial" w:hAnsi="Arial"/>
          <w:color w:val="000000"/>
          <w:sz w:val="20"/>
        </w:rPr>
      </w:pPr>
      <w:r>
        <w:rPr>
          <w:rFonts w:ascii="Arial" w:hAnsi="Arial"/>
          <w:color w:val="000000"/>
          <w:sz w:val="20"/>
        </w:rPr>
        <w:t>We are proceeding through the regulatory process and anticipate initiating the Phase 2 trial in the third quarter of 2026. We expect to provide periodic data readouts beginning as early as the fourth quarter of 2026 and throughout 2027, subject to regulatory clearance and enrollment progress.</w:t>
      </w:r>
    </w:p>
    <w:p>
      <w:pPr>
        <w:pStyle w:val="TextBody"/>
        <w:bidi w:val="0"/>
        <w:spacing w:before="360" w:after="283"/>
        <w:jc w:val="left"/>
        <w:rPr>
          <w:rFonts w:ascii="Arial" w:hAnsi="Arial"/>
          <w:b/>
          <w:i/>
          <w:color w:val="000000"/>
          <w:sz w:val="20"/>
        </w:rPr>
      </w:pPr>
      <w:r>
        <w:rPr>
          <w:rFonts w:ascii="Arial" w:hAnsi="Arial"/>
          <w:b/>
          <w:i/>
          <w:color w:val="000000"/>
          <w:sz w:val="20"/>
        </w:rPr>
        <w:t>Epetraborole – M. abscessus</w:t>
      </w:r>
    </w:p>
    <w:p>
      <w:pPr>
        <w:pStyle w:val="TextBody"/>
        <w:bidi w:val="0"/>
        <w:spacing w:before="120" w:after="283"/>
        <w:jc w:val="left"/>
        <w:rPr>
          <w:rFonts w:ascii="Times New Roman" w:hAnsi="Times New Roman"/>
          <w:sz w:val="20"/>
        </w:rPr>
      </w:pPr>
      <w:r>
        <w:rPr>
          <w:rFonts w:ascii="Arial" w:hAnsi="Arial"/>
          <w:color w:val="000000"/>
          <w:sz w:val="20"/>
        </w:rPr>
        <w:t xml:space="preserve">Building on the microbiological and safety data from our prior non-tuberculous mycobacterial (“NTM”) study, we believe that epetraborole has the potential to address a critical unmet need in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 xml:space="preserve">lung disease, one of the most difficult-to-treat NTM infections for which no FDA-approved therapy exists.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 xml:space="preserve">lung disease is a serious NTM infection requiring prolonged therapy, initially often with IV-only antibiotics. People affected by this illness face limited, burdensome treatment options and high rates of morbidity and an estimated 5-year mortality. NTM lung disease represents a growing global health concern. It is estimated that approximately 120,000–150,000 people in the U.S. are living with NTM lung disease, of which 10–15% are caused by </w:t>
      </w:r>
      <w:r>
        <w:rPr>
          <w:rFonts w:ascii="Arial" w:hAnsi="Arial"/>
          <w:i/>
          <w:color w:val="000000"/>
          <w:sz w:val="20"/>
        </w:rPr>
        <w:t>M. abscessus</w:t>
      </w:r>
      <w:r>
        <w:rPr>
          <w:rFonts w:ascii="Arial" w:hAnsi="Arial"/>
          <w:color w:val="000000"/>
          <w:sz w:val="20"/>
        </w:rPr>
        <w:t>.</w:t>
      </w:r>
    </w:p>
    <w:p>
      <w:pPr>
        <w:pStyle w:val="TextBody"/>
        <w:bidi w:val="0"/>
        <w:spacing w:before="240" w:after="283"/>
        <w:jc w:val="left"/>
        <w:rPr>
          <w:rFonts w:ascii="Times New Roman" w:hAnsi="Times New Roman"/>
          <w:sz w:val="20"/>
        </w:rPr>
      </w:pPr>
      <w:r>
        <w:rPr>
          <w:rFonts w:ascii="Arial" w:hAnsi="Arial"/>
          <w:color w:val="000000"/>
          <w:sz w:val="20"/>
        </w:rPr>
        <w:t xml:space="preserve">The Company is supporting an investigator-initiated trial (“IIT”) and anticipates that data from this study, if positive, could provide clinical proof-of-concept in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lung disease and thereby inform the design of a subsequent pivotal trial. Patient screening commenced in March 2026. The multicenter, randomized, double-blind, placebo-controlled, prospective clinical study is being led by Dr. Kevin Winthrop, Professor of Public Health and Infectious Diseases at the Oregon Health and Sciences University, in conjunction with other investigators across an estimated 10-15 sites in the U.S. We anticipate reporting topline results in late 2027, subject to regulatory clearance and enrollment progress.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AN2-502998 - Chagas disease</w:t>
      </w:r>
    </w:p>
    <w:p>
      <w:pPr>
        <w:pStyle w:val="TextBody"/>
        <w:bidi w:val="0"/>
        <w:spacing w:before="120" w:after="283"/>
        <w:jc w:val="left"/>
        <w:rPr>
          <w:rFonts w:ascii="Times New Roman" w:hAnsi="Times New Roman"/>
          <w:sz w:val="20"/>
        </w:rPr>
      </w:pPr>
      <w:r>
        <w:rPr>
          <w:rFonts w:ascii="Arial" w:hAnsi="Arial"/>
          <w:color w:val="000000"/>
          <w:sz w:val="20"/>
        </w:rPr>
        <w:t>In March 2026, we completed dosing all cohorts in our Phase 1 first-in-human trial of oral AN2-502998 (formerly known as AN15368), an investigational, boron-based small molecule in development for the treatment of chronic Chagas disease, or American trypanosomia. In the second quarter of 2026, we anticipate reporting Phase 1 data from this study, as well as results from a non-human primate (“NHP”) study that tested the curative potential of AN2-502998 with a 28-day dosing duration. In October 2023, we announced an exclusive license agreement with the University of Georgia Research Foundation to advance the development of AN2-502998, originally discovered by researchers at Anacor, in close collaboration with the University of Georgia. Upon achievement of certain development and sales milestones, we are required to make payments of up to approximately $0.9 million and a low single digit royalty. AN2-502998 is the only compound of which we are aware to have demonstrated curative activity in preclinical studies across multiple species, including in NHPs with long-term, naturally acquired chronic infections caused by diverse T. cruzi genetic types. Because NHP infections are naturally acquired in the environment, these efficacy data may be more predictive of efficacy in human clinical trials than other animal models. We expect to initiate a Phase 2 proof-of-concept study in adults with chronic Chagas disease later in 2026, pending results of the Phase 1 study.</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Our research and development initiatives - Oncology</w:t>
      </w:r>
    </w:p>
    <w:p>
      <w:pPr>
        <w:pStyle w:val="TextBody"/>
        <w:bidi w:val="0"/>
        <w:spacing w:before="120" w:after="283"/>
        <w:jc w:val="left"/>
        <w:rPr>
          <w:rFonts w:ascii="Times New Roman" w:hAnsi="Times New Roman"/>
          <w:sz w:val="20"/>
        </w:rPr>
      </w:pPr>
      <w:r>
        <w:rPr>
          <w:rFonts w:ascii="Arial" w:hAnsi="Arial"/>
          <w:color w:val="000000"/>
          <w:sz w:val="20"/>
        </w:rPr>
        <w:t>We are prioritizing targets in oncology and bone disorders where we believe boron chemistry may offer a competitive advantage in terms of binding-site differentiation, pharmacodynamics, drug-like properties and IP, including initially ENPP1 and PI3Kα. The unique binding modes of boron-containing compounds enable the discovery of inhibitors with high ligand efficiency against targets considered undruggable or difficult to access with traditional chemistry approaches. Boron chemistry has produced first-in-class molecules against a number of targets including CPSF3 (AN2-502998 and acoziborole) and LeuRS (epetraborole, ganfeborole and tavaborole). The Company has discovered preclinical compounds with profiles that are sub-nanomolar, highly selective and characterized by excellent oral pharmacokinetics. We have declared an ENPP1 candidate for the treatment of solid tumors marking an important step in transitioning the program from early research into development.</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Melioidosis</w:t>
      </w:r>
    </w:p>
    <w:p>
      <w:pPr>
        <w:pStyle w:val="TextBody"/>
        <w:bidi w:val="0"/>
        <w:spacing w:before="120" w:after="283"/>
        <w:jc w:val="left"/>
        <w:rPr>
          <w:rFonts w:ascii="Arial" w:hAnsi="Arial"/>
          <w:color w:val="000000"/>
          <w:sz w:val="20"/>
        </w:rPr>
      </w:pPr>
      <w:r>
        <w:rPr>
          <w:rFonts w:ascii="Arial" w:hAnsi="Arial"/>
          <w:color w:val="000000"/>
          <w:sz w:val="20"/>
        </w:rPr>
        <w:t>We are also studying epetraborole for the treatment of acute melioidosis, a highly lethal bacterial infection and recognized biothreat. We completed enrollment in a 200-patient observational trial (non-epetraborole treatment) in October 2024 and in June 2025 announced key insights from the trial, which reinforce the high mortality of the disease, despite standard of care (“SOC”). This study provided critical data which will allow the Company to optimize the design of upcoming clinical studies. Discussions are underway with the U.S. government to fund Phase 2 development of epetraborole in acute melioidosis. Melioidosis has a 90-day mortality rate approaching 40%, despite SOC drugs, including ceftazidime or meropenem. The aim of the program is to meaningfully lower the expected mortality rate by dosing epetraborole on top of SOC. If approved for the treatment of melioidosis, we plan to seek a priority review voucher and could generate revenue from U.S. and other governmental stockpiling, as well as from the use of treatment in disease-endemic countries.</w:t>
      </w:r>
    </w:p>
    <w:p>
      <w:pPr>
        <w:pStyle w:val="TextBody"/>
        <w:bidi w:val="0"/>
        <w:spacing w:before="360" w:after="283"/>
        <w:jc w:val="left"/>
        <w:rPr>
          <w:rFonts w:ascii="Arial" w:hAnsi="Arial"/>
          <w:b/>
          <w:i/>
          <w:color w:val="000000"/>
          <w:sz w:val="20"/>
        </w:rPr>
      </w:pPr>
      <w:r>
        <w:rPr>
          <w:rFonts w:ascii="Arial" w:hAnsi="Arial"/>
          <w:b/>
          <w:i/>
          <w:color w:val="000000"/>
          <w:sz w:val="20"/>
        </w:rPr>
        <w:t>Future funding requirements</w:t>
      </w:r>
    </w:p>
    <w:p>
      <w:pPr>
        <w:pStyle w:val="TextBody"/>
        <w:bidi w:val="0"/>
        <w:spacing w:before="120" w:after="283"/>
        <w:jc w:val="left"/>
        <w:rPr>
          <w:rFonts w:ascii="Times New Roman" w:hAnsi="Times New Roman"/>
          <w:sz w:val="20"/>
        </w:rPr>
      </w:pPr>
      <w:r>
        <w:rPr>
          <w:rFonts w:ascii="Arial" w:hAnsi="Arial"/>
          <w:color w:val="000000"/>
          <w:sz w:val="20"/>
        </w:rPr>
        <w:t>We have incurred significant operating losses to date. We expect that our operating expenses will increase significantly as we advance our current and future product candidates through preclinical, nonclinical, and clinical development, seek regulatory approval, and prepare for and, if approved, proceed to commercialization; acquire, discover, validate, and develop additional product candidates; obtain, maintain, protect and enforce our intellectual property portfolio; hire additional personnel; and incur costs associated with operating as a public company.</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do not have any products approved for sale and have not generated any revenue since inception. Our net losses were $10.0 million and $10.6 million for the three months ended March 31, 2026 and 2025, respectively. As of March 31, 2026, we had an accumulated deficit of $251.0 million. We have funded our operations from the sale and issuance of redeemable convertible preferred stock and proceeds from our initial public offering (“IPO”), “at-the-market” equity offering program (“ATM Offering”), an underwritten offering (the “Underwritten Offering”), and the 2026 Private Placement (the “2026 Private Placement”). From November 2019 through October 2020, we raised an aggregate of $12.0 million from the sale of Series A redeemable convertible preferred stock. In March 2021, we raised an aggregate of $80.0 million from the sale of Series B redeemable convertible preferred stock. In March and April 2022, we completed our IPO, with gross proceeds of $79.4 million and net proceeds of $70.4 million, net of underwriting discounts, commissions and offering expenses. In June 2023, we raised gross proceeds of $20.0 million from the ATM Offering and net proceeds of $19.1 million, after deducting commissions and offering expenses. In August 2023, we raised gross proceeds of $70.0 million from the Underwritten Offering and net proceeds of $65.5 million, after deducting commissions and offering expenses. In March 2026, we raised gross proceeds of $40.0 million from the 2026 Private Placement and net proceeds of $37.3 million, after deducting placement agent fees and other offering expenses.</w:t>
      </w:r>
    </w:p>
    <w:p>
      <w:pPr>
        <w:pStyle w:val="TextBody"/>
        <w:bidi w:val="0"/>
        <w:spacing w:before="360" w:after="283"/>
        <w:jc w:val="left"/>
        <w:rPr>
          <w:rFonts w:ascii="Arial" w:hAnsi="Arial"/>
          <w:b/>
          <w:color w:val="000000"/>
          <w:sz w:val="20"/>
        </w:rPr>
      </w:pPr>
      <w:r>
        <w:rPr>
          <w:rFonts w:ascii="Arial" w:hAnsi="Arial"/>
          <w:b/>
          <w:color w:val="000000"/>
          <w:sz w:val="20"/>
        </w:rPr>
        <w:t>Financial Operations Overview</w:t>
      </w:r>
    </w:p>
    <w:p>
      <w:pPr>
        <w:pStyle w:val="TextBody"/>
        <w:bidi w:val="0"/>
        <w:spacing w:before="120" w:after="283"/>
        <w:jc w:val="left"/>
        <w:rPr>
          <w:rFonts w:ascii="Arial" w:hAnsi="Arial"/>
          <w:color w:val="000000"/>
          <w:sz w:val="20"/>
        </w:rPr>
      </w:pPr>
      <w:r>
        <w:rPr>
          <w:rFonts w:ascii="Arial" w:hAnsi="Arial"/>
          <w:color w:val="000000"/>
          <w:sz w:val="20"/>
        </w:rPr>
        <w:t>As of March 31, 2026, we had cash, cash equivalents, and investments of $85.3 million. We believe that our available cash will be sufficient to fund our planned operations under our current operating plan through at least twelve months following the date of this Form 10-Q.</w:t>
      </w:r>
    </w:p>
    <w:p>
      <w:pPr>
        <w:pStyle w:val="TextBody"/>
        <w:bidi w:val="0"/>
        <w:spacing w:before="240" w:after="283"/>
        <w:jc w:val="left"/>
        <w:rPr>
          <w:rFonts w:ascii="Arial" w:hAnsi="Arial"/>
          <w:color w:val="000000"/>
          <w:sz w:val="20"/>
        </w:rPr>
      </w:pPr>
      <w:r>
        <w:rPr>
          <w:rFonts w:ascii="Arial" w:hAnsi="Arial"/>
          <w:color w:val="000000"/>
          <w:sz w:val="20"/>
        </w:rPr>
        <w:t>Our ability to generate product revenue will depend on the successful development, regulatory approval and eventual commercialization of one or more of our product candidates. Until such time as we can generate revenue from our product sales, if ever, we expect to finance our operations through private or public equity or debt financings, collaborative or other arrangements with corporate sources, non-dilutive financing,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spacing w:before="240" w:after="283"/>
        <w:jc w:val="left"/>
        <w:rPr>
          <w:rFonts w:ascii="Arial" w:hAnsi="Arial"/>
          <w:color w:val="000000"/>
          <w:sz w:val="20"/>
        </w:rPr>
      </w:pPr>
      <w:r>
        <w:rPr>
          <w:rFonts w:ascii="Arial" w:hAnsi="Arial"/>
          <w:color w:val="000000"/>
          <w:sz w:val="20"/>
        </w:rPr>
        <w:t>We plan to continue to use third-party service providers, including outside research laboratories, clinical research organizations (“CROs”), and contract manufacturing organizations (“CMOs”), to carry out our preclinical, nonclinical and clinical development, and to manufacture and supply the materials to be used during the development and commercialization of our product candidates. We do not currently have a sales force. If we obtain regulatory approval for any of our product candidates, we intend to hire and deploy a specialty sales force, which will increase our operating costs.</w:t>
      </w:r>
    </w:p>
    <w:p>
      <w:pPr>
        <w:pStyle w:val="TextBody"/>
        <w:bidi w:val="0"/>
        <w:spacing w:before="240" w:after="283"/>
        <w:jc w:val="left"/>
        <w:rPr>
          <w:rFonts w:ascii="Arial" w:hAnsi="Arial"/>
          <w:color w:val="000000"/>
          <w:sz w:val="20"/>
        </w:rPr>
      </w:pPr>
      <w:r>
        <w:rPr>
          <w:rFonts w:ascii="Arial" w:hAnsi="Arial"/>
          <w:color w:val="000000"/>
          <w:sz w:val="20"/>
        </w:rPr>
        <w:t>Due to ongoing developments in our business and clinical development and regulatory efforts, among other factors, our results of operations may vary substantially from year to year and from quarter to quarter and, as a result, we believe that period to period comparisons of our operating results may not be meaningful and should not be relied upon as being indicative of our future performance. For more information on the risks and uncertainties associated with our business and our clinical development and regulatory efforts, among other factors, see “Part II Item 1A—Risk Factors.”</w:t>
      </w:r>
    </w:p>
    <w:p>
      <w:pPr>
        <w:pStyle w:val="TextBody"/>
        <w:bidi w:val="0"/>
        <w:spacing w:before="360" w:after="283"/>
        <w:jc w:val="left"/>
        <w:rPr>
          <w:rFonts w:ascii="Arial" w:hAnsi="Arial"/>
          <w:b/>
          <w:color w:val="000000"/>
          <w:sz w:val="20"/>
        </w:rPr>
      </w:pPr>
      <w:r>
        <w:rPr>
          <w:rFonts w:ascii="Arial" w:hAnsi="Arial"/>
          <w:b/>
          <w:color w:val="000000"/>
          <w:sz w:val="20"/>
        </w:rPr>
        <w:t>Components of Our Operating Results</w:t>
      </w:r>
    </w:p>
    <w:p>
      <w:pPr>
        <w:pStyle w:val="TextBody"/>
        <w:bidi w:val="0"/>
        <w:spacing w:before="120" w:after="283"/>
        <w:jc w:val="left"/>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Substantially all of our research and development expenses consist of expenses incurred in connection with the development of our product candidates. These expenses include fees incurred under arrangements with third parties, including CROs, CMOs, preclinical and nonclinical testing organizations, and academic and non-profit institutions. Research and development expenses also include consulting fees, license fees, payroll and personnel-related expenses, including salaries and bonuses, payroll taxes, employee benefit costs and non-cash stock-based compensation for our research and development employees. We expense both internal and external research and development expenses as they are incurred.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expect our research and development expenses to increase substantially in the future, as we advance our product candidates into and through clinical trials and pursue regulatory approval. The process of conducting the necessary clinical studies to obtain regulatory approval is costly and time-consuming. Clinical studies generally become larger and more costly to conduct as they advance into later stages and we are required to make estimates for expense accruals related to clinical study expenses, which involve a degree of estimation. The successful development of our product candidates is highly uncertain. The actual probability of success for our product candidates may be affected by a variety of risks and uncertainties associated with drug development, including those set forth in the section of this Form 10-Q titled “Risk Factors.” At this time, we cannot reasonably estimate the nature, timing or costs required to complete the remaining development of our current or any future product candidates. As a result of these uncertainties, we are unable to determine the duration and completion costs of our research and development projects or when and to what extent we will generate revenue from the commercialization and sale of our product candidates.</w:t>
      </w:r>
    </w:p>
    <w:p>
      <w:pPr>
        <w:pStyle w:val="TextBody"/>
        <w:bidi w:val="0"/>
        <w:spacing w:before="360" w:after="283"/>
        <w:jc w:val="left"/>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left"/>
        <w:rPr>
          <w:rFonts w:ascii="Times New Roman" w:hAnsi="Times New Roman"/>
          <w:sz w:val="20"/>
        </w:rPr>
      </w:pPr>
      <w:r>
        <w:rPr>
          <w:rFonts w:ascii="Arial" w:hAnsi="Arial"/>
          <w:color w:val="000000"/>
          <w:sz w:val="20"/>
        </w:rPr>
        <w:t xml:space="preserve">Our general and administrative expenses consist primarily of payroll and personnel-related expenses, including salaries and bonuses, payroll taxes, employee benefit costs, and non-cash stock-based compensation. Other general and administrative expenses include legal costs of pursuing patent protection of our intellectual property, and professional service fees for auditing, tax, general legal services, and other external consulting and vendor services. We expect our general and administrative expenses to continue to increase in the future, including expenses related to legal, accounting, regulatory, and tax-related services associated with maintaining compliance with requirements of the </w:t>
      </w:r>
      <w:r>
        <w:rPr>
          <w:rFonts w:ascii="Arial" w:hAnsi="Arial"/>
          <w:color w:val="333333"/>
          <w:sz w:val="20"/>
        </w:rPr>
        <w:t>Nasdaq Global Select Market</w:t>
      </w:r>
      <w:r>
        <w:rPr>
          <w:rFonts w:ascii="Times New Roman" w:hAnsi="Times New Roman"/>
          <w:color w:val="000000"/>
          <w:sz w:val="20"/>
        </w:rPr>
        <w:t xml:space="preserve"> </w:t>
      </w:r>
      <w:r>
        <w:rPr>
          <w:rFonts w:ascii="Arial" w:hAnsi="Arial"/>
          <w:color w:val="000000"/>
          <w:sz w:val="20"/>
        </w:rPr>
        <w:t>and the Securities and Exchange Commission (“SEC”), directors and officers liability insurance premiums, and investor relations activities.</w:t>
      </w:r>
    </w:p>
    <w:p>
      <w:pPr>
        <w:pStyle w:val="TextBody"/>
        <w:bidi w:val="0"/>
        <w:spacing w:before="36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Interest income consists of interest income and investment income earned on our cash, cash equivalents, and investments.</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Results of Operations</w:t>
      </w:r>
    </w:p>
    <w:p>
      <w:pPr>
        <w:pStyle w:val="TextBody"/>
        <w:bidi w:val="0"/>
        <w:spacing w:before="120" w:after="283"/>
        <w:jc w:val="left"/>
        <w:rPr>
          <w:rFonts w:ascii="Arial" w:hAnsi="Arial"/>
          <w:b/>
          <w:i/>
          <w:color w:val="000000"/>
          <w:sz w:val="20"/>
        </w:rPr>
      </w:pPr>
      <w:r>
        <w:rPr>
          <w:rFonts w:ascii="Arial" w:hAnsi="Arial"/>
          <w:b/>
          <w:i/>
          <w:color w:val="000000"/>
          <w:sz w:val="20"/>
        </w:rPr>
        <w:t>Comparison of the Three Months Ended March 31, 2026 and 2025</w:t>
      </w:r>
    </w:p>
    <w:p>
      <w:pPr>
        <w:pStyle w:val="TextBody"/>
        <w:bidi w:val="0"/>
        <w:spacing w:before="120" w:after="240"/>
        <w:jc w:val="left"/>
        <w:rPr>
          <w:rFonts w:ascii="Arial" w:hAnsi="Arial"/>
          <w:color w:val="000000"/>
          <w:sz w:val="20"/>
        </w:rPr>
      </w:pPr>
      <w:r>
        <w:rPr>
          <w:rFonts w:ascii="Arial" w:hAnsi="Arial"/>
          <w:color w:val="000000"/>
          <w:sz w:val="20"/>
        </w:rPr>
        <w:t>The following table sets forth the significant components of our results of operations:</w:t>
      </w:r>
    </w:p>
    <w:tbl>
      <w:tblPr>
        <w:tblW w:w="8465"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9"/>
        <w:gridCol w:w="502"/>
        <w:gridCol w:w="166"/>
        <w:gridCol w:w="146"/>
        <w:gridCol w:w="256"/>
        <w:gridCol w:w="660"/>
        <w:gridCol w:w="95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left"/>
        <w:rPr>
          <w:rFonts w:ascii="Times New Roman" w:hAnsi="Times New Roman"/>
          <w:sz w:val="20"/>
        </w:rPr>
      </w:pPr>
      <w:r>
        <w:rPr>
          <w:rFonts w:ascii="Arial" w:hAnsi="Arial"/>
          <w:color w:val="000000"/>
          <w:sz w:val="20"/>
        </w:rPr>
        <w:t xml:space="preserve">Research and development expenses were $6.7 million for the three months ended March 31, 2026 compared to $7.7 million for the three months ended March 31, 2025. The decrease of $1.0 million was primarily due to decreases in chemistry manufacturing and controls (“CMC”) expenses and license fees, partially offset by increases in personnel-related expenses, clinical trial expenses, facilities and miscellaneous expenses, and consulting and outside services. CMC expenses decreased by $1.5 million due to decreased CMC activity in our melioidosis and Chagas programs. License fees decreased $0.2 million. Personnel-related expenses increased by $0.2 million primarily due to compensation-related payments offset by decreased stock-based compensation expense. Clinical trial expenses increased by $0.2 million primarily due to initiation of our Phase 1 trial in Chagas disease and our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Phase 2 clinical trial, partially offset by decreased expenses due to the termination of the EBO-301 trial. Allocated facilities and miscellaneous expenses increased by $0.2 million primarily due to the recognition of our qualified small business payroll tax credit in 2025. Consulting and outside services increased by $0.1 million. During the three months ended March 31, 2026 and 2025, reimbursement of $0.7 million and $0.4 million, respectively, of operating expenses was recognized related to our funding arrangements.</w:t>
      </w:r>
    </w:p>
    <w:p>
      <w:pPr>
        <w:pStyle w:val="TextBody"/>
        <w:bidi w:val="0"/>
        <w:spacing w:before="240" w:after="240"/>
        <w:jc w:val="left"/>
        <w:rPr>
          <w:rFonts w:ascii="Arial" w:hAnsi="Arial"/>
          <w:color w:val="000000"/>
          <w:sz w:val="20"/>
        </w:rPr>
      </w:pPr>
      <w:r>
        <w:rPr>
          <w:rFonts w:ascii="Arial" w:hAnsi="Arial"/>
          <w:color w:val="000000"/>
          <w:sz w:val="20"/>
        </w:rPr>
        <w:t>The following table shows our research and development expenses by type of activity:</w:t>
      </w:r>
    </w:p>
    <w:tbl>
      <w:tblPr>
        <w:tblW w:w="8631" w:type="dxa"/>
        <w:jc w:val="left"/>
        <w:tblInd w:w="0" w:type="dxa"/>
        <w:tblLayout w:type="fixed"/>
        <w:tblCellMar>
          <w:top w:w="28" w:type="dxa"/>
          <w:left w:w="28" w:type="dxa"/>
          <w:bottom w:w="28" w:type="dxa"/>
          <w:right w:w="28" w:type="dxa"/>
        </w:tblCellMar>
      </w:tblPr>
      <w:tblGrid>
        <w:gridCol w:w="3811"/>
        <w:gridCol w:w="146"/>
        <w:gridCol w:w="211"/>
        <w:gridCol w:w="586"/>
        <w:gridCol w:w="146"/>
        <w:gridCol w:w="146"/>
        <w:gridCol w:w="211"/>
        <w:gridCol w:w="586"/>
        <w:gridCol w:w="166"/>
        <w:gridCol w:w="146"/>
        <w:gridCol w:w="211"/>
        <w:gridCol w:w="646"/>
        <w:gridCol w:w="166"/>
        <w:gridCol w:w="146"/>
        <w:gridCol w:w="213"/>
        <w:gridCol w:w="703"/>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Preclinical and research study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Clinical trials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Consulting and outside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Chemistry manufacturing and controls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License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left"/>
        <w:rPr>
          <w:rFonts w:ascii="Arial" w:hAnsi="Arial"/>
          <w:color w:val="000000"/>
          <w:sz w:val="20"/>
        </w:rPr>
      </w:pPr>
      <w:r>
        <w:rPr>
          <w:rFonts w:ascii="Arial" w:hAnsi="Arial"/>
          <w:color w:val="000000"/>
          <w:sz w:val="20"/>
        </w:rPr>
        <w:t>General and administrative expenses were $3.8 million for the three months ended March 31, 2026 and March 31, 2025. For the three months ended March 31, 2026, personnel-related expenses decreased by $0.3 million, offset by a $0.2 million increase in professional and outside services expenses and a $0.1 million increase in allocated facilities and miscellaneous expenses.</w:t>
      </w:r>
    </w:p>
    <w:p>
      <w:pPr>
        <w:pStyle w:val="TextBody"/>
        <w:bidi w:val="0"/>
        <w:spacing w:before="360" w:after="283"/>
        <w:jc w:val="left"/>
        <w:rPr>
          <w:rFonts w:ascii="Arial" w:hAnsi="Arial"/>
          <w:b/>
          <w:i/>
          <w:color w:val="000000"/>
          <w:sz w:val="20"/>
        </w:rPr>
      </w:pPr>
      <w:r>
        <w:rPr>
          <w:rFonts w:ascii="Arial" w:hAnsi="Arial"/>
          <w:b/>
          <w:i/>
          <w:color w:val="000000"/>
          <w:sz w:val="20"/>
        </w:rPr>
        <w:t>Interest Income</w:t>
      </w:r>
    </w:p>
    <w:p>
      <w:pPr>
        <w:pStyle w:val="TextBody"/>
        <w:bidi w:val="0"/>
        <w:spacing w:before="120" w:after="283"/>
        <w:jc w:val="left"/>
        <w:rPr>
          <w:rFonts w:ascii="Arial" w:hAnsi="Arial"/>
          <w:color w:val="000000"/>
          <w:sz w:val="20"/>
        </w:rPr>
      </w:pPr>
      <w:r>
        <w:rPr>
          <w:rFonts w:ascii="Arial" w:hAnsi="Arial"/>
          <w:color w:val="000000"/>
          <w:sz w:val="20"/>
        </w:rPr>
        <w:t>Interest income was $0.5 million for the three months ended March 31, 2026 compared to $0.9 million for the three months ended March 31, 2025. The decrease of $0.4 million was due to lower average cash, cash equivalents, and investment balances and lower interest rates in 2026 as compared to 2025.</w:t>
      </w:r>
    </w:p>
    <w:p>
      <w:pPr>
        <w:pStyle w:val="TextBody"/>
        <w:bidi w:val="0"/>
        <w:spacing w:before="360" w:after="283"/>
        <w:jc w:val="left"/>
        <w:rPr>
          <w:rFonts w:ascii="Arial" w:hAnsi="Arial"/>
          <w:b/>
          <w:color w:val="000000"/>
          <w:sz w:val="20"/>
        </w:rPr>
      </w:pPr>
      <w:r>
        <w:rPr>
          <w:rFonts w:ascii="Arial" w:hAnsi="Arial"/>
          <w:b/>
          <w:color w:val="000000"/>
          <w:sz w:val="20"/>
        </w:rPr>
        <w:t>Liquidity and Capital Resources</w:t>
      </w:r>
    </w:p>
    <w:p>
      <w:pPr>
        <w:pStyle w:val="TextBody"/>
        <w:bidi w:val="0"/>
        <w:spacing w:before="120" w:after="283"/>
        <w:jc w:val="left"/>
        <w:rPr>
          <w:rFonts w:ascii="Arial" w:hAnsi="Arial"/>
          <w:b/>
          <w:i/>
          <w:color w:val="000000"/>
          <w:sz w:val="20"/>
        </w:rPr>
      </w:pPr>
      <w:r>
        <w:rPr>
          <w:rFonts w:ascii="Arial" w:hAnsi="Arial"/>
          <w:b/>
          <w:i/>
          <w:color w:val="000000"/>
          <w:sz w:val="20"/>
        </w:rPr>
        <w:t>Sources of Liquidity</w:t>
      </w:r>
    </w:p>
    <w:p>
      <w:pPr>
        <w:pStyle w:val="TextBody"/>
        <w:bidi w:val="0"/>
        <w:spacing w:before="120" w:after="283"/>
        <w:jc w:val="left"/>
        <w:rPr>
          <w:rFonts w:ascii="Arial" w:hAnsi="Arial"/>
          <w:color w:val="000000"/>
          <w:sz w:val="20"/>
        </w:rPr>
      </w:pPr>
      <w:r>
        <w:rPr>
          <w:rFonts w:ascii="Arial" w:hAnsi="Arial"/>
          <w:color w:val="000000"/>
          <w:sz w:val="20"/>
        </w:rPr>
        <w:t>We have incurred net losses since our inception. For the three months ended March 31, 2026 and 2025, we had net losses of $10.0 million and $10.6 million, respectively, and we expect to incur substantial additional losses in future periods. As of March 31, 2026, we had an accumulated deficit of $251.0 million. As of March 31, 2026, we had cash, cash equivalents, short-term and long-term investments of $85.3 million. Based on our current plan, we believe that our available cash will be sufficient to fund our operations for at least 12 months following the date of this Form 10-Q.</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To date, we have funded our operations primarily through our 2026 Private Placement, Underwritten Offering, ATM Offering, IPO and issuances of our then existing redeemable convertible preferred stock. In March 2026, we generated approximately $37.3 million from the 2026 Private Placement, after deducting placement agent fees and other offering expenses. In August 2023, we generated approximately $65.5 million from the Underwritten Offering, after deducting commissions and offering expenses. In June 2023, we generated approximately $19.1 million in net proceeds from the ATM Offering, after deducting commissions and offering expenses. In March and April 2022, we generated aggregate net proceeds of approximately $70.4 million from our IPO, after deducting underwriting discounts and commissions and offering expenses. Prior to our IPO, we raised $91.6 million from the issuance of our redeemable convertible preferred stock. Upon the closing of our IPO, all outstanding shares of our then existing redeemable convertible preferred stock were converted into shares of our common stock.</w:t>
      </w:r>
    </w:p>
    <w:p>
      <w:pPr>
        <w:pStyle w:val="TextBody"/>
        <w:bidi w:val="0"/>
        <w:spacing w:before="240" w:after="283"/>
        <w:jc w:val="left"/>
        <w:rPr>
          <w:rFonts w:ascii="Arial" w:hAnsi="Arial"/>
          <w:color w:val="000000"/>
          <w:sz w:val="20"/>
        </w:rPr>
      </w:pPr>
      <w:r>
        <w:rPr>
          <w:rFonts w:ascii="Arial" w:hAnsi="Arial"/>
          <w:color w:val="000000"/>
          <w:sz w:val="20"/>
        </w:rPr>
        <w:t>In April 2026, we entered into an open market sale agreement with Jefferies, as sales agent, pursuant to which we may offer and sell, from time to time, up to an aggregate of $80.0 million in shares of our common stock in an at-the-market offering. As of the date hereof, we have not sold any shares of our common stock under the open market sale agreement.</w:t>
      </w:r>
    </w:p>
    <w:p>
      <w:pPr>
        <w:pStyle w:val="TextBody"/>
        <w:bidi w:val="0"/>
        <w:spacing w:before="360" w:after="283"/>
        <w:jc w:val="left"/>
        <w:rPr>
          <w:rFonts w:ascii="Arial" w:hAnsi="Arial"/>
          <w:b/>
          <w:i/>
          <w:color w:val="000000"/>
          <w:sz w:val="20"/>
        </w:rPr>
      </w:pPr>
      <w:r>
        <w:rPr>
          <w:rFonts w:ascii="Arial" w:hAnsi="Arial"/>
          <w:b/>
          <w:i/>
          <w:color w:val="000000"/>
          <w:sz w:val="20"/>
        </w:rPr>
        <w:t>Future Funding Requirements</w:t>
      </w:r>
    </w:p>
    <w:p>
      <w:pPr>
        <w:pStyle w:val="TextBody"/>
        <w:bidi w:val="0"/>
        <w:spacing w:before="120" w:after="283"/>
        <w:jc w:val="left"/>
        <w:rPr>
          <w:rFonts w:ascii="Arial" w:hAnsi="Arial"/>
          <w:color w:val="000000"/>
          <w:sz w:val="20"/>
        </w:rPr>
      </w:pPr>
      <w:r>
        <w:rPr>
          <w:rFonts w:ascii="Arial" w:hAnsi="Arial"/>
          <w:color w:val="000000"/>
          <w:sz w:val="20"/>
        </w:rPr>
        <w:t>We do not have any products approved for sale, and we have never generated any revenue from contracts with customers. We do not expect to generate any meaningful revenue unless and until we obtain regulatory approval for and commercialize any of our current and future product candidates and we do not know when, or if, those events will occur. Historically, we have incurred operating losses and negative cash flows as a result of ongoing efforts to develop our product candidates, including conducting ongoing preclinical and nonclinical studies, clinical trials, API and drug product materials manufacturing, and providing general and administrative support for these operations. We expect our negative cash flows to increase significantly over the next several years as we advance our product candidates through clinical development, seek regulatory approval, prepare for and, if approved, proceed to commercialization, and continue our research and development efforts. We are subject to all the risks typically related to the development of new product candidates, and we may encounter unforeseen expenses, difficulties, complications, delays, and other unknown factors that may adversely affect our business. Moreover, we expect to continue to incur costs associated with operating as a public company. We anticipate that we will need substantial additional funding in connection with our continuing operations, as we do not expect positive cash flows from operations in the foreseeable future.</w:t>
      </w:r>
    </w:p>
    <w:p>
      <w:pPr>
        <w:pStyle w:val="TextBody"/>
        <w:bidi w:val="0"/>
        <w:spacing w:before="240" w:after="283"/>
        <w:jc w:val="left"/>
        <w:rPr>
          <w:rFonts w:ascii="Arial" w:hAnsi="Arial"/>
          <w:color w:val="000000"/>
          <w:sz w:val="20"/>
        </w:rPr>
      </w:pPr>
      <w:r>
        <w:rPr>
          <w:rFonts w:ascii="Arial" w:hAnsi="Arial"/>
          <w:color w:val="000000"/>
          <w:sz w:val="20"/>
        </w:rPr>
        <w:t>Until we can generate a sufficient amount of revenue from the commercialization of our product candidates, if ever, we expect to finance our future cash needs through public or private equity offerings or debt financings.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current or future product candidates. If we raise additional funds by issuing equity or convertible debt securities, it could result in dilution to our existing stockholders and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candidates or grant licenses on terms that are not favorable to us. Any of the foregoing could significantly harm our business, financial condition, results of operations, and prospects.</w:t>
      </w:r>
    </w:p>
    <w:p>
      <w:pPr>
        <w:pStyle w:val="TextBody"/>
        <w:bidi w:val="0"/>
        <w:spacing w:before="240" w:after="283"/>
        <w:jc w:val="left"/>
        <w:rPr>
          <w:rFonts w:ascii="Arial" w:hAnsi="Arial"/>
          <w:color w:val="000000"/>
          <w:sz w:val="20"/>
        </w:rPr>
      </w:pPr>
      <w:r>
        <w:rPr>
          <w:rFonts w:ascii="Arial" w:hAnsi="Arial"/>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product candidates, we are unable to estimate the exact amount of our operating capital requirements. Our future capital requirements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timing, rate of progress, results and costs of our preclinical and nonclinical development activities and clinical trials for our current and future product candidates;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and the costs involved in, obtaining regulatory approvals for our product candidates, including in countries outside the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enrollment of any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and costs of development and commercial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and characteristics of any additional product candidates we develop or acquire;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manufacturing our product candidates that we successfully commercialize;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building a specialty sales force in anticipation of product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of commercialization activities, including building a commercial infrastructure, marketing, sales, and distribution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securities class action, product liability or other lawsuits related to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expenses needed to attract, hire,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implementation of operational, financial, and management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ongoing costs associated with being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involved in preparing, filing, prosecuting, maintaining, defending, and enforcing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receipt, and amount of sales of any future approved products, if any.</w:t>
      </w:r>
    </w:p>
    <w:p>
      <w:pPr>
        <w:pStyle w:val="TextBody"/>
        <w:bidi w:val="0"/>
        <w:spacing w:before="240" w:after="283"/>
        <w:jc w:val="left"/>
        <w:rPr>
          <w:rFonts w:ascii="Arial" w:hAnsi="Arial"/>
          <w:color w:val="000000"/>
          <w:sz w:val="20"/>
        </w:rPr>
      </w:pPr>
      <w:r>
        <w:rPr>
          <w:rFonts w:ascii="Arial" w:hAnsi="Arial"/>
          <w:color w:val="000000"/>
          <w:sz w:val="20"/>
        </w:rPr>
        <w:t>A change in the outcome of any of these or other variables with respect to the development of any of our current and future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Any future debt financing into which we enter may impose upon us additional covenants that restrict our operations, including limitation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before="240" w:after="283"/>
        <w:jc w:val="left"/>
        <w:rPr>
          <w:rFonts w:ascii="Arial" w:hAnsi="Arial"/>
          <w:color w:val="000000"/>
          <w:sz w:val="20"/>
        </w:rPr>
      </w:pPr>
      <w:r>
        <w:rPr>
          <w:rFonts w:ascii="Arial" w:hAnsi="Arial"/>
          <w:color w:val="000000"/>
          <w:sz w:val="20"/>
        </w:rPr>
        <w:t>Adequate funding may not be available to us on acceptable terms or at all. Our failure to raise capital as and when needed could have a negative impact on our financial condition and ability to pursue our business strategies. If we are unable to raise additional funds when needed, we may be required to delay, reduce or terminate some or all of our development programs and clinical trials or we may also be required to terminate rights to future product candidates.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pStyle w:val="TextBody"/>
        <w:bidi w:val="0"/>
        <w:spacing w:before="240" w:after="283"/>
        <w:jc w:val="left"/>
        <w:rPr>
          <w:rFonts w:ascii="Arial" w:hAnsi="Arial"/>
          <w:color w:val="000000"/>
          <w:sz w:val="20"/>
        </w:rPr>
      </w:pPr>
      <w:r>
        <w:rPr>
          <w:rFonts w:ascii="Arial" w:hAnsi="Arial"/>
          <w:color w:val="000000"/>
          <w:sz w:val="20"/>
        </w:rPr>
        <w:t>See the section of this Form 10-Q titled “Risk Factors” for additional risks associated with our substantial capital requirements.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Summary Statements of Cash Flows</w:t>
      </w:r>
    </w:p>
    <w:p>
      <w:pPr>
        <w:pStyle w:val="TextBody"/>
        <w:bidi w:val="0"/>
        <w:spacing w:before="120" w:after="283"/>
        <w:jc w:val="left"/>
        <w:rPr>
          <w:rFonts w:ascii="Arial" w:hAnsi="Arial"/>
          <w:color w:val="000000"/>
          <w:sz w:val="20"/>
        </w:rPr>
      </w:pPr>
      <w:r>
        <w:rPr>
          <w:rFonts w:ascii="Arial" w:hAnsi="Arial"/>
          <w:color w:val="000000"/>
          <w:sz w:val="20"/>
        </w:rPr>
        <w:t>The following table sets forth a summary of the primary sources and uses of cash:</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4786"/>
        <w:gridCol w:w="146"/>
        <w:gridCol w:w="211"/>
        <w:gridCol w:w="751"/>
        <w:gridCol w:w="166"/>
        <w:gridCol w:w="146"/>
        <w:gridCol w:w="211"/>
        <w:gridCol w:w="751"/>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i/>
          <w:color w:val="000000"/>
          <w:sz w:val="20"/>
        </w:rPr>
      </w:pPr>
      <w:r>
        <w:rPr>
          <w:rFonts w:ascii="Arial" w:hAnsi="Arial"/>
          <w:i/>
          <w:color w:val="000000"/>
          <w:sz w:val="20"/>
        </w:rPr>
        <w:t>Cash Used in Operating Activities</w:t>
      </w:r>
    </w:p>
    <w:p>
      <w:pPr>
        <w:pStyle w:val="TextBody"/>
        <w:bidi w:val="0"/>
        <w:spacing w:before="120" w:after="283"/>
        <w:jc w:val="left"/>
        <w:rPr>
          <w:rFonts w:ascii="Arial" w:hAnsi="Arial"/>
          <w:color w:val="000000"/>
          <w:sz w:val="20"/>
        </w:rPr>
      </w:pPr>
      <w:r>
        <w:rPr>
          <w:rFonts w:ascii="Arial" w:hAnsi="Arial"/>
          <w:color w:val="000000"/>
          <w:sz w:val="20"/>
        </w:rPr>
        <w:t>Net cash used in operating activities was $12.1 million for the three months ended March 31, 2026, which consisted of a net loss of $10.0 million, primarily due to the use of funds to develop our product candidates, and a net decrease of $3.4 million in our net operating assets and liabilities, partially offset by $1.4 million in non-cash charges. The net decrease in our operating assets and liabilities was primarily due to a decrease of $3.1 million in accrued liabilities, accounts payable, accrued compensation, and other current liabilities and an increase of $0.3 million in prepaid expenses and other assets. The non-cash charges consisted of stock-based compensation expense of $1.5 million, partially offset by net accretion of discounts on investments of $0.1 million.</w:t>
      </w:r>
    </w:p>
    <w:p>
      <w:pPr>
        <w:pStyle w:val="TextBody"/>
        <w:bidi w:val="0"/>
        <w:spacing w:before="240" w:after="283"/>
        <w:jc w:val="left"/>
        <w:rPr>
          <w:rFonts w:ascii="Arial" w:hAnsi="Arial"/>
          <w:color w:val="000000"/>
          <w:sz w:val="20"/>
        </w:rPr>
      </w:pPr>
      <w:r>
        <w:rPr>
          <w:rFonts w:ascii="Arial" w:hAnsi="Arial"/>
          <w:color w:val="000000"/>
          <w:sz w:val="20"/>
        </w:rPr>
        <w:t>Net cash used in operating activities was $10.6 million for the three months ended March 31, 2025, which consisted of a net loss of $10.6 million, primarily due to the use of funds to develop our initial drug product candidate, and a net decrease of $1.6 million in our net operating assets and liabilities, offset by $1.6 million in non-cash charges. The net decrease in our operating assets and liabilities was primarily due to a decrease of $2.2 million in accrued liabilities, accrued compensation, accounts payable, and other current liabilities partially offset by a decrease of $0.6 million in prepaid expenses and other assets. The non-cash charges consisted of stock-based compensation expense of $2.0 million, partially offset by net accretion of discounts on investments of $0.4 million.</w:t>
      </w:r>
    </w:p>
    <w:p>
      <w:pPr>
        <w:pStyle w:val="TextBody"/>
        <w:bidi w:val="0"/>
        <w:spacing w:before="360" w:after="283"/>
        <w:jc w:val="left"/>
        <w:rPr>
          <w:rFonts w:ascii="Arial" w:hAnsi="Arial"/>
          <w:i/>
          <w:color w:val="000000"/>
          <w:sz w:val="20"/>
        </w:rPr>
      </w:pPr>
      <w:r>
        <w:rPr>
          <w:rFonts w:ascii="Arial" w:hAnsi="Arial"/>
          <w:i/>
          <w:color w:val="000000"/>
          <w:sz w:val="20"/>
        </w:rPr>
        <w:t>Cash Provided by Investing Activities</w:t>
      </w:r>
    </w:p>
    <w:p>
      <w:pPr>
        <w:pStyle w:val="TextBody"/>
        <w:bidi w:val="0"/>
        <w:spacing w:before="120" w:after="283"/>
        <w:jc w:val="left"/>
        <w:rPr>
          <w:rFonts w:ascii="Arial" w:hAnsi="Arial"/>
          <w:color w:val="000000"/>
          <w:sz w:val="20"/>
        </w:rPr>
      </w:pPr>
      <w:r>
        <w:rPr>
          <w:rFonts w:ascii="Arial" w:hAnsi="Arial"/>
          <w:color w:val="000000"/>
          <w:sz w:val="20"/>
        </w:rPr>
        <w:t>Net cash provided by investing activities was $8.3 million for the three months ended March 31, 2026, which primarily consisted of $11.0 million in proceeds from the maturity of investments, partially offset by $2.7 million in purchases of investments.</w:t>
      </w:r>
    </w:p>
    <w:p>
      <w:pPr>
        <w:pStyle w:val="TextBody"/>
        <w:bidi w:val="0"/>
        <w:spacing w:before="240" w:after="283"/>
        <w:jc w:val="left"/>
        <w:rPr>
          <w:rFonts w:ascii="Arial" w:hAnsi="Arial"/>
          <w:color w:val="000000"/>
          <w:sz w:val="20"/>
        </w:rPr>
      </w:pPr>
      <w:r>
        <w:rPr>
          <w:rFonts w:ascii="Arial" w:hAnsi="Arial"/>
          <w:color w:val="000000"/>
          <w:sz w:val="20"/>
        </w:rPr>
        <w:t>Net cash provided by investing activities was $9.2 million for the three months ended March 31, 2025, which primarily consisted of $31.5 million in proceeds from the maturity of investments, partially offset by $22.3 million in purchases of investments.</w:t>
      </w:r>
    </w:p>
    <w:p>
      <w:pPr>
        <w:pStyle w:val="TextBody"/>
        <w:bidi w:val="0"/>
        <w:spacing w:before="360" w:after="283"/>
        <w:jc w:val="left"/>
        <w:rPr>
          <w:rFonts w:ascii="Arial" w:hAnsi="Arial"/>
          <w:i/>
          <w:color w:val="000000"/>
          <w:sz w:val="20"/>
        </w:rPr>
      </w:pPr>
      <w:r>
        <w:rPr>
          <w:rFonts w:ascii="Arial" w:hAnsi="Arial"/>
          <w:i/>
          <w:color w:val="000000"/>
          <w:sz w:val="20"/>
        </w:rPr>
        <w:t>Cash Provided by Financing Activities</w:t>
      </w:r>
    </w:p>
    <w:p>
      <w:pPr>
        <w:pStyle w:val="TextBody"/>
        <w:bidi w:val="0"/>
        <w:spacing w:before="120" w:after="283"/>
        <w:jc w:val="left"/>
        <w:rPr>
          <w:rFonts w:ascii="Arial" w:hAnsi="Arial"/>
          <w:color w:val="000000"/>
          <w:sz w:val="20"/>
        </w:rPr>
      </w:pPr>
      <w:r>
        <w:rPr>
          <w:rFonts w:ascii="Arial" w:hAnsi="Arial"/>
          <w:color w:val="000000"/>
          <w:sz w:val="20"/>
        </w:rPr>
        <w:t>Net cash provided by financing activities was $37.3 million for the three months ended March 31, 2026, which consisted of $37.3 million in proceeds from the issuance of common stock and pre-funded warrants from the 2026 Private Placement, $0.04 million in proceeds from the issuance of common stock under the employee stock purchase plan and $0.02 million from the exercise of stock options.</w:t>
      </w:r>
    </w:p>
    <w:p>
      <w:pPr>
        <w:pStyle w:val="TextBody"/>
        <w:bidi w:val="0"/>
        <w:spacing w:before="240" w:after="283"/>
        <w:jc w:val="left"/>
        <w:rPr>
          <w:rFonts w:ascii="Arial" w:hAnsi="Arial"/>
          <w:color w:val="000000"/>
          <w:sz w:val="20"/>
        </w:rPr>
      </w:pPr>
      <w:r>
        <w:rPr>
          <w:rFonts w:ascii="Arial" w:hAnsi="Arial"/>
          <w:color w:val="000000"/>
          <w:sz w:val="20"/>
        </w:rPr>
        <w:t>Net cash provided by financing activities was $0.1 million for the three months ended March 31, 2025, which consisted of $0.05 million in proceeds from the issuance of common stock under the employee stock purchase plan and $0.05 million from the exercise of stock options.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Contractual Obligations and Commitments</w:t>
      </w:r>
    </w:p>
    <w:p>
      <w:pPr>
        <w:pStyle w:val="TextBody"/>
        <w:bidi w:val="0"/>
        <w:spacing w:before="120" w:after="283"/>
        <w:jc w:val="left"/>
        <w:rPr>
          <w:rFonts w:ascii="Arial" w:hAnsi="Arial"/>
          <w:color w:val="000000"/>
          <w:sz w:val="20"/>
        </w:rPr>
      </w:pPr>
      <w:r>
        <w:rPr>
          <w:rFonts w:ascii="Arial" w:hAnsi="Arial"/>
          <w:color w:val="000000"/>
          <w:sz w:val="20"/>
        </w:rPr>
        <w:t>In November 2019, we entered into an exclusive worldwide license agreement with Anacor for certain compounds and other intellectual property controlled by Anacor for the treatment, diagnosis, or prevention of disease. In exchange for the worldwide, sublicensable, exclusive right and licenses to develop, manufacture, and commercialize the specified compounds, we paid Anacor a $2.0 million upfront payment in November 2019 and issued Anacor shares of our Series A redeemable convertible preferred stock. We agreed to make further payments to Anacor upon achievement of various development milestones for an aggregate maximum payment of $2.0 million,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We also agreed to pay Anacor sales royalties as a percentage of net sales ranging from single to mid-teens.</w:t>
      </w:r>
    </w:p>
    <w:p>
      <w:pPr>
        <w:pStyle w:val="TextBody"/>
        <w:bidi w:val="0"/>
        <w:spacing w:before="240" w:after="283"/>
        <w:jc w:val="left"/>
        <w:rPr>
          <w:rFonts w:ascii="Arial" w:hAnsi="Arial"/>
          <w:color w:val="000000"/>
          <w:sz w:val="20"/>
        </w:rPr>
      </w:pPr>
      <w:r>
        <w:rPr>
          <w:rFonts w:ascii="Arial" w:hAnsi="Arial"/>
          <w:color w:val="000000"/>
          <w:sz w:val="20"/>
        </w:rPr>
        <w:t>We enter into contracts in the normal course of business with third-party contract organizations for preclinical and nonclinical studies and clinical trials, manufacture and supply of our preclinical, nonclinical, clinical trial, and other services and products used for operating purposes. These contracts generally provide for termination following a certain period after notice, and therefore we believe that our non-cancelable obligations under these agreements are not material.</w:t>
      </w:r>
    </w:p>
    <w:p>
      <w:pPr>
        <w:pStyle w:val="TextBody"/>
        <w:bidi w:val="0"/>
        <w:spacing w:before="360" w:after="283"/>
        <w:jc w:val="left"/>
        <w:rPr>
          <w:rFonts w:ascii="Arial" w:hAnsi="Arial"/>
          <w:b/>
          <w:color w:val="000000"/>
          <w:sz w:val="20"/>
        </w:rPr>
      </w:pPr>
      <w:r>
        <w:rPr>
          <w:rFonts w:ascii="Arial" w:hAnsi="Arial"/>
          <w:b/>
          <w:color w:val="000000"/>
          <w:sz w:val="20"/>
        </w:rPr>
        <w:t>Recent Accounting Pronouncements</w:t>
      </w:r>
    </w:p>
    <w:p>
      <w:pPr>
        <w:pStyle w:val="TextBody"/>
        <w:bidi w:val="0"/>
        <w:spacing w:before="120" w:after="283"/>
        <w:jc w:val="left"/>
        <w:rPr>
          <w:rFonts w:ascii="Arial" w:hAnsi="Arial"/>
          <w:color w:val="000000"/>
          <w:sz w:val="20"/>
        </w:rPr>
      </w:pPr>
      <w:r>
        <w:rPr>
          <w:rFonts w:ascii="Arial" w:hAnsi="Arial"/>
          <w:color w:val="000000"/>
          <w:sz w:val="20"/>
        </w:rPr>
        <w:t>See the section “Recently Adopted Accounting Pronouncements” in “Note 2—Basis of Presentation and Summary of Significant Accounting Policies” to the Notes to Financial Statements in Part I, Item 1 of this Quarterly Report on 10-Q.</w:t>
      </w:r>
    </w:p>
    <w:p>
      <w:pPr>
        <w:pStyle w:val="TextBody"/>
        <w:bidi w:val="0"/>
        <w:spacing w:before="360" w:after="283"/>
        <w:jc w:val="left"/>
        <w:rPr>
          <w:rFonts w:ascii="Arial" w:hAnsi="Arial"/>
          <w:b/>
          <w:color w:val="000000"/>
          <w:sz w:val="20"/>
        </w:rPr>
      </w:pPr>
      <w:r>
        <w:rPr>
          <w:rFonts w:ascii="Arial" w:hAnsi="Arial"/>
          <w:b/>
          <w:color w:val="000000"/>
          <w:sz w:val="20"/>
        </w:rPr>
        <w:t>Critical Accounting Policies, Significant Judgments, and Use of Estimates</w:t>
      </w:r>
    </w:p>
    <w:p>
      <w:pPr>
        <w:pStyle w:val="TextBody"/>
        <w:bidi w:val="0"/>
        <w:spacing w:before="120" w:after="283"/>
        <w:jc w:val="left"/>
        <w:rPr>
          <w:rFonts w:ascii="Arial" w:hAnsi="Arial"/>
          <w:color w:val="000000"/>
          <w:sz w:val="20"/>
        </w:rPr>
      </w:pPr>
      <w:r>
        <w:rPr>
          <w:rFonts w:ascii="Arial" w:hAnsi="Arial"/>
          <w:color w:val="000000"/>
          <w:sz w:val="20"/>
        </w:rPr>
        <w:t>The preparation of financial statements and related disclosures in conformity with GAAP requires us to make judgments, assumptions, and estimates that affect the amounts reported in the condensed financial statements and accompanying notes. “Note 2—Summary of Significant Accounting Policies” to the financial statements in our Annual Report on Form 10-K for the year ended December 31, 2025 describes the significant accounting policies and methods used in the preparation of the financial statements. Our critical accounting estimates, identified in Management’s Discussion and Analysis of Financial Condition and Results of Operations in Part II, Item 7 of our Annual Report on Form 10-K include for the year ended December 31, 2025, but are not limited to, the discussion of estimates used for research and development and stock-based compensation. Such accounting policies and estimates require significant judgments and assumptions to be used in the preparation of the condensed financial statements, and actual results could differ materially from the amounts reported. There have been no material changes to these critical accounting policies and estimates through March 31, 2026 from those discussed in our Annual Report on Form 10-K.</w:t>
      </w:r>
    </w:p>
    <w:p>
      <w:pPr>
        <w:pStyle w:val="TextBody"/>
        <w:bidi w:val="0"/>
        <w:spacing w:before="360" w:after="283"/>
        <w:jc w:val="left"/>
        <w:rPr>
          <w:rFonts w:ascii="Arial" w:hAnsi="Arial"/>
          <w:b/>
          <w:color w:val="000000"/>
          <w:sz w:val="20"/>
        </w:rPr>
      </w:pPr>
      <w:r>
        <w:rPr>
          <w:rFonts w:ascii="Arial" w:hAnsi="Arial"/>
          <w:b/>
          <w:color w:val="000000"/>
          <w:sz w:val="20"/>
        </w:rPr>
        <w:t>JOBS Act Accounting Election</w:t>
      </w:r>
    </w:p>
    <w:p>
      <w:pPr>
        <w:pStyle w:val="TextBody"/>
        <w:bidi w:val="0"/>
        <w:spacing w:before="120" w:after="283"/>
        <w:jc w:val="left"/>
        <w:rPr>
          <w:rFonts w:ascii="Arial" w:hAnsi="Arial"/>
          <w:color w:val="000000"/>
          <w:sz w:val="20"/>
        </w:rPr>
      </w:pPr>
      <w:r>
        <w:rPr>
          <w:rFonts w:ascii="Arial" w:hAnsi="Arial"/>
          <w:color w:val="000000"/>
          <w:sz w:val="20"/>
        </w:rPr>
        <w:t>The JOBS Act permits an “emerging growth company” or “EGC” such as us to delay adopting new or revised accounting standards issued subsequent to the enactment of the JOBS Act until such time as those standards apply to private companies. We have elected to use this extended period for complying with new or revised accounting standards that have different effective dates for public and private companies until the earlier of the date that we (i) are no longer an EGC or (ii) affirmatively and irrevocably opt out of the extended transition period provided in the JOBS Act. As a result, the information we provide may not be comparable to companies that comply with the new or revised accounting pronouncements as of public company effective dates.</w:t>
      </w:r>
    </w:p>
    <w:p>
      <w:pPr>
        <w:pStyle w:val="TextBody"/>
        <w:bidi w:val="0"/>
        <w:spacing w:before="240" w:after="283"/>
        <w:jc w:val="left"/>
        <w:rPr>
          <w:rFonts w:ascii="Arial" w:hAnsi="Arial"/>
          <w:color w:val="000000"/>
          <w:sz w:val="20"/>
        </w:rPr>
      </w:pPr>
      <w:r>
        <w:rPr>
          <w:rFonts w:ascii="Arial" w:hAnsi="Arial"/>
          <w:color w:val="000000"/>
          <w:sz w:val="20"/>
        </w:rPr>
        <w:t>In addition, we intend to rely on other exemptions provided by the JOBS Act, including without limitation, not being required to comply with the auditor attestation requirements of Section 404(b) of the Sarbanes-Oxley Act.</w:t>
      </w:r>
    </w:p>
    <w:p>
      <w:pPr>
        <w:pStyle w:val="TextBody"/>
        <w:bidi w:val="0"/>
        <w:spacing w:before="240" w:after="283"/>
        <w:jc w:val="left"/>
        <w:rPr>
          <w:rFonts w:ascii="Arial" w:hAnsi="Arial"/>
          <w:color w:val="000000"/>
          <w:sz w:val="20"/>
        </w:rPr>
      </w:pPr>
      <w:r>
        <w:rPr>
          <w:rFonts w:ascii="Arial" w:hAnsi="Arial"/>
          <w:color w:val="000000"/>
          <w:sz w:val="20"/>
        </w:rPr>
        <w:t>We will remain an EGC until the earliest to occur of: (1) the last day of our first fiscal year in which we have total annual revenues of more than $1.235 billion; (2) the date we qualify as a “large accelerated filer,” with at least $700.0 million of equity securities held by non-affiliates; (3) the date on which we have issued more than $1.0 billion in non-convertible debt securities during the prior three- year period; and (4) the last day of the fiscal year ending after the fifth anniversary of our IPO.</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bookmarkStart w:id="13" w:name="item_3_quantitative_and_qualitative"/>
      <w:bookmarkEnd w:id="13"/>
      <w:r>
        <w:rPr>
          <w:rFonts w:ascii="Arial" w:hAnsi="Arial"/>
          <w:b/>
          <w:color w:val="000000"/>
          <w:sz w:val="20"/>
        </w:rPr>
        <w:t>Item 3. Quantitative and Qualitative Disclosures About Market Risk.</w:t>
      </w:r>
    </w:p>
    <w:p>
      <w:pPr>
        <w:pStyle w:val="TextBody"/>
        <w:bidi w:val="0"/>
        <w:spacing w:before="120" w:after="283"/>
        <w:jc w:val="left"/>
        <w:rPr>
          <w:rFonts w:ascii="Arial" w:hAnsi="Arial"/>
          <w:b/>
          <w:i/>
          <w:color w:val="000000"/>
          <w:sz w:val="20"/>
        </w:rPr>
      </w:pPr>
      <w:r>
        <w:rPr>
          <w:rFonts w:ascii="Arial" w:hAnsi="Arial"/>
          <w:b/>
          <w:i/>
          <w:color w:val="000000"/>
          <w:sz w:val="20"/>
        </w:rPr>
        <w:t>Interest Rate Sensitivity</w:t>
      </w:r>
    </w:p>
    <w:p>
      <w:pPr>
        <w:pStyle w:val="TextBody"/>
        <w:bidi w:val="0"/>
        <w:spacing w:before="120" w:after="283"/>
        <w:jc w:val="left"/>
        <w:rPr>
          <w:rFonts w:ascii="Arial" w:hAnsi="Arial"/>
          <w:color w:val="000000"/>
          <w:sz w:val="20"/>
        </w:rPr>
      </w:pPr>
      <w:r>
        <w:rPr>
          <w:rFonts w:ascii="Arial" w:hAnsi="Arial"/>
          <w:color w:val="000000"/>
          <w:sz w:val="20"/>
        </w:rPr>
        <w:t>We are exposed to market risk related to changes in interest rates. We had cash, cash equivalents, and investments of $85.3 million as of March 31, 2026, which consisted primarily of money market funds and marketable securities, largely composed of investment grade, short and long- term fixed income securities, and government securities.</w:t>
      </w:r>
    </w:p>
    <w:p>
      <w:pPr>
        <w:pStyle w:val="TextBody"/>
        <w:bidi w:val="0"/>
        <w:spacing w:before="240" w:after="283"/>
        <w:jc w:val="left"/>
        <w:rPr>
          <w:rFonts w:ascii="Arial" w:hAnsi="Arial"/>
          <w:color w:val="000000"/>
          <w:sz w:val="20"/>
        </w:rPr>
      </w:pPr>
      <w:r>
        <w:rPr>
          <w:rFonts w:ascii="Arial" w:hAnsi="Arial"/>
          <w:color w:val="000000"/>
          <w:sz w:val="20"/>
        </w:rPr>
        <w:t>The primary objective of our investment activities is to preserve capital to fund our operations. We also seek to maximize income from our investments without assuming significant risk. To achieve our objectives, we maintain a portfolio of cash, cash equivalents, and investments in accordance with our Board-approved investment policy.</w:t>
      </w:r>
    </w:p>
    <w:p>
      <w:pPr>
        <w:pStyle w:val="TextBody"/>
        <w:bidi w:val="0"/>
        <w:spacing w:before="240" w:after="283"/>
        <w:jc w:val="left"/>
        <w:rPr>
          <w:rFonts w:ascii="Arial" w:hAnsi="Arial"/>
          <w:color w:val="000000"/>
          <w:sz w:val="20"/>
        </w:rPr>
      </w:pPr>
      <w:r>
        <w:rPr>
          <w:rFonts w:ascii="Arial" w:hAnsi="Arial"/>
          <w:color w:val="000000"/>
          <w:sz w:val="20"/>
        </w:rPr>
        <w:t>Our investments are subject to interest rate risk and could fall in value if market interest rates increase. A hypothetical 1% relative change in interest rates during any of the periods presented would not have had a material impact on our financial statements. We do not believe that inflation, interest rate changes or exchange rate fluctuations had a significant impact on our results of operations for any periods presented herein.</w:t>
      </w:r>
    </w:p>
    <w:p>
      <w:pPr>
        <w:pStyle w:val="TextBody"/>
        <w:bidi w:val="0"/>
        <w:spacing w:before="360" w:after="283"/>
        <w:jc w:val="left"/>
        <w:rPr>
          <w:rFonts w:ascii="Arial" w:hAnsi="Arial"/>
          <w:b/>
          <w:i/>
          <w:color w:val="000000"/>
          <w:sz w:val="20"/>
        </w:rPr>
      </w:pPr>
      <w:r>
        <w:rPr>
          <w:rFonts w:ascii="Arial" w:hAnsi="Arial"/>
          <w:b/>
          <w:i/>
          <w:color w:val="000000"/>
          <w:sz w:val="20"/>
        </w:rPr>
        <w:t>Foreign Currency Risk</w:t>
      </w:r>
    </w:p>
    <w:p>
      <w:pPr>
        <w:pStyle w:val="TextBody"/>
        <w:bidi w:val="0"/>
        <w:spacing w:before="120" w:after="283"/>
        <w:jc w:val="left"/>
        <w:rPr>
          <w:rFonts w:ascii="Arial" w:hAnsi="Arial"/>
          <w:color w:val="000000"/>
          <w:sz w:val="20"/>
        </w:rPr>
      </w:pPr>
      <w:r>
        <w:rPr>
          <w:rFonts w:ascii="Arial" w:hAnsi="Arial"/>
          <w:color w:val="000000"/>
          <w:sz w:val="20"/>
        </w:rPr>
        <w:t>A small portion of our expenses are denominated in foreign currencies. Future fluctuations in the value of the U.S. Dollar may affect the price we pay for services performed outside the United States. We were not exposed to material foreign currency risk during the quarter ended March 31, 2026.</w:t>
      </w:r>
    </w:p>
    <w:p>
      <w:pPr>
        <w:pStyle w:val="TextBody"/>
        <w:bidi w:val="0"/>
        <w:spacing w:before="360" w:after="283"/>
        <w:jc w:val="left"/>
        <w:rPr>
          <w:rFonts w:ascii="Arial" w:hAnsi="Arial"/>
          <w:b/>
          <w:i/>
          <w:color w:val="000000"/>
          <w:sz w:val="20"/>
        </w:rPr>
      </w:pPr>
      <w:r>
        <w:rPr>
          <w:rFonts w:ascii="Arial" w:hAnsi="Arial"/>
          <w:b/>
          <w:i/>
          <w:color w:val="000000"/>
          <w:sz w:val="20"/>
        </w:rPr>
        <w:t>Effects of Inflation</w:t>
      </w:r>
    </w:p>
    <w:p>
      <w:pPr>
        <w:pStyle w:val="TextBody"/>
        <w:bidi w:val="0"/>
        <w:spacing w:before="120" w:after="283"/>
        <w:jc w:val="left"/>
        <w:rPr>
          <w:rFonts w:ascii="Arial" w:hAnsi="Arial"/>
          <w:color w:val="000000"/>
          <w:sz w:val="20"/>
        </w:rPr>
      </w:pPr>
      <w:r>
        <w:rPr>
          <w:rFonts w:ascii="Arial" w:hAnsi="Arial"/>
          <w:color w:val="000000"/>
          <w:sz w:val="20"/>
        </w:rPr>
        <w:t>Inflation generally affects us by increasing our cost of labor and operating costs including clinical trial, non-clinical study, and manufacturing costs. We believe that inflation has not had a material effect on our unaudited interim condensed financial statements included elsewhere in this Form 10-Q.</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bookmarkStart w:id="14" w:name="item_4_controls_and_procedures"/>
      <w:bookmarkEnd w:id="14"/>
      <w:r>
        <w:rPr>
          <w:rFonts w:ascii="Arial" w:hAnsi="Arial"/>
          <w:b/>
          <w:color w:val="000000"/>
          <w:sz w:val="20"/>
        </w:rPr>
        <w:t>Item 4. Controls and Procedures.</w:t>
      </w:r>
    </w:p>
    <w:p>
      <w:pPr>
        <w:pStyle w:val="TextBody"/>
        <w:bidi w:val="0"/>
        <w:spacing w:before="120" w:after="283"/>
        <w:jc w:val="left"/>
        <w:rPr>
          <w:rFonts w:ascii="Arial" w:hAnsi="Arial"/>
          <w:i/>
          <w:color w:val="000000"/>
          <w:sz w:val="20"/>
        </w:rPr>
      </w:pPr>
      <w:r>
        <w:rPr>
          <w:rFonts w:ascii="Arial" w:hAnsi="Arial"/>
          <w:i/>
          <w:color w:val="000000"/>
          <w:sz w:val="20"/>
        </w:rPr>
        <w:t>Evaluation of Disclosure Controls and Procedures</w:t>
      </w:r>
    </w:p>
    <w:p>
      <w:pPr>
        <w:pStyle w:val="TextBody"/>
        <w:bidi w:val="0"/>
        <w:spacing w:before="120" w:after="283"/>
        <w:jc w:val="left"/>
        <w:rPr>
          <w:rFonts w:ascii="Arial" w:hAnsi="Arial"/>
          <w:color w:val="000000"/>
          <w:sz w:val="20"/>
        </w:rPr>
      </w:pPr>
      <w:r>
        <w:rPr>
          <w:rFonts w:ascii="Arial" w:hAnsi="Arial"/>
          <w:color w:val="000000"/>
          <w:sz w:val="20"/>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Form 10-Q.</w:t>
      </w:r>
    </w:p>
    <w:p>
      <w:pPr>
        <w:pStyle w:val="TextBody"/>
        <w:bidi w:val="0"/>
        <w:spacing w:before="240" w:after="283"/>
        <w:jc w:val="left"/>
        <w:rPr>
          <w:rFonts w:ascii="Arial" w:hAnsi="Arial"/>
          <w:color w:val="000000"/>
          <w:sz w:val="20"/>
        </w:rPr>
      </w:pPr>
      <w:r>
        <w:rPr>
          <w:rFonts w:ascii="Arial" w:hAnsi="Arial"/>
          <w:color w:val="000000"/>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CEO and CFO,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283"/>
        <w:jc w:val="left"/>
        <w:rPr>
          <w:rFonts w:ascii="Arial" w:hAnsi="Arial"/>
          <w:color w:val="000000"/>
          <w:sz w:val="20"/>
        </w:rPr>
      </w:pPr>
      <w:r>
        <w:rPr>
          <w:rFonts w:ascii="Arial" w:hAnsi="Arial"/>
          <w:color w:val="000000"/>
          <w:sz w:val="20"/>
        </w:rPr>
        <w:t>Our CEO and CFO have concluded that as of March 31, 2026, our disclosure controls and procedures were not effective due to material weaknesses in internal control over financial reporting previously disclosed in the Annual Report on Form 10-K for the year ended December 31, 2025 and included below.</w:t>
      </w:r>
    </w:p>
    <w:p>
      <w:pPr>
        <w:pStyle w:val="TextBody"/>
        <w:bidi w:val="0"/>
        <w:spacing w:before="240" w:after="283"/>
        <w:jc w:val="left"/>
        <w:rPr>
          <w:rFonts w:ascii="Arial" w:hAnsi="Arial"/>
          <w:color w:val="000000"/>
          <w:sz w:val="20"/>
        </w:rPr>
      </w:pPr>
      <w:r>
        <w:rPr>
          <w:rFonts w:ascii="Arial" w:hAnsi="Arial"/>
          <w:color w:val="000000"/>
          <w:sz w:val="20"/>
        </w:rPr>
        <w:t>Notwithstanding the identified material weaknesses, management, including our CEO and CFO, have determined, based on the procedures we have performed, that the condensed financial statements included in this Quarterly Report on Form 10-Q were prepared in accordance with U.S. GAAP.</w:t>
      </w:r>
    </w:p>
    <w:p>
      <w:pPr>
        <w:pStyle w:val="TextBody"/>
        <w:bidi w:val="0"/>
        <w:spacing w:before="360" w:after="283"/>
        <w:jc w:val="left"/>
        <w:rPr>
          <w:rFonts w:ascii="Arial" w:hAnsi="Arial"/>
          <w:i/>
          <w:color w:val="000000"/>
          <w:sz w:val="20"/>
        </w:rPr>
      </w:pPr>
      <w:r>
        <w:rPr>
          <w:rFonts w:ascii="Arial" w:hAnsi="Arial"/>
          <w:i/>
          <w:color w:val="000000"/>
          <w:sz w:val="20"/>
        </w:rPr>
        <w:t>Previously Identified Material Weaknesses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 xml:space="preserve">During the course of preparing for our March 2022 IPO, we identified material weaknesses in our internal control over financial reporting. A material weakness is a deficiency, or a combination of deficiencies, in internal control over financial reporting such that there is a reasonable possibility that a material misstatement of its annual or interim financial statements will not be prevented or detected on a timely basis. </w:t>
      </w:r>
    </w:p>
    <w:p>
      <w:pPr>
        <w:pStyle w:val="TextBody"/>
        <w:bidi w:val="0"/>
        <w:spacing w:before="240" w:after="283"/>
        <w:jc w:val="left"/>
        <w:rPr>
          <w:rFonts w:ascii="Arial" w:hAnsi="Arial"/>
          <w:color w:val="000000"/>
          <w:sz w:val="20"/>
        </w:rPr>
      </w:pPr>
      <w:r>
        <w:rPr>
          <w:rFonts w:ascii="Arial" w:hAnsi="Arial"/>
          <w:color w:val="000000"/>
          <w:sz w:val="20"/>
        </w:rPr>
        <w:t>The material weaknesses identified were as follows, and continue to exist as of March 31, 2026: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above material weaknesses resulted in adjustments to accrued expenses balances, which were recorded prior to the issuance of the financial statements, as of and for the years ended December 31, 2019 and 2020. Additionally, these material weaknesses could result in a misstatement of substantially all of our accounts or disclosures that would result in a material misstatement to the annual or interim financial statements that would not be prevented or detected.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before="240" w:after="283"/>
        <w:jc w:val="left"/>
        <w:rPr>
          <w:rFonts w:ascii="Arial" w:hAnsi="Arial"/>
          <w:color w:val="000000"/>
          <w:sz w:val="20"/>
        </w:rPr>
      </w:pPr>
      <w:r>
        <w:rPr>
          <w:rFonts w:ascii="Arial" w:hAnsi="Arial"/>
          <w:color w:val="000000"/>
          <w:sz w:val="20"/>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pStyle w:val="TextBody"/>
        <w:bidi w:val="0"/>
        <w:spacing w:before="360" w:after="283"/>
        <w:jc w:val="left"/>
        <w:rPr>
          <w:rFonts w:ascii="Arial" w:hAnsi="Arial"/>
          <w:i/>
          <w:color w:val="000000"/>
          <w:sz w:val="20"/>
        </w:rPr>
      </w:pPr>
      <w:r>
        <w:rPr>
          <w:rFonts w:ascii="Arial" w:hAnsi="Arial"/>
          <w:i/>
          <w:color w:val="000000"/>
          <w:sz w:val="20"/>
        </w:rPr>
        <w:t>Changes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during the three months ended March 31, 2026 that materially affected, or are reasonably likely to materially affect, our internal control over financial reporting.</w:t>
      </w:r>
    </w:p>
    <w:p>
      <w:pPr>
        <w:pStyle w:val="TextBody"/>
        <w:bidi w:val="0"/>
        <w:spacing w:before="360" w:after="283"/>
        <w:jc w:val="left"/>
        <w:rPr>
          <w:rFonts w:ascii="Arial" w:hAnsi="Arial"/>
          <w:i/>
          <w:color w:val="000000"/>
          <w:sz w:val="20"/>
        </w:rPr>
      </w:pPr>
      <w:r>
        <w:rPr>
          <w:rFonts w:ascii="Arial" w:hAnsi="Arial"/>
          <w:i/>
          <w:color w:val="000000"/>
          <w:sz w:val="20"/>
        </w:rPr>
        <w:t>Limitations on the Effectiveness of Controls</w:t>
      </w:r>
    </w:p>
    <w:p>
      <w:pPr>
        <w:pStyle w:val="TextBody"/>
        <w:bidi w:val="0"/>
        <w:spacing w:before="120" w:after="283"/>
        <w:jc w:val="left"/>
        <w:rPr>
          <w:rFonts w:ascii="Arial" w:hAnsi="Arial"/>
          <w:color w:val="000000"/>
          <w:sz w:val="20"/>
        </w:rPr>
      </w:pPr>
      <w:r>
        <w:rPr>
          <w:rFonts w:ascii="Arial" w:hAnsi="Arial"/>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center"/>
        <w:rPr>
          <w:rFonts w:ascii="Arial" w:hAnsi="Arial"/>
          <w:b/>
          <w:color w:val="000000"/>
          <w:sz w:val="20"/>
        </w:rPr>
      </w:pPr>
      <w:bookmarkStart w:id="15" w:name="part_ii_other_information"/>
      <w:bookmarkEnd w:id="15"/>
      <w:r>
        <w:rPr>
          <w:rFonts w:ascii="Arial" w:hAnsi="Arial"/>
          <w:b/>
          <w:color w:val="000000"/>
          <w:sz w:val="20"/>
        </w:rPr>
        <w:t>PART II—OTHER INFORMATION</w:t>
      </w:r>
    </w:p>
    <w:p>
      <w:pPr>
        <w:pStyle w:val="TextBody"/>
        <w:bidi w:val="0"/>
        <w:spacing w:before="240" w:after="283"/>
        <w:jc w:val="left"/>
        <w:rPr>
          <w:rFonts w:ascii="Arial" w:hAnsi="Arial"/>
          <w:b/>
          <w:color w:val="000000"/>
          <w:sz w:val="20"/>
        </w:rPr>
      </w:pPr>
      <w:bookmarkStart w:id="16" w:name="item_1_legal_proceedings"/>
      <w:bookmarkEnd w:id="16"/>
      <w:r>
        <w:rPr>
          <w:rFonts w:ascii="Arial" w:hAnsi="Arial"/>
          <w:b/>
          <w:color w:val="000000"/>
          <w:sz w:val="20"/>
        </w:rPr>
        <w:t>Item 1. Legal Proceedings.</w:t>
      </w:r>
    </w:p>
    <w:p>
      <w:pPr>
        <w:pStyle w:val="TextBody"/>
        <w:bidi w:val="0"/>
        <w:spacing w:before="120" w:after="283"/>
        <w:jc w:val="left"/>
        <w:rPr>
          <w:rFonts w:ascii="Arial" w:hAnsi="Arial"/>
          <w:color w:val="000000"/>
          <w:sz w:val="20"/>
        </w:rPr>
      </w:pPr>
      <w:r>
        <w:rPr>
          <w:rFonts w:ascii="Arial" w:hAnsi="Arial"/>
          <w:color w:val="000000"/>
          <w:sz w:val="20"/>
        </w:rPr>
        <w:t>The information in Part I, Note 7—Commitments and Contingencies, is incorporated herein by reference.</w:t>
      </w:r>
    </w:p>
    <w:p>
      <w:pPr>
        <w:pStyle w:val="TextBody"/>
        <w:bidi w:val="0"/>
        <w:spacing w:before="360" w:after="283"/>
        <w:jc w:val="left"/>
        <w:rPr>
          <w:rFonts w:ascii="Arial" w:hAnsi="Arial"/>
          <w:b/>
          <w:color w:val="000000"/>
          <w:sz w:val="20"/>
        </w:rPr>
      </w:pPr>
      <w:bookmarkStart w:id="17" w:name="item_1a_risk_factors"/>
      <w:bookmarkEnd w:id="17"/>
      <w:r>
        <w:rPr>
          <w:rFonts w:ascii="Arial" w:hAnsi="Arial"/>
          <w:b/>
          <w:color w:val="000000"/>
          <w:sz w:val="20"/>
        </w:rPr>
        <w:t>Item 1A. Risk Factors.</w:t>
      </w:r>
    </w:p>
    <w:p>
      <w:pPr>
        <w:pStyle w:val="TextBody"/>
        <w:bidi w:val="0"/>
        <w:spacing w:before="120" w:after="283"/>
        <w:jc w:val="left"/>
        <w:rPr>
          <w:rFonts w:ascii="Arial" w:hAnsi="Arial"/>
          <w:i/>
          <w:color w:val="000000"/>
          <w:sz w:val="20"/>
        </w:rPr>
      </w:pPr>
      <w:r>
        <w:rPr>
          <w:rFonts w:ascii="Arial" w:hAnsi="Arial"/>
          <w:i/>
          <w:color w:val="000000"/>
          <w:sz w:val="20"/>
        </w:rPr>
        <w:t>Investing in our common stock involves a high degree of risk. Before you invest in our common stock, you should carefully consider the risks described below together with all of the other information contained in this Form 10-Q, including our unaudited condensed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in these risk factors to our business being harmed will include harm to our business, reputation, financial condition, results of operations, and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pStyle w:val="TextBody"/>
        <w:bidi w:val="0"/>
        <w:spacing w:before="360" w:after="283"/>
        <w:jc w:val="left"/>
        <w:rPr>
          <w:rFonts w:ascii="Arial" w:hAnsi="Arial"/>
          <w:b/>
          <w:color w:val="000000"/>
          <w:sz w:val="20"/>
        </w:rPr>
      </w:pPr>
      <w:r>
        <w:rPr>
          <w:rFonts w:ascii="Arial" w:hAnsi="Arial"/>
          <w:b/>
          <w:color w:val="000000"/>
          <w:sz w:val="20"/>
        </w:rPr>
        <w:t>Risk Factors Summary</w:t>
      </w:r>
    </w:p>
    <w:p>
      <w:pPr>
        <w:pStyle w:val="TextBody"/>
        <w:bidi w:val="0"/>
        <w:spacing w:before="120" w:after="283"/>
        <w:jc w:val="left"/>
        <w:rPr>
          <w:rFonts w:ascii="Arial" w:hAnsi="Arial"/>
          <w:i/>
          <w:color w:val="000000"/>
          <w:sz w:val="20"/>
        </w:rPr>
      </w:pPr>
      <w:r>
        <w:rPr>
          <w:rFonts w:ascii="Arial" w:hAnsi="Arial"/>
          <w:i/>
          <w:color w:val="000000"/>
          <w:sz w:val="20"/>
        </w:rPr>
        <w:t>Investing in shares of our common stock involves a high degree of risk because our business is subject to numerous risks and uncertainties, as more fully described below. The principal factors and uncertainties that make investing in shares of our common stock risky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a pipeline that is primarily composed of early-stage and mid-stage programs, and clinical proof of concept has not yet been established for any of our product candidates. Our ability to advance these molecules into clinical development, and successfully progress them through preclinical, clinical, and regulatory milestones, is highly uncertain. The inherent risks of early-stage drug discovery and development, including challenges in translation from preclinical data to human studies, may prevent us from achieving meaningful clinical results, obtaining regulatory approval, or realizing the value of our pipeline assets.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do not obtain regulatory approval for and successfully commercialize any of our product candidates, or if we experience significant delays in doing so, we may never become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clinical trials of our product candidates fail to demonstrate safety and/or efficacy of such product candidates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experience delays or difficulties in the enrollment of patients in clinical trials, our clinical development activities and receipt of necessary regulatory approvals could be delayed or prevented.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conducting clinical trials for our product candidates outside of the U.S., including our planned PV Phase 2 trial in India, and the FDA may not accept data from such trials, in which case our development plans may be delayed.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rely on third parties to conduct our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Even if any of our product candidates receive regulatory approval, it may fail to achieve the degree of market acceptance by physicians, patients, third-party payors, and others in the medical community necessary for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face substantial competition, which may result in others discovering, developing or commercializing products before or more successfully than we do.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operate with a small team and our future success depends on our ability to retain key executives and to attract, retain and motivate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identified material weaknesses in our internal control over financial reporting. Due to our failure to maintain effective internal control over financial reporting, we may not be able to accurately or timely report our financial condition or results of operations, which may adversely affect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rights to develop and commercialize our technology and our other product candidates are subject, in large part, to the terms and conditions of licenses granted to us by others, such as Anacor Pharmaceuticals, Inc. (a wholly owned subsidiary of Pfizer) (“Anacor”). If we fail to comply with our obligations in the agreements under which we in-license or acquire development or commercialization rights to products, technology, or data from third parties, we could lose such rights that are important to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obtain and maintain patent and other intellectual property protection for our technology, or for our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are not able to obtain, or if there are delays in obtaining, required regulatory approvals, we will not be able to commercialize our product candidates, and our ability to generate revenue will be materially impaired.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trading price of our common stock has been and may continue to be volatile.</w:t>
      </w:r>
    </w:p>
    <w:p>
      <w:pPr>
        <w:pStyle w:val="TextBody"/>
        <w:bidi w:val="0"/>
        <w:spacing w:before="360" w:after="283"/>
        <w:jc w:val="left"/>
        <w:rPr>
          <w:rFonts w:ascii="Arial" w:hAnsi="Arial"/>
          <w:b/>
          <w:color w:val="000000"/>
          <w:sz w:val="20"/>
        </w:rPr>
      </w:pPr>
      <w:r>
        <w:rPr>
          <w:rFonts w:ascii="Arial" w:hAnsi="Arial"/>
          <w:b/>
          <w:color w:val="000000"/>
          <w:sz w:val="20"/>
        </w:rPr>
        <w:t>Risks Related to Our Financial Position and Capital Needs</w:t>
      </w:r>
    </w:p>
    <w:p>
      <w:pPr>
        <w:pStyle w:val="TextBody"/>
        <w:bidi w:val="0"/>
        <w:spacing w:before="120" w:after="283"/>
        <w:jc w:val="left"/>
        <w:rPr>
          <w:rFonts w:ascii="Arial" w:hAnsi="Arial"/>
          <w:b/>
          <w:i/>
          <w:color w:val="000000"/>
          <w:sz w:val="20"/>
        </w:rPr>
      </w:pPr>
      <w:r>
        <w:rPr>
          <w:rFonts w:ascii="Arial" w:hAnsi="Arial"/>
          <w:b/>
          <w:i/>
          <w:color w:val="000000"/>
          <w:sz w:val="20"/>
        </w:rPr>
        <w:t>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pStyle w:val="TextBody"/>
        <w:bidi w:val="0"/>
        <w:spacing w:before="120" w:after="283"/>
        <w:jc w:val="left"/>
        <w:rPr>
          <w:rFonts w:ascii="Times New Roman" w:hAnsi="Times New Roman"/>
          <w:sz w:val="20"/>
        </w:rPr>
      </w:pPr>
      <w:r>
        <w:rPr>
          <w:rFonts w:ascii="Arial" w:hAnsi="Arial"/>
          <w:color w:val="000000"/>
          <w:sz w:val="20"/>
        </w:rPr>
        <w:t>Biopharmaceutical product development is a highly speculative undertaking and involves a substantial degree of risk. We are a clinical-stage biopharmaceutical company with a limited operating history upon which you can evaluate our business and prospects. We currently have no products approved for commercial sale, have not generated any revenue from the sale of products and have incurred losses in each year since our inception in 2017. In addition, we have limited experience as a company and have not yet demonstrated an ability to successfully overcome many of the risks and uncertainties frequently encountered by companies in new and rapidly evolving fields, particularly in the biopharmaceutical industry.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For example, in August 2024, we announced topline results from the Phase 2 part of the EBO-301 Phase 2/3 study evaluating epetraborole on top of OBR in treatment-refractory MAC lung disease. The Phase 2 part of the study met its primary objective of demonstrating the potential validation of a novel PRO tool and a higher PRO-based clinical response rate in the epetraborole + OBR arm (39.5%) vs. placebo + OBR (25.0%; treatment difference 13.9%, p=0.19). However, sputum culture conversion at Month 6, a key secondary endpoint, was similar between treatment arms (13.2% in epetraborole + OBR vs. 10.0% placebo + OBR; treatment difference 3.4%, p=0.64). In May 2025, we announced that the truncated Phase 3 portion of the EBO-301 study did not meet its primary endpoint of demonstrating an improvement on the QOL-B respiratory domain PRO instrument (change from baseline to month 6), though epetraborole was generally well tolerated in the trial. Based on these results, we decided to suspend further development of epetraborole for treatment-refractory MAC lung disease.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Our net loss was $35.2 million for the year ended December 31, 2025 and $10.0 million and $10.6 million for the three months ended March 31, 2026 and 2025, respectively. As of March 31, 2026, we had an accumulated deficit of $251.0 million. We have funded our operations to date primarily with proceeds from our 2026 Private Placement (the “2026 Private Placement”), underwritten offering (the “Underwritten Offering”), our “at-the-market” equity offering program (“ATM Offering”), our IPO, and the sale of our redeemable convertible preferred stock. We have devoted substantially all of our financial resources and efforts to research and development, including preclinical and nonclinical studies, manufacturing, clinical trials, and general and administrative costs associated with our operations. We expect to continue to incur significant expenses and operating losses over the next several years. Our net losses may fluctuate significantly from quarter to quarter and year to year.</w:t>
      </w:r>
    </w:p>
    <w:p>
      <w:pPr>
        <w:pStyle w:val="TextBody"/>
        <w:bidi w:val="0"/>
        <w:spacing w:before="240" w:after="283"/>
        <w:jc w:val="left"/>
        <w:rPr>
          <w:rFonts w:ascii="Arial" w:hAnsi="Arial"/>
          <w:color w:val="000000"/>
          <w:sz w:val="20"/>
        </w:rPr>
      </w:pPr>
      <w:r>
        <w:rPr>
          <w:rFonts w:ascii="Arial" w:hAnsi="Arial"/>
          <w:color w:val="000000"/>
          <w:sz w:val="20"/>
        </w:rPr>
        <w:t>We anticipate that our expenses will increase substantially as we: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our ongoing and planned preclinical, nonclinical, and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initiate preclinical and nonclinical studies and clinical trials for product candidates that we may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to discover and develop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regulatory approvals for any of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ultimately establish sales, marketing, and distribution infrastructure and scale up external manufacturing capabilities if we move into later-stage clinical trials for, and seek to commercialize, any product candidate for which we may obtain regulatory approval and intend to commercialize on our own;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hire additional clinical, scientific, chemistry, manufacturing and controls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add operational, financial, management, and compliance information systems and personnel, including personnel to support our product development and any future commercialization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incur legal, accounting, information systems, and other expenses associated with operating as a public company.</w:t>
      </w:r>
    </w:p>
    <w:p>
      <w:pPr>
        <w:pStyle w:val="TextBody"/>
        <w:bidi w:val="0"/>
        <w:spacing w:before="240" w:after="283"/>
        <w:jc w:val="left"/>
        <w:rPr>
          <w:rFonts w:ascii="Arial" w:hAnsi="Arial"/>
          <w:color w:val="000000"/>
          <w:sz w:val="20"/>
        </w:rPr>
      </w:pPr>
      <w:r>
        <w:rPr>
          <w:rFonts w:ascii="Arial" w:hAnsi="Arial"/>
          <w:color w:val="000000"/>
          <w:sz w:val="20"/>
        </w:rPr>
        <w:t>To become and remain profitable, we must succeed in developing and eventually commercializing drugs that generate significant revenue. This will require us to be successful in a range of challenging activities, including completing preclinical and nonclinical studies and clinical trials of our product candidates, obtaining regulatory approval, manufacturing, marketing, and selling any products for which we may obtain regulatory approval, as well as discovering and developing additional product candidates. We are only in the preliminary stages of most of these activities. We may never succeed in these activities and, even if we do, may never generate revenues that are significant enough to achieve profitability.</w:t>
      </w:r>
    </w:p>
    <w:p>
      <w:pPr>
        <w:pStyle w:val="TextBody"/>
        <w:bidi w:val="0"/>
        <w:spacing w:before="240" w:after="283"/>
        <w:jc w:val="left"/>
        <w:rPr>
          <w:rFonts w:ascii="Arial" w:hAnsi="Arial"/>
          <w:color w:val="000000"/>
          <w:sz w:val="20"/>
        </w:rPr>
      </w:pPr>
      <w:r>
        <w:rPr>
          <w:rFonts w:ascii="Arial" w:hAnsi="Arial"/>
          <w:color w:val="000000"/>
          <w:sz w:val="20"/>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further delays in the initiation and completion of our clinical trials or the development of any of our product candidates, our expenses could increase.</w:t>
      </w:r>
    </w:p>
    <w:p>
      <w:pPr>
        <w:pStyle w:val="TextBody"/>
        <w:bidi w:val="0"/>
        <w:spacing w:before="240" w:after="283"/>
        <w:jc w:val="left"/>
        <w:rPr>
          <w:rFonts w:ascii="Times New Roman" w:hAnsi="Times New Roman"/>
          <w:sz w:val="20"/>
        </w:rPr>
      </w:pPr>
      <w:r>
        <w:rPr>
          <w:rFonts w:ascii="Arial" w:hAnsi="Arial"/>
          <w:color w:val="000000"/>
          <w:sz w:val="20"/>
        </w:rPr>
        <w:t>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limited operating history may make it difficult for you to evaluate the success of our business to date and to assess our future viability.</w:t>
      </w:r>
    </w:p>
    <w:p>
      <w:pPr>
        <w:pStyle w:val="TextBody"/>
        <w:bidi w:val="0"/>
        <w:spacing w:before="120" w:after="283"/>
        <w:jc w:val="left"/>
        <w:rPr>
          <w:rFonts w:ascii="Arial" w:hAnsi="Arial"/>
          <w:color w:val="000000"/>
          <w:sz w:val="20"/>
        </w:rPr>
      </w:pPr>
      <w:r>
        <w:rPr>
          <w:rFonts w:ascii="Arial" w:hAnsi="Arial"/>
          <w:color w:val="000000"/>
          <w:sz w:val="20"/>
        </w:rPr>
        <w:t>We commenced active operations in November 2019, and our operations to date have been largely focused on raising capital, developing epetraborole and other product candidates, broadening our expertise in the development of epetraborole, and other product candidates, undertaking preclinical and nonclinical studies, manufacturing clinical trial material, preparing for and initiating clinical trials, and general and administrative operations. As a company, we have not yet demonstrated an ability to successfully complete pivotal clinical trials, obtain regulatory approvals, manufacture a commercial product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w:t>
      </w:r>
    </w:p>
    <w:p>
      <w:pPr>
        <w:pStyle w:val="TextBody"/>
        <w:bidi w:val="0"/>
        <w:spacing w:before="240" w:after="283"/>
        <w:jc w:val="left"/>
        <w:rPr>
          <w:rFonts w:ascii="Arial" w:hAnsi="Arial"/>
          <w:color w:val="000000"/>
          <w:sz w:val="20"/>
        </w:rPr>
      </w:pPr>
      <w:r>
        <w:rPr>
          <w:rFonts w:ascii="Arial" w:hAnsi="Arial"/>
          <w:color w:val="000000"/>
          <w:sz w:val="20"/>
        </w:rPr>
        <w:t>We have and may encounter unforeseen expenses, difficulties, complications, delays and other known or unknown factors in achieving our business objectives. For example, in May 2025, we decided to discontinue our development of epetraborole for treatment-refractory MAC lung disease following the failure of the truncated Phase 3 portion of the EBO-301 study to meet its primary endpoint.</w:t>
      </w:r>
    </w:p>
    <w:p>
      <w:pPr>
        <w:pStyle w:val="TextBody"/>
        <w:bidi w:val="0"/>
        <w:spacing w:before="240" w:after="283"/>
        <w:jc w:val="left"/>
        <w:rPr>
          <w:rFonts w:ascii="Arial" w:hAnsi="Arial"/>
          <w:color w:val="000000"/>
          <w:sz w:val="20"/>
        </w:rPr>
      </w:pPr>
      <w:r>
        <w:rPr>
          <w:rFonts w:ascii="Arial" w:hAnsi="Arial"/>
          <w:color w:val="000000"/>
          <w:sz w:val="20"/>
        </w:rPr>
        <w:t>In addition, we will need to transition successfully at some point from a company with a research and development focus to a company capable of supporting commercial activities. We may not be successful in such a transition.</w:t>
      </w:r>
    </w:p>
    <w:p>
      <w:pPr>
        <w:pStyle w:val="TextBody"/>
        <w:bidi w:val="0"/>
        <w:spacing w:before="240" w:after="283"/>
        <w:jc w:val="left"/>
        <w:rPr>
          <w:rFonts w:ascii="Arial" w:hAnsi="Arial"/>
          <w:color w:val="000000"/>
          <w:sz w:val="20"/>
        </w:rPr>
      </w:pPr>
      <w:r>
        <w:rPr>
          <w:rFonts w:ascii="Arial" w:hAnsi="Arial"/>
          <w:color w:val="000000"/>
          <w:sz w:val="20"/>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pStyle w:val="TextBody"/>
        <w:bidi w:val="0"/>
        <w:spacing w:before="360" w:after="283"/>
        <w:jc w:val="left"/>
        <w:rPr>
          <w:rFonts w:ascii="Arial" w:hAnsi="Arial"/>
          <w:b/>
          <w:i/>
          <w:color w:val="000000"/>
          <w:sz w:val="20"/>
        </w:rPr>
      </w:pPr>
      <w:r>
        <w:rPr>
          <w:rFonts w:ascii="Arial" w:hAnsi="Arial"/>
          <w:b/>
          <w:i/>
          <w:color w:val="000000"/>
          <w:sz w:val="20"/>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pStyle w:val="TextBody"/>
        <w:bidi w:val="0"/>
        <w:spacing w:before="120" w:after="283"/>
        <w:jc w:val="left"/>
        <w:rPr>
          <w:rFonts w:ascii="Arial" w:hAnsi="Arial"/>
          <w:color w:val="000000"/>
          <w:sz w:val="20"/>
        </w:rPr>
      </w:pPr>
      <w:r>
        <w:rPr>
          <w:rFonts w:ascii="Arial" w:hAnsi="Arial"/>
          <w:color w:val="000000"/>
          <w:sz w:val="20"/>
        </w:rPr>
        <w:t>We believe that our existing cash, cash equivalents, and investments will enable us to fund our operating expenses and capital expenditure requirements for at least the next 12 months. However, in addition to the $40.0 million financing completed in March 2026, we will need to obtain substantial additional funding in connection with our continuing operations and planned activities.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progress, and results of our ongoing and future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timing and outcome of regulatory review of any of our product candidates that may complete or be in the process of completing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progress, results and costs of identifying, obtaining, and conducting preclinical development, laboratory testing and clinical trials of future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and timetable of manufacturing processes for development, clinical trials and potential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and development requirements of future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amount of funding that we receive under our non-dilutive funding opportunities, including government awards that we may apply for;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future commercialization activities, including product manufacturing, marketing, sales, and distribution, for any product candidates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pricing and revenue, if any, received from commercial sales of any product candidates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of operating as a public company; 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we acquire or in-license other product candidates and technologies.</w:t>
      </w:r>
    </w:p>
    <w:p>
      <w:pPr>
        <w:pStyle w:val="TextBody"/>
        <w:bidi w:val="0"/>
        <w:spacing w:before="240" w:after="283"/>
        <w:jc w:val="left"/>
        <w:rPr>
          <w:rFonts w:ascii="Arial" w:hAnsi="Arial"/>
          <w:color w:val="000000"/>
          <w:sz w:val="20"/>
        </w:rPr>
      </w:pPr>
      <w:r>
        <w:rPr>
          <w:rFonts w:ascii="Arial" w:hAnsi="Arial"/>
          <w:color w:val="000000"/>
          <w:sz w:val="20"/>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any future commercialization efforts.</w:t>
      </w:r>
    </w:p>
    <w:p>
      <w:pPr>
        <w:pStyle w:val="TextBody"/>
        <w:bidi w:val="0"/>
        <w:spacing w:before="360" w:after="283"/>
        <w:jc w:val="left"/>
        <w:rPr>
          <w:rFonts w:ascii="Arial" w:hAnsi="Arial"/>
          <w:b/>
          <w:i/>
          <w:color w:val="000000"/>
          <w:sz w:val="20"/>
        </w:rPr>
      </w:pPr>
      <w:r>
        <w:rPr>
          <w:rFonts w:ascii="Arial" w:hAnsi="Arial"/>
          <w:b/>
          <w:i/>
          <w:color w:val="000000"/>
          <w:sz w:val="20"/>
        </w:rPr>
        <w:t>Raising additional capital may cause dilution to our stockholders, restrict our operations or require us to relinquish rights to our technologies or to any of our product candidates.</w:t>
      </w:r>
    </w:p>
    <w:p>
      <w:pPr>
        <w:pStyle w:val="TextBody"/>
        <w:bidi w:val="0"/>
        <w:spacing w:before="120" w:after="283"/>
        <w:jc w:val="left"/>
        <w:rPr>
          <w:rFonts w:ascii="Arial" w:hAnsi="Arial"/>
          <w:color w:val="000000"/>
          <w:sz w:val="20"/>
        </w:rPr>
      </w:pPr>
      <w:r>
        <w:rPr>
          <w:rFonts w:ascii="Arial" w:hAnsi="Arial"/>
          <w:color w:val="000000"/>
          <w:sz w:val="20"/>
        </w:rPr>
        <w:t>Until such time, if ever, as we can generate substantial product revenue, we expect to finance our cash needs through a combination of equity offerings and debt financings.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left"/>
        <w:rPr>
          <w:rFonts w:ascii="Arial" w:hAnsi="Arial"/>
          <w:color w:val="000000"/>
          <w:sz w:val="20"/>
        </w:rPr>
      </w:pPr>
      <w:r>
        <w:rPr>
          <w:rFonts w:ascii="Arial" w:hAnsi="Arial"/>
          <w:color w:val="000000"/>
          <w:sz w:val="20"/>
        </w:rPr>
        <w:t>If we raise additional funds through collaborations, strategic alliances or marketing, distribution or licensing arrangements with third parties, we may be required to relinquish valuable rights to our technologies, future revenue streams, research programs or any product candidates, or to grant licenses on terms that may not be favorable to us. If we are unable to raise additional funds through equity or debt financings when needed, we may be required to delay, limit, reduce or terminate our development of our product candidates or future commercialization efforts or grant rights to a third party to develop and market product candidates that we would otherwise prefer to develop and market ourselves.</w:t>
      </w:r>
    </w:p>
    <w:p>
      <w:pPr>
        <w:pStyle w:val="TextBody"/>
        <w:bidi w:val="0"/>
        <w:spacing w:before="360" w:after="283"/>
        <w:jc w:val="left"/>
        <w:rPr>
          <w:rFonts w:ascii="Arial" w:hAnsi="Arial"/>
          <w:b/>
          <w:i/>
          <w:color w:val="000000"/>
          <w:sz w:val="20"/>
        </w:rPr>
      </w:pPr>
      <w:r>
        <w:rPr>
          <w:rFonts w:ascii="Arial" w:hAnsi="Arial"/>
          <w:b/>
          <w:i/>
          <w:color w:val="000000"/>
          <w:sz w:val="20"/>
        </w:rPr>
        <w:t>We have a contractual commitment to develop epetraborole for global health initiatives, which may affect our ability to develop and commercialize epetraborole in certain countries and may impact our intellectual property rights. Our strategy for our global health initiatives depends on receiving non-dilutive funding, and we as a company have limited experience with this strategy.</w:t>
      </w:r>
    </w:p>
    <w:p>
      <w:pPr>
        <w:pStyle w:val="TextBody"/>
        <w:bidi w:val="0"/>
        <w:spacing w:before="120" w:after="283"/>
        <w:jc w:val="left"/>
        <w:rPr>
          <w:rFonts w:ascii="Arial" w:hAnsi="Arial"/>
          <w:color w:val="000000"/>
          <w:sz w:val="20"/>
        </w:rPr>
      </w:pPr>
      <w:r>
        <w:rPr>
          <w:rFonts w:ascii="Arial" w:hAnsi="Arial"/>
          <w:color w:val="000000"/>
          <w:sz w:val="20"/>
        </w:rPr>
        <w:t>Under our Global Health Agreement with Adjuvant, we have a contractual commitment to use reasonably diligent endeavors to develop epetraborole and any other mutually agreed-upon products for melioidosis, tuberculosis, and other indications for at-risk developing countries at accessible pricing and at reasonable volume, including selling epetraborole and any other mutually agreed-upon products in certain target countries at or slightly above the cost of sales, so long as we do not sell products at a loss. Under the Global Health Agreement, we made certain commitments to develop epetraborole and any other mutually agreed-upon products and to pursue regulatory strategies and product registrations. If we do not maintain compliance with these and other program-related global access commitments under the Global Health Agreement, Adjuvant may be entitled to repayment for any portion of its investment that is not used for the purposes outlined in the Global Health Agreement. Our obligations under the Global Health Agreement may affect our ability to commercialize epetraborole in certain countries.</w:t>
      </w:r>
    </w:p>
    <w:p>
      <w:pPr>
        <w:pStyle w:val="TextBody"/>
        <w:bidi w:val="0"/>
        <w:spacing w:before="240" w:after="283"/>
        <w:jc w:val="left"/>
        <w:rPr>
          <w:rFonts w:ascii="Arial" w:hAnsi="Arial"/>
          <w:color w:val="000000"/>
          <w:sz w:val="20"/>
        </w:rPr>
      </w:pPr>
      <w:r>
        <w:rPr>
          <w:rFonts w:ascii="Arial" w:hAnsi="Arial"/>
          <w:color w:val="000000"/>
          <w:sz w:val="20"/>
        </w:rPr>
        <w:t>Our strategy for developing epetraborole for global health initiatives depends on receiving non-dilutive funding from sources such as public and private agencies and foundations. We, as a company, have limited experience with non-dilutive funding, and we may not be able to obtain additional non-dilutive funding to support our needs to fund our global health initiatives. For example, we cannot be certain that there will be additional awards, contracts, grants or funding sources or solicitations available to support our development efforts, that our other grant applications and funding proposals will be successful, or that we will be able to continue satisfying the award criteria of the NIAID contract award or any grants or funding awarded to us. If we fail to receive additional non-dilutive funding, progress in our global health initiatives may be impaired or delayed.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Risks Related to the Development of Our Product Candidates</w:t>
      </w:r>
    </w:p>
    <w:p>
      <w:pPr>
        <w:pStyle w:val="TextBody"/>
        <w:bidi w:val="0"/>
        <w:spacing w:before="120" w:after="283"/>
        <w:jc w:val="left"/>
        <w:rPr>
          <w:rFonts w:ascii="Arial" w:hAnsi="Arial"/>
          <w:b/>
          <w:i/>
          <w:color w:val="000000"/>
          <w:sz w:val="20"/>
        </w:rPr>
      </w:pPr>
      <w:r>
        <w:rPr>
          <w:rFonts w:ascii="Arial" w:hAnsi="Arial"/>
          <w:b/>
          <w:i/>
          <w:color w:val="000000"/>
          <w:sz w:val="20"/>
        </w:rPr>
        <w:t>If we do not obtain regulatory approval for and successfully commercialize any of our product candidates, or if we experience significant delays in doing so, we may never become profitable.</w:t>
      </w:r>
    </w:p>
    <w:p>
      <w:pPr>
        <w:pStyle w:val="TextBody"/>
        <w:bidi w:val="0"/>
        <w:spacing w:before="120" w:after="283"/>
        <w:jc w:val="left"/>
        <w:rPr>
          <w:rFonts w:ascii="Times New Roman" w:hAnsi="Times New Roman"/>
          <w:sz w:val="20"/>
        </w:rPr>
      </w:pPr>
      <w:r>
        <w:rPr>
          <w:rFonts w:ascii="Arial" w:hAnsi="Arial"/>
          <w:color w:val="000000"/>
          <w:sz w:val="20"/>
        </w:rPr>
        <w:t>We currently have no products approved for sale and have historically invested a significant portion of our efforts and financial resources on the development of our initial product candidate, epetraborole, as a treatment for treatment-refractory MAC lung disease. Although we have discontinued our development efforts with respect to epetraborole in the treatment-refractory MAC population, our business remains heavily dependent on the successful development, regulatory approval, and, if approved, commercialization of our product candidates. We cannot be certain that any product candidate will advance through each of the various stages of drug development and receive regulatory approval or will be successfully commercialized even if it receives regulatory approval. The research, development, manufacturing, safety, efficacy, labeling, approval, sale, marketing and distribution of our product candidates are, and will remain, subject to comprehensive regulation by the FDA and other comparable foreign regulatory authorities.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Before obtaining regulatory approvals for the commercial sale of any product candidates, we must demonstrate through preclinical and nonclinical studies and clinical trials that the product candidate is safe and effective for use in each target indication. Drug development is a long, expensive and uncertain process, and delay or failure can occur at any stage during our nonclinical studies, clinical trials or drug product manufacturing process. These delays or failures could be caused by a variety of factors, including but not limited to, toxicity, safety, tolerability, efficacy, problems with clinical trial enrollment, drug product availability, stability, and impurity issues related to drug product manufacturing. For example, in May 2025, we decided to discontinue our development of epetraborole for treatment-refractory MAC lung disease following the failure of the truncated Phase 3 portion of the EBO-301 study to meet its primary endpoint.</w:t>
      </w:r>
    </w:p>
    <w:p>
      <w:pPr>
        <w:pStyle w:val="TextBody"/>
        <w:bidi w:val="0"/>
        <w:spacing w:before="240" w:after="283"/>
        <w:jc w:val="left"/>
        <w:rPr>
          <w:rFonts w:ascii="Arial" w:hAnsi="Arial"/>
          <w:color w:val="000000"/>
          <w:sz w:val="20"/>
        </w:rPr>
      </w:pPr>
      <w:r>
        <w:rPr>
          <w:rFonts w:ascii="Arial" w:hAnsi="Arial"/>
          <w:color w:val="000000"/>
          <w:sz w:val="20"/>
        </w:rPr>
        <w:t>Failure to obtain regulatory approval for our product candidates in the U.S. or other territories will prevent us from commercializing and marketing such product candidates. The success of our product candidates will depend on several additional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successful and timely completion of preclinical and nonclinical studies and requisite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performing preclinical studies and clinical trials in compliance with the FDA or any comparable regulatory authority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receipt of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to manufacture sufficient quantity of product for development, clinical trials or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regulatory approvals with labeling for sufficiently broad patient populations and indications, without unduly restrictive distribution limitations or safety warnings, such as black box warnings or a Risk Evaluation and Mitigation Strategies (“REMS”)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and maintaining patent, trademark and trade secret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making and retaining sufficient and reliable arrangements with third parties for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launching commercial sales of products, if and when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acceptance of our therapies, if and when approved, by physicians, patients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competing effectively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and maintaining healthcare coverage and adequate reimbursement from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protecting and expanding our portfolio of intellectual property rights, including patents, trademarks,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avoiding and defending against third-party infringement, misappropriation or other violation of intellectual property claims;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a continued acceptable safety and tolerability profile of our drugs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allowance to proceed with clinical trials under future Investigational New Drug Applications (“INDs”), or under comparable applications submitted outside the U.S.</w:t>
      </w:r>
    </w:p>
    <w:p>
      <w:pPr>
        <w:pStyle w:val="TextBody"/>
        <w:bidi w:val="0"/>
        <w:spacing w:before="240" w:after="283"/>
        <w:jc w:val="left"/>
        <w:rPr>
          <w:rFonts w:ascii="Arial" w:hAnsi="Arial"/>
          <w:color w:val="000000"/>
          <w:sz w:val="20"/>
        </w:rPr>
      </w:pPr>
      <w:r>
        <w:rPr>
          <w:rFonts w:ascii="Arial" w:hAnsi="Arial"/>
          <w:color w:val="000000"/>
          <w:sz w:val="20"/>
        </w:rPr>
        <w:t>If we do not achieve these factors in a timely manner or at all, we could experience significant delays or an inability to successfully commercialize our product candidates, which would harm our business.</w:t>
      </w:r>
    </w:p>
    <w:p>
      <w:pPr>
        <w:pStyle w:val="TextBody"/>
        <w:bidi w:val="0"/>
        <w:spacing w:before="360" w:after="283"/>
        <w:jc w:val="left"/>
        <w:rPr>
          <w:rFonts w:ascii="Arial" w:hAnsi="Arial"/>
          <w:b/>
          <w:i/>
          <w:color w:val="000000"/>
          <w:sz w:val="20"/>
        </w:rPr>
      </w:pPr>
      <w:r>
        <w:rPr>
          <w:rFonts w:ascii="Arial" w:hAnsi="Arial"/>
          <w:b/>
          <w:i/>
          <w:color w:val="000000"/>
          <w:sz w:val="20"/>
        </w:rPr>
        <w:t>We may not be successful in our efforts to build a pipeline of product candidates.</w:t>
      </w:r>
    </w:p>
    <w:p>
      <w:pPr>
        <w:pStyle w:val="TextBody"/>
        <w:bidi w:val="0"/>
        <w:spacing w:before="120" w:after="283"/>
        <w:jc w:val="left"/>
        <w:rPr>
          <w:rFonts w:ascii="Times New Roman" w:hAnsi="Times New Roman"/>
          <w:sz w:val="20"/>
        </w:rPr>
      </w:pPr>
      <w:r>
        <w:rPr>
          <w:rFonts w:ascii="Arial" w:hAnsi="Arial"/>
          <w:color w:val="000000"/>
          <w:sz w:val="20"/>
        </w:rPr>
        <w:t xml:space="preserve">A key element of our strategy is to develop our AN2 drug discovery platform, build a pipeline of product candidates and progress these product candidates through clinical development for the treatment of PV,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lung disease, Chagas disease, melioidosis, tuberculosis, oncology, bone disorders and infectious diseases. Our pipeline is primarily composed of early-stage and mid-stage programs, and clinical proof of concept has not yet been established for any of our product candidates. We may not be able to develop product candidates that are safe and effective for any proposed use. Even if we are successful in continuing to build our pipeline, the potential product candidates that we identify may not be suitable for clinical development, as a result of significant safety, tolerability and other negative characteristics or limitations that may prevent successful regulatory approval or limit market acceptance or reimbursements from third-party payors. If we do not successfully develop and commercialize any of our product candidates, we will not be able to obtain product revenue in future periods, which could significantly harm our financial position and adversely affect the trading price of our common stock.</w:t>
      </w:r>
    </w:p>
    <w:p>
      <w:pPr>
        <w:pStyle w:val="TextBody"/>
        <w:bidi w:val="0"/>
        <w:spacing w:before="360" w:after="283"/>
        <w:jc w:val="left"/>
        <w:rPr>
          <w:rFonts w:ascii="Arial" w:hAnsi="Arial"/>
          <w:b/>
          <w:i/>
          <w:color w:val="000000"/>
          <w:sz w:val="20"/>
        </w:rPr>
      </w:pPr>
      <w:r>
        <w:rPr>
          <w:rFonts w:ascii="Arial" w:hAnsi="Arial"/>
          <w:b/>
          <w:i/>
          <w:color w:val="000000"/>
          <w:sz w:val="20"/>
        </w:rPr>
        <w:t>There can be no assurance that any clinical trials we conduct will be sufficient for product approval.</w:t>
      </w:r>
    </w:p>
    <w:p>
      <w:pPr>
        <w:pStyle w:val="TextBody"/>
        <w:bidi w:val="0"/>
        <w:spacing w:before="120" w:after="283"/>
        <w:jc w:val="left"/>
        <w:rPr>
          <w:rFonts w:ascii="Arial" w:hAnsi="Arial"/>
          <w:color w:val="000000"/>
          <w:sz w:val="20"/>
        </w:rPr>
      </w:pPr>
      <w:r>
        <w:rPr>
          <w:rFonts w:ascii="Arial" w:hAnsi="Arial"/>
          <w:color w:val="000000"/>
          <w:sz w:val="20"/>
        </w:rPr>
        <w:t>Prior to marketing any product candidate in the U.S., we must demonstrate that such product candidate is safe and provide substantial evidence of effectiveness for its intended uses. The FDA has generally interpreted the “substantial evidence” requirements as requiring sponsors to conduct two adequate and well-controlled Phase 3 clinical trials. However, in some circumstances, the FDA may conclude that substantial evidence of efficacy has been demonstrated through the conduct of one adequate and well-controlled clinical trial, plus confirmatory evidence (whether obtained prior to or after such trial). Regardless of the clinical development plans we decide to pursue with respect to our product candidates, there can be no assurance that the FDA will not require additional clinical trials for approval of such product candidates beyond the trials that we currently plan to conduct, including in other geographies, even if we successfully complete the trial and believe the results are sufficiently positive.</w:t>
      </w:r>
    </w:p>
    <w:p>
      <w:pPr>
        <w:pStyle w:val="TextBody"/>
        <w:bidi w:val="0"/>
        <w:spacing w:before="240" w:after="283"/>
        <w:jc w:val="left"/>
        <w:rPr>
          <w:rFonts w:ascii="Arial" w:hAnsi="Arial"/>
          <w:color w:val="000000"/>
          <w:sz w:val="20"/>
        </w:rPr>
      </w:pPr>
      <w:r>
        <w:rPr>
          <w:rFonts w:ascii="Arial" w:hAnsi="Arial"/>
          <w:color w:val="000000"/>
          <w:sz w:val="20"/>
        </w:rPr>
        <w:t>As a company, we have limited experience designing and conducting clinical trials in the U.S. or other geographies and may be unable to design and execute a clinical trial to support regulatory approval. In addition, the design and results of our clinical trials may not be sufficient to support approval, since factors such as an inappropriate dosage or flaws in the design of a clinical trial may not become apparent until the clinical trial is in progress or data are available.</w:t>
      </w:r>
    </w:p>
    <w:p>
      <w:pPr>
        <w:pStyle w:val="TextBody"/>
        <w:bidi w:val="0"/>
        <w:spacing w:before="240" w:after="283"/>
        <w:jc w:val="left"/>
        <w:rPr>
          <w:rFonts w:ascii="Arial" w:hAnsi="Arial"/>
          <w:color w:val="000000"/>
          <w:sz w:val="20"/>
        </w:rPr>
      </w:pPr>
      <w:r>
        <w:rPr>
          <w:rFonts w:ascii="Arial" w:hAnsi="Arial"/>
          <w:color w:val="000000"/>
          <w:sz w:val="20"/>
        </w:rPr>
        <w:t>There is a high failure rate for product candidates proceeding through clinical trials. Many companies in the pharmaceutical and biotechnology industries have suffered significant setbacks in later-stage clinical trials even after achieving promising results in preclinical testing and earlier-stage clinical trials. For example, in May 2025, we announced that the truncated Phase 3 portion of the EBO-301 study did not meet its primary endpoint of demonstrating an improvement on the QOL-B respiratory domain PRO instrument (change from baseline to month 6), though epetraborole was generally well tolerated in the trial. Based on these results, we decided to suspend further development of epetraborole for treatment-refractory MAC lung disease. There is no guarantee that we will not experience similar setbacks with respect to our other product candidates.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clinical trials of our product candidates fail to demonstrate safety and/or efficacy of such product candidates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pStyle w:val="TextBody"/>
        <w:bidi w:val="0"/>
        <w:spacing w:before="120" w:after="283"/>
        <w:jc w:val="left"/>
        <w:rPr>
          <w:rFonts w:ascii="Arial" w:hAnsi="Arial"/>
          <w:color w:val="000000"/>
          <w:sz w:val="20"/>
        </w:rPr>
      </w:pPr>
      <w:r>
        <w:rPr>
          <w:rFonts w:ascii="Arial" w:hAnsi="Arial"/>
          <w:color w:val="000000"/>
          <w:sz w:val="20"/>
        </w:rPr>
        <w:t>We may not commercialize, market, promote, or sell any product candidate without obtaining regulatory approval from the FDA or other comparable regulatory authorities, and we may never receive such approvals. It is impossible to predict when or if any of our product candidates will be deemed effective or safe in humans and receive regulatory approval. Before obtaining regulatory approval from regulatory authorities for the sale of any of our product candidates, we must complete preclinical and nonclinical development and conduct extensive clinical trials to demonstrate the safety and efficacy of such product candidates in humans. Clinical testing is expensive, difficult to design and implement, can take many years to complete, and is uncertain as to outcome. A failure of one or more clinical trials can occur at any stage of testing. Moreover, preclinical, nonclinical and clinical data are often susceptible to varying interpretations and analyses, and many companies that have believed their product candidates performed satisfactorily in preclinical and nonclinical studies and clinical trials have nonetheless failed to obtain regulatory approval of their products. In addition,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w:t>
      </w:r>
    </w:p>
    <w:p>
      <w:pPr>
        <w:pStyle w:val="TextBody"/>
        <w:bidi w:val="0"/>
        <w:spacing w:before="240" w:after="283"/>
        <w:jc w:val="left"/>
        <w:rPr>
          <w:rFonts w:ascii="Arial" w:hAnsi="Arial"/>
          <w:color w:val="000000"/>
          <w:sz w:val="20"/>
        </w:rPr>
      </w:pPr>
      <w:r>
        <w:rPr>
          <w:rFonts w:ascii="Arial" w:hAnsi="Arial"/>
          <w:color w:val="000000"/>
          <w:sz w:val="20"/>
        </w:rPr>
        <w:t>We may experience numerous unforeseen events prior to, during, or as a result of, clinical trials that could delay or prevent our ability to receive regulatory approval or commercialize any of our product candidates,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generate sufficient preclinical, toxicology or other in vivo or in vitro data to support the initiation or continuation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other comparable regulatory authorities may disagree as to the design or implementation of our clinical trials, including the selection of primary and secondary endpoints, which may result in changes to our planned clinical trial design and potential target clinical outcomes, or may result in failure to obtain approval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regulators, IRBs, or ethics committees may not allow or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not reach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experience 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make changes or amendments to a trial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select endpoints that require prolonged periods of clinical observation or require extended analysis of the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trial sites may deviate from the trial protocol or drop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trials for our product candidates may produce negative or inconclusive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decide, or regulators may require us, to conduct additional clinical trials or abandon product development programs;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enrollment in clinical trials may be slower than we anticipate, participants may drop out of these clinical trials at a higher rate than we anticipate, we may fail to recruit suitable patients to participate in a trial, or the number of patients required for clinical trials of our product candidates may be larger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third-party contractors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lack adequate funding to complete a clinical trial, or the cost of clinical trials of our product candidates may be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other comparable regulatory authorities may fail to approve the manufacturing processes or facilities of third-party manufacturers with whom we enter into agreements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supply or quality of our product candidates or other materials necessary to conduct clinical trials of such product candidates may be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serious adverse events may occur in trials of the same class of agents conducted by other companies that could be considered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product candidates may have undesirable side effects or other unexpected characteristics, causing us or our investigators, regulators or IRBs to suspend or terminate the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approval policies or regulations of the FDA or other comparable regulatory authorities may significantly change in a manner rendering our clinical data insufficient for approval.</w:t>
      </w:r>
    </w:p>
    <w:p>
      <w:pPr>
        <w:pStyle w:val="TextBody"/>
        <w:bidi w:val="0"/>
        <w:spacing w:before="240" w:after="283"/>
        <w:jc w:val="left"/>
        <w:rPr>
          <w:rFonts w:ascii="Arial" w:hAnsi="Arial"/>
          <w:color w:val="000000"/>
          <w:sz w:val="20"/>
        </w:rPr>
      </w:pPr>
      <w:r>
        <w:rPr>
          <w:rFonts w:ascii="Arial" w:hAnsi="Arial"/>
          <w:color w:val="000000"/>
          <w:sz w:val="20"/>
        </w:rPr>
        <w:t>If we are required to conduct additional clinical trials or other testing of any of our product candidates beyond the studies that we currently contemplate, if we are unable to successfully complete clinical trials or other testing of our product candidates, or if the results of these trials or tests are not positive or are only modestly positive or if there are safety concerns observed in these trials or tests, we may: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delayed in obtaining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not obtain regulatory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 approval with labeling that includes significant use or distribution restrictions or safety warnings, such as black box warnings or a REMS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subject to additional post-marketing testing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required to remove the product from the market after obtaining regulatory approval.</w:t>
      </w:r>
    </w:p>
    <w:p>
      <w:pPr>
        <w:pStyle w:val="TextBody"/>
        <w:bidi w:val="0"/>
        <w:spacing w:before="240" w:after="283"/>
        <w:jc w:val="left"/>
        <w:rPr>
          <w:rFonts w:ascii="Arial" w:hAnsi="Arial"/>
          <w:color w:val="000000"/>
          <w:sz w:val="20"/>
        </w:rPr>
      </w:pPr>
      <w:r>
        <w:rPr>
          <w:rFonts w:ascii="Arial" w:hAnsi="Arial"/>
          <w:color w:val="000000"/>
          <w:sz w:val="20"/>
        </w:rPr>
        <w:t>We do not know whether any of our preclinical and nonclinical studies or clinical trials will begin as planned, will need to be restructured, or will be completed on schedule or at all. Significant preclinical and nonclinical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In addition, many of the factors that cause, or lead to, delays of clinical trials may ultimately lead to the denial of regulatory approval of our product candidates.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cannot predict whether or when bacteria may develop resistance to any of our antibacterial product candidates, which could affect the revenue potential of our product candidates.</w:t>
      </w:r>
    </w:p>
    <w:p>
      <w:pPr>
        <w:pStyle w:val="TextBody"/>
        <w:bidi w:val="0"/>
        <w:spacing w:before="120" w:after="283"/>
        <w:jc w:val="left"/>
        <w:rPr>
          <w:rFonts w:ascii="Arial" w:hAnsi="Arial"/>
          <w:color w:val="000000"/>
          <w:sz w:val="20"/>
        </w:rPr>
      </w:pPr>
      <w:r>
        <w:rPr>
          <w:rFonts w:ascii="Arial" w:hAnsi="Arial"/>
          <w:color w:val="000000"/>
          <w:sz w:val="20"/>
        </w:rPr>
        <w:t>We are developing certain of our product candidates to treat bacterial infections. The bacteria responsible for these infections evolve quickly and may develop antibiotic resistance caused by spontaneous mutations in the genes encoding the cellular target of the antibiotic. In some cases, resistance mechanisms can be transferred within and between bacterial species. Prescription or use of our product candidates, if approved, could depend on the type and rate of resistance of the targeted bacteria. Although we do intend to analyze the potential of emergence of resistance to our product candidates and only select those that we believe have low resistance potential, we cannot predict whether or when bacterial resistance may develop. Such bacterial resistances, if and when identified, could adversely affect the conduct or results of our clinical trials, and could adversely affect the market potential of the product candidate, if approved. The growth of drug-resistant infections in community settings or in countries with poor public health infrastructures, or the potential use of any product candidates outside of controlled hospital settings, could contribute to the rise of resistance.</w:t>
      </w:r>
    </w:p>
    <w:p>
      <w:pPr>
        <w:pStyle w:val="TextBody"/>
        <w:bidi w:val="0"/>
        <w:spacing w:before="360" w:after="283"/>
        <w:jc w:val="left"/>
        <w:rPr>
          <w:rFonts w:ascii="Arial" w:hAnsi="Arial"/>
          <w:b/>
          <w:i/>
          <w:color w:val="000000"/>
          <w:sz w:val="20"/>
        </w:rPr>
      </w:pPr>
      <w:r>
        <w:rPr>
          <w:rFonts w:ascii="Arial" w:hAnsi="Arial"/>
          <w:b/>
          <w:i/>
          <w:color w:val="000000"/>
          <w:sz w:val="20"/>
        </w:rPr>
        <w:t>Our product candidates may cause undesirable side effects or have other properties that could delay or prevent their regulatory approval, limit the commercial potential, or result in significant negative consequences following any potential regulatory approval.</w:t>
      </w:r>
    </w:p>
    <w:p>
      <w:pPr>
        <w:pStyle w:val="TextBody"/>
        <w:bidi w:val="0"/>
        <w:spacing w:before="120" w:after="283"/>
        <w:jc w:val="left"/>
        <w:rPr>
          <w:rFonts w:ascii="Arial" w:hAnsi="Arial"/>
          <w:color w:val="000000"/>
          <w:sz w:val="20"/>
        </w:rPr>
      </w:pPr>
      <w:r>
        <w:rPr>
          <w:rFonts w:ascii="Arial" w:hAnsi="Arial"/>
          <w:color w:val="000000"/>
          <w:sz w:val="20"/>
        </w:rPr>
        <w:t>Results of our clinical trials could reveal a high and unacceptable severity and prevalence of side effects or unexpected characteristics. Undesirable side effects caused by our product candidates, whether used alone on in combination with other therapies, could cause us or regulatory authorities to interrupt, delay or halt clinical trials or the delay or denial of regulatory approval by the FDA or comparable foreign regulatory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results of operations and growth prospects significantly.</w:t>
      </w:r>
    </w:p>
    <w:p>
      <w:pPr>
        <w:pStyle w:val="TextBody"/>
        <w:bidi w:val="0"/>
        <w:spacing w:before="240" w:after="283"/>
        <w:jc w:val="left"/>
        <w:rPr>
          <w:rFonts w:ascii="Arial" w:hAnsi="Arial"/>
          <w:color w:val="000000"/>
          <w:sz w:val="20"/>
        </w:rPr>
      </w:pPr>
      <w:r>
        <w:rPr>
          <w:rFonts w:ascii="Arial" w:hAnsi="Arial"/>
          <w:color w:val="000000"/>
          <w:sz w:val="20"/>
        </w:rPr>
        <w:t>Additional adverse events may emerge (along with additional data further defining previously identified risks) in any ongoing or subsequent clinical trials and there may be unforeseen serious adverse events or side effects that differ from those seen in studies completed to date. It is possible that as we test our product candidates in larger, longer and more extensive clinical programs, or as use of such product candidates becomes more widespread, if they receive regulatory approval, subjects will report illnesses, injuries, discomforts and other adverse events that were not observed in earlier trials, as well as conditions that did not occur or went undetected in previous trials. Many times, side effects are only detectable after investigational drugs are tested in large-scale clinical trials or, in some cases, after they are made available to patients on a commercial scale after approval. If additional clinical experience indicates that any of our product candidates has unexpected side effects or causes serious or life-threatening side effects, the development of the product candidate may fail or be delayed, or, if the product candidate has received regulatory approval, such approval may be revoked, which would harm our business.</w:t>
      </w:r>
    </w:p>
    <w:p>
      <w:pPr>
        <w:pStyle w:val="TextBody"/>
        <w:bidi w:val="0"/>
        <w:spacing w:before="240" w:after="283"/>
        <w:jc w:val="left"/>
        <w:rPr>
          <w:rFonts w:ascii="Arial" w:hAnsi="Arial"/>
          <w:color w:val="000000"/>
          <w:sz w:val="20"/>
        </w:rPr>
      </w:pPr>
      <w:r>
        <w:rPr>
          <w:rFonts w:ascii="Arial" w:hAnsi="Arial"/>
          <w:color w:val="000000"/>
          <w:sz w:val="20"/>
        </w:rPr>
        <w:t>Even if we believe our product candidates demonstrate clinical efficacy, any unacceptable adverse side effects or toxicities, when administered in the presence of other pharmaceutical products, which can arise at any stage of development, may outweigh potential benefits. We may observe adverse or significant adverse events or drug-drug interactions in future preclinical studies or clinical trial candidates, which could result in the delay or termination of development, prevent regulatory approval or limit market acceptance if ultimately approved. For example, we have observed cases of anemia in patients receiving epetraborole, and though we believe these reported adverse events have not been serious in nature or otherwise suggestive of a material safety issue, consistent imbalances in observed adverse events between active and placebo arms could adversely affect the integrity of a study blind and subsequent trial data.</w:t>
      </w:r>
    </w:p>
    <w:p>
      <w:pPr>
        <w:pStyle w:val="TextBody"/>
        <w:bidi w:val="0"/>
        <w:spacing w:before="240" w:after="283"/>
        <w:jc w:val="left"/>
        <w:rPr>
          <w:rFonts w:ascii="Arial" w:hAnsi="Arial"/>
          <w:color w:val="000000"/>
          <w:sz w:val="20"/>
        </w:rPr>
      </w:pPr>
      <w:r>
        <w:rPr>
          <w:rFonts w:ascii="Arial" w:hAnsi="Arial"/>
          <w:color w:val="000000"/>
          <w:sz w:val="20"/>
        </w:rPr>
        <w:t>Moreover, if we elect, or are required, to delay, suspend or terminate any clinical trial of any of our product candidates, the commercial prospects of such product candidate may be harmed and our ability to generate revenue through its sale may be delayed or eliminated. Any of these occurrences may significantly harm our business.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Additionally, if any of our product candidates receive regulatory approval, regulatory authorities may require the addition of labeling statements, such as a “black box” warning or a contraindication, or the adoption of a REMS program to ensure that the benefits outweigh its risks, which may include, among other things, a medication guide outlining the risks of the drug for distribution to patients and a communication plan to health care practitioners. Furthermore, if we or others later identify undesirable side effects caused by any product candidates, several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suspend or withdraw approvals of such product candidate, or we may decide to suspend marketing or remove a product from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require additional warnings on the label or impose distribution or use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change the way a product candidate is administered or conduct additional clinical trials, including one or more post-marketing research studies;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implement REMS, including the creation of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could be subject to fines, injunctions or the imposition of criminal or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need to conduct a recall or comparable post-marketing 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reputation may suffer.</w:t>
      </w:r>
    </w:p>
    <w:p>
      <w:pPr>
        <w:pStyle w:val="TextBody"/>
        <w:bidi w:val="0"/>
        <w:spacing w:before="240" w:after="283"/>
        <w:jc w:val="left"/>
        <w:rPr>
          <w:rFonts w:ascii="Arial" w:hAnsi="Arial"/>
          <w:color w:val="000000"/>
          <w:sz w:val="20"/>
        </w:rPr>
      </w:pPr>
      <w:r>
        <w:rPr>
          <w:rFonts w:ascii="Arial" w:hAnsi="Arial"/>
          <w:color w:val="000000"/>
          <w:sz w:val="20"/>
        </w:rPr>
        <w:t>Any of these events could prevent us from achieving or maintaining market acceptance of the affected product candidate, if approved, or could substantially increase commercialization costs and expenses, which could delay or prevent us from generating revenue from the sale of our product candidates and harm our business and results of operations.</w:t>
      </w:r>
    </w:p>
    <w:p>
      <w:pPr>
        <w:pStyle w:val="TextBody"/>
        <w:bidi w:val="0"/>
        <w:spacing w:before="360" w:after="283"/>
        <w:jc w:val="left"/>
        <w:rPr>
          <w:rFonts w:ascii="Arial" w:hAnsi="Arial"/>
          <w:b/>
          <w:i/>
          <w:color w:val="000000"/>
          <w:sz w:val="20"/>
        </w:rPr>
      </w:pPr>
      <w:r>
        <w:rPr>
          <w:rFonts w:ascii="Arial" w:hAnsi="Arial"/>
          <w:b/>
          <w:i/>
          <w:color w:val="000000"/>
          <w:sz w:val="20"/>
        </w:rPr>
        <w:t>If we are not successful in discovering, developing and commercializing additional product candidates, our ability to expand our business and achieve our strategic objectives would be impaired.</w:t>
      </w:r>
    </w:p>
    <w:p>
      <w:pPr>
        <w:pStyle w:val="TextBody"/>
        <w:bidi w:val="0"/>
        <w:spacing w:before="120" w:after="283"/>
        <w:jc w:val="left"/>
        <w:rPr>
          <w:rFonts w:ascii="Arial" w:hAnsi="Arial"/>
          <w:color w:val="000000"/>
          <w:sz w:val="20"/>
        </w:rPr>
      </w:pPr>
      <w:r>
        <w:rPr>
          <w:rFonts w:ascii="Arial" w:hAnsi="Arial"/>
          <w:color w:val="000000"/>
          <w:sz w:val="20"/>
        </w:rPr>
        <w:t>Although a substantial amount of our effort will focus on potential clinical testing and potential regulatory approval of our product candidates, an element of our strategy is to discover, develop and commercialize a portfolio of product candidates to treat diseases with high unmet need. We are seeking to do so by utilizing our targeted-design AN2 drug discovery platform, which uses bacterial genomics and state-of-the-art molecular and dynamic models to design active new compounds that target known mechanisms. We focus our clinical development on pathogens, drug targets, and patients with high, unmet medical needs to leverage the development and regulatory paths available for first-in-class or best-in-class therapeutics. Research efforts to identify and develop product candidates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research methodology used may not be successful in identifying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competitors may develop alternatives that render our product candidates obsolete or less attractive;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candidates we develop may nevertheless be covered by third parties’ patents or other exclusive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reveal harmful side effects or other characteristics that indicate it is unlikely to be effective or otherwise does not meet applicable regulatory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not be capable of being produced in commercial quantities at an acceptable cost,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not be accepted as safe, tolerable and effective by patients, the medical community or third-party payors, if applicable; 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other regulatory authorities may not approve or agree with the intended use of a new product candidate.</w:t>
      </w:r>
    </w:p>
    <w:p>
      <w:pPr>
        <w:pStyle w:val="TextBody"/>
        <w:bidi w:val="0"/>
        <w:spacing w:before="240" w:after="283"/>
        <w:jc w:val="left"/>
        <w:rPr>
          <w:rFonts w:ascii="Arial" w:hAnsi="Arial"/>
          <w:color w:val="000000"/>
          <w:sz w:val="20"/>
        </w:rPr>
      </w:pPr>
      <w:r>
        <w:rPr>
          <w:rFonts w:ascii="Arial" w:hAnsi="Arial"/>
          <w:color w:val="000000"/>
          <w:sz w:val="20"/>
        </w:rPr>
        <w:t>If we fail to develop and successfully commercialize our product candidates, our business and future prospects may be harmed and our business will be more vulnerable to any problems that we encounter in developing and commercializing our product candidates.</w:t>
      </w:r>
    </w:p>
    <w:p>
      <w:pPr>
        <w:pStyle w:val="TextBody"/>
        <w:bidi w:val="0"/>
        <w:spacing w:before="360" w:after="283"/>
        <w:jc w:val="left"/>
        <w:rPr>
          <w:rFonts w:ascii="Arial" w:hAnsi="Arial"/>
          <w:b/>
          <w:i/>
          <w:color w:val="000000"/>
          <w:sz w:val="20"/>
        </w:rPr>
      </w:pPr>
      <w:r>
        <w:rPr>
          <w:rFonts w:ascii="Arial" w:hAnsi="Arial"/>
          <w:b/>
          <w:i/>
          <w:color w:val="000000"/>
          <w:sz w:val="20"/>
        </w:rPr>
        <w:t>If we experience delays or difficulties in the enrollment of patients in clinical trials, our clinical development activities and receipt of necessary regulatory approvals could be delayed or prevented.</w:t>
      </w:r>
    </w:p>
    <w:p>
      <w:pPr>
        <w:pStyle w:val="TextBody"/>
        <w:bidi w:val="0"/>
        <w:spacing w:before="120" w:after="283"/>
        <w:jc w:val="left"/>
        <w:rPr>
          <w:rFonts w:ascii="Arial" w:hAnsi="Arial"/>
          <w:color w:val="000000"/>
          <w:sz w:val="20"/>
        </w:rPr>
      </w:pPr>
      <w:r>
        <w:rPr>
          <w:rFonts w:ascii="Arial" w:hAnsi="Arial"/>
          <w:color w:val="000000"/>
          <w:sz w:val="20"/>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continue or complete clinical trials of any product candidates that we develop if we are unable to locate and enroll a sufficient number of eligible patients to participate in these trials, as required by the FDA or other comparable regulatory authorities. We have limited experience enrolling patients in our clinical trials and cannot predict how successful we will be in enrolling patients in future clinical trials.</w:t>
      </w:r>
    </w:p>
    <w:p>
      <w:pPr>
        <w:pStyle w:val="TextBody"/>
        <w:bidi w:val="0"/>
        <w:spacing w:before="240" w:after="283"/>
        <w:jc w:val="left"/>
        <w:rPr>
          <w:rFonts w:ascii="Arial" w:hAnsi="Arial"/>
          <w:color w:val="000000"/>
          <w:sz w:val="20"/>
        </w:rPr>
      </w:pPr>
      <w:r>
        <w:rPr>
          <w:rFonts w:ascii="Arial" w:hAnsi="Arial"/>
          <w:color w:val="000000"/>
          <w:sz w:val="20"/>
        </w:rPr>
        <w:t>Patient enrollment is also affected by other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size and nature of the targeted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proximity and availability of clinical trial sites for prospective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eligibility criteria for participation in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recruit clinical trial investigators with appropriate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efforts to facility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availability and efficacy of drugs approved to treat the diseases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obtain and maintain patient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to monitor patients adequately during and after treatment;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risk that patients enrolled in clinical trials will drop out of the trials before completion.</w:t>
      </w:r>
    </w:p>
    <w:p>
      <w:pPr>
        <w:pStyle w:val="TextBody"/>
        <w:bidi w:val="0"/>
        <w:spacing w:before="240" w:after="283"/>
        <w:jc w:val="left"/>
        <w:rPr>
          <w:rFonts w:ascii="Times New Roman" w:hAnsi="Times New Roman"/>
          <w:sz w:val="20"/>
        </w:rPr>
      </w:pPr>
      <w:r>
        <w:rPr>
          <w:rFonts w:ascii="Arial" w:hAnsi="Arial"/>
          <w:color w:val="000000"/>
          <w:sz w:val="20"/>
        </w:rPr>
        <w:t xml:space="preserve">In particular, we may face delays and difficulties in enrollment in our planned trials of certain of our product candidates because PV, </w:t>
      </w:r>
      <w:r>
        <w:rPr>
          <w:rFonts w:ascii="Arial" w:hAnsi="Arial"/>
          <w:i/>
          <w:color w:val="000000"/>
          <w:sz w:val="20"/>
        </w:rPr>
        <w:t xml:space="preserve">M. abscessus, </w:t>
      </w:r>
      <w:r>
        <w:rPr>
          <w:rFonts w:ascii="Arial" w:hAnsi="Arial"/>
          <w:color w:val="000000"/>
          <w:sz w:val="20"/>
        </w:rPr>
        <w:t>Chagas disease and certain other conditions we may target include rare diseases (i.e., the size of the targeted patient population is small). Because of this, we may experience difficulties in recruiting sufficient patients into certain of our planned clinical trials.</w:t>
      </w:r>
    </w:p>
    <w:p>
      <w:pPr>
        <w:pStyle w:val="TextBody"/>
        <w:bidi w:val="0"/>
        <w:spacing w:before="240" w:after="283"/>
        <w:jc w:val="left"/>
        <w:rPr>
          <w:rFonts w:ascii="Arial" w:hAnsi="Arial"/>
          <w:color w:val="000000"/>
          <w:sz w:val="20"/>
        </w:rPr>
      </w:pPr>
      <w:r>
        <w:rPr>
          <w:rFonts w:ascii="Arial" w:hAnsi="Arial"/>
          <w:color w:val="000000"/>
          <w:sz w:val="20"/>
        </w:rPr>
        <w:t>Additionally, other pharmaceutical companies and research institutions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clinical trials would result in significant delays and could require us to abandon one or more clinical trials altogether. We have experienced enrollment delays in the past. Enrollment delays in these clinical trials may result in further increased development costs for our product candidates, which would reduce the capital we have available to support our current and future product candidates and may result in our need to raise additional capital earlier than planned and could cause the value of our common stock to decline and limit our ability to obtain additional financing.</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may expend our limited resources to pursue a particular product candidate or indication and fail to capitalize on product candidates or indications that may be more profitable or have a greater likelihood of success.</w:t>
      </w:r>
    </w:p>
    <w:p>
      <w:pPr>
        <w:pStyle w:val="TextBody"/>
        <w:bidi w:val="0"/>
        <w:spacing w:before="120" w:after="283"/>
        <w:jc w:val="left"/>
        <w:rPr>
          <w:rFonts w:ascii="Arial" w:hAnsi="Arial"/>
          <w:color w:val="000000"/>
          <w:sz w:val="20"/>
        </w:rPr>
      </w:pPr>
      <w:r>
        <w:rPr>
          <w:rFonts w:ascii="Arial" w:hAnsi="Arial"/>
          <w:color w:val="000000"/>
          <w:sz w:val="20"/>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360" w:after="283"/>
        <w:jc w:val="left"/>
        <w:rPr>
          <w:rFonts w:ascii="Arial" w:hAnsi="Arial"/>
          <w:b/>
          <w:i/>
          <w:color w:val="000000"/>
          <w:sz w:val="20"/>
        </w:rPr>
      </w:pPr>
      <w:r>
        <w:rPr>
          <w:rFonts w:ascii="Arial" w:hAnsi="Arial"/>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sz w:val="20"/>
        </w:rPr>
      </w:pPr>
      <w:r>
        <w:rPr>
          <w:rFonts w:ascii="Arial" w:hAnsi="Arial"/>
          <w:color w:val="000000"/>
          <w:sz w:val="20"/>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pStyle w:val="TextBody"/>
        <w:bidi w:val="0"/>
        <w:spacing w:before="240" w:after="283"/>
        <w:jc w:val="left"/>
        <w:rPr>
          <w:rFonts w:ascii="Arial" w:hAnsi="Arial"/>
          <w:color w:val="000000"/>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We may conduct clinical trials for our product candidates outside of the U.S., and the FDA may not accept data from such trials, in which case our development plans may be delayed, which could materially harm our business.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conduct and may in the future conduct one or more of our clinical trials or a portion of our clinical trials for our product candidates outside the U.S. For instance, we will be initiating a PV Phase 2 study in India.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regulatory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relevant jurisdiction. If the FDA or any comparable foreign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spacing w:before="360" w:after="283"/>
        <w:jc w:val="left"/>
        <w:rPr>
          <w:rFonts w:ascii="Arial" w:hAnsi="Arial"/>
          <w:b/>
          <w:color w:val="000000"/>
          <w:sz w:val="20"/>
        </w:rPr>
      </w:pPr>
      <w:r>
        <w:rPr>
          <w:rFonts w:ascii="Arial" w:hAnsi="Arial"/>
          <w:b/>
          <w:color w:val="000000"/>
          <w:sz w:val="20"/>
        </w:rPr>
        <w:t>Risks Related to Our Dependence on Third Parties</w:t>
      </w:r>
    </w:p>
    <w:p>
      <w:pPr>
        <w:pStyle w:val="TextBody"/>
        <w:bidi w:val="0"/>
        <w:spacing w:before="120" w:after="283"/>
        <w:jc w:val="left"/>
        <w:rPr>
          <w:rFonts w:ascii="Arial" w:hAnsi="Arial"/>
          <w:b/>
          <w:i/>
          <w:color w:val="000000"/>
          <w:sz w:val="20"/>
        </w:rPr>
      </w:pPr>
      <w:r>
        <w:rPr>
          <w:rFonts w:ascii="Arial" w:hAnsi="Arial"/>
          <w:b/>
          <w:i/>
          <w:color w:val="000000"/>
          <w:sz w:val="20"/>
        </w:rPr>
        <w:t>We rely on third parties to conduct our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pStyle w:val="TextBody"/>
        <w:bidi w:val="0"/>
        <w:spacing w:before="120" w:after="283"/>
        <w:jc w:val="left"/>
        <w:rPr>
          <w:rFonts w:ascii="Arial" w:hAnsi="Arial"/>
          <w:color w:val="000000"/>
          <w:sz w:val="20"/>
        </w:rPr>
      </w:pPr>
      <w:r>
        <w:rPr>
          <w:rFonts w:ascii="Arial" w:hAnsi="Arial"/>
          <w:color w:val="000000"/>
          <w:sz w:val="20"/>
        </w:rPr>
        <w:t>We are dependent on third parties to conduct our clinical trials, nonclinical studies and preclinical studies. Specifically, we have engaged CROs and consultants to conduct our ongoing and planned preclinical and nonclinical studies and clinical trials, in each case in accordance with trial protocols and regulatory requirements.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preclinical and nonclinical studies, clinical trials, and manufacture of our clinical trial material. Currently, we rely on single source third-party research institutions, laboratories, clinical research and manufacturing organizations for research and development. Agreements with such third parties might terminate for a variety of reasons, including a failure to perform by the third parties. If we need to enter into alternative arrangements, or fail to enter into alternative arrangements in a timely manner, our product development activities would be delayed.</w:t>
      </w:r>
    </w:p>
    <w:p>
      <w:pPr>
        <w:pStyle w:val="TextBody"/>
        <w:bidi w:val="0"/>
        <w:spacing w:before="240" w:after="283"/>
        <w:jc w:val="left"/>
        <w:rPr>
          <w:rFonts w:ascii="Arial" w:hAnsi="Arial"/>
          <w:color w:val="000000"/>
          <w:sz w:val="20"/>
        </w:rPr>
      </w:pPr>
      <w:r>
        <w:rPr>
          <w:rFonts w:ascii="Arial" w:hAnsi="Arial"/>
          <w:color w:val="000000"/>
          <w:sz w:val="20"/>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we and our CROs are required to comply with regulations and comply with good laboratory practice requirements for the conduct of certain preclinical studies and GCP requirements for clinical trials, which are regulations and guidelines enforced by the FDA, for conducting, recording and reporting the results of clinical trials to assure that data and reported results are credible and accurate and that the rights, integrity and confidentiality of trial participants are protected. Similar regulatory requirements apply outside the U.S., including the International Council for Harmonisation of Technical Requirements for the Registration of Pharmaceuticals for Human Use. Regulatory authorities enforce GCPs through periodic inspections of trial sponsors, principal investigators and trial sites. Failure to comply with these requirements by us or by third parties can result in FDA refusal to approve applications based on the clinical data, enforcement actions, adverse publicity and civil and criminal sanctions.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There is no guarantee that any of our CROs, investigators or other third parties will devote adequate time and resources to such trials or studies or perform as contractually required. If any of these third parties fails to meet expected deadlines, adhere to our clinical protocols or meet regulatory requirements, or otherwise perform in a substandard manner, our clinical trials may be extended, delayed or terminated.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product candidates and will not be able to, or may be delayed in our efforts to, successfully commercialize such product candidates.</w:t>
      </w:r>
    </w:p>
    <w:p>
      <w:pPr>
        <w:pStyle w:val="TextBody"/>
        <w:bidi w:val="0"/>
        <w:spacing w:before="240" w:after="283"/>
        <w:jc w:val="left"/>
        <w:rPr>
          <w:rFonts w:ascii="Arial" w:hAnsi="Arial"/>
          <w:color w:val="000000"/>
          <w:sz w:val="20"/>
        </w:rPr>
      </w:pPr>
      <w:r>
        <w:rPr>
          <w:rFonts w:ascii="Arial" w:hAnsi="Arial"/>
          <w:color w:val="000000"/>
          <w:sz w:val="20"/>
        </w:rPr>
        <w:t>In addition, principal investigators for our clinical trials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product candidates.</w:t>
      </w:r>
    </w:p>
    <w:p>
      <w:pPr>
        <w:pStyle w:val="TextBody"/>
        <w:bidi w:val="0"/>
        <w:spacing w:before="240" w:after="283"/>
        <w:jc w:val="left"/>
        <w:rPr>
          <w:rFonts w:ascii="Arial" w:hAnsi="Arial"/>
          <w:color w:val="000000"/>
          <w:sz w:val="20"/>
        </w:rPr>
      </w:pPr>
      <w:r>
        <w:rPr>
          <w:rFonts w:ascii="Arial" w:hAnsi="Arial"/>
          <w:color w:val="000000"/>
          <w:sz w:val="20"/>
        </w:rPr>
        <w:t>We also expect to rely on other third parties to store and distribute product supplies for our clinical trials. Any performance failure or regulatory noncompliance on the part of our distributors could delay clinical development or regulatory approval of our product candidates or commercialization of such product candidates, resulting in additional losses and depriving us of potential product revenue.</w:t>
      </w:r>
    </w:p>
    <w:p>
      <w:pPr>
        <w:pStyle w:val="TextBody"/>
        <w:bidi w:val="0"/>
        <w:spacing w:before="360" w:after="283"/>
        <w:jc w:val="left"/>
        <w:rPr>
          <w:rFonts w:ascii="Arial" w:hAnsi="Arial"/>
          <w:b/>
          <w:i/>
          <w:color w:val="000000"/>
          <w:sz w:val="20"/>
        </w:rPr>
      </w:pPr>
      <w:r>
        <w:rPr>
          <w:rFonts w:ascii="Arial" w:hAnsi="Arial"/>
          <w:b/>
          <w:i/>
          <w:color w:val="000000"/>
          <w:sz w:val="20"/>
        </w:rPr>
        <w:t>Our reliance on single-sourced third parties to manufacture our product candidates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before="120" w:after="283"/>
        <w:jc w:val="left"/>
        <w:rPr>
          <w:rFonts w:ascii="Arial" w:hAnsi="Arial"/>
          <w:color w:val="000000"/>
          <w:sz w:val="20"/>
        </w:rPr>
      </w:pPr>
      <w:r>
        <w:rPr>
          <w:rFonts w:ascii="Arial" w:hAnsi="Arial"/>
          <w:color w:val="000000"/>
          <w:sz w:val="20"/>
        </w:rPr>
        <w:t>We do not own or operate manufacturing facilities for the production of clinical or commercial supplies of the product candidates that we are developing or evaluating, nor are we contemplating plans to do so. We have limited personnel with experience in drug manufacturing and lack the resources and the capabilities to manufacture any of our product candidates on a clinical or commercial scale. Our strategy is to continue to outsource all manufacturing of our product candidates and approved products, if any, to third parties.</w:t>
      </w:r>
    </w:p>
    <w:p>
      <w:pPr>
        <w:pStyle w:val="TextBody"/>
        <w:bidi w:val="0"/>
        <w:spacing w:before="240" w:after="283"/>
        <w:jc w:val="left"/>
        <w:rPr>
          <w:rFonts w:ascii="Arial" w:hAnsi="Arial"/>
          <w:color w:val="000000"/>
          <w:sz w:val="20"/>
        </w:rPr>
      </w:pPr>
      <w:r>
        <w:rPr>
          <w:rFonts w:ascii="Arial" w:hAnsi="Arial"/>
          <w:color w:val="000000"/>
          <w:sz w:val="20"/>
        </w:rPr>
        <w:t>In order to conduct clinical trials of our product candidates and prepare for commercialization, we will need to identify suitable manufacturers with the capabilities to manufacture our compounds in large quantities in a manner consistent with existing regulations. Our current and future third-party manufacturers may be unable to successfully increase the manufacturing capacity for any of our product candidates in a timely or cost-effective manner, or at all. In addition, quality issues may arise during scale-up activities at any other time. If our manufacturers are unable to successfully scale up the manufacture of our current or future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left"/>
        <w:rPr>
          <w:rFonts w:ascii="Arial" w:hAnsi="Arial"/>
          <w:color w:val="000000"/>
          <w:sz w:val="20"/>
        </w:rPr>
      </w:pPr>
      <w:r>
        <w:rPr>
          <w:rFonts w:ascii="Arial" w:hAnsi="Arial"/>
          <w:color w:val="000000"/>
          <w:sz w:val="20"/>
        </w:rPr>
        <w:t>We do not currently have any agreements with third-party manufacturers for the long-term commercial supply of any of our product candidates. In the future, we may be unable to enter into agreements with third-party manufacturers for commercial supplies of such product candidates or may be unable to do so on acceptable terms.</w:t>
      </w:r>
    </w:p>
    <w:p>
      <w:pPr>
        <w:pStyle w:val="TextBody"/>
        <w:bidi w:val="0"/>
        <w:spacing w:before="240" w:after="283"/>
        <w:jc w:val="left"/>
        <w:rPr>
          <w:rFonts w:ascii="Arial" w:hAnsi="Arial"/>
          <w:color w:val="000000"/>
          <w:sz w:val="20"/>
        </w:rPr>
      </w:pPr>
      <w:r>
        <w:rPr>
          <w:rFonts w:ascii="Arial" w:hAnsi="Arial"/>
          <w:color w:val="000000"/>
          <w:sz w:val="20"/>
        </w:rPr>
        <w:t>Even if we are able to establish and maintain arrangements with third-party manufacturers, reliance on third-party manufacturers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reliance on the third party for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possible 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failure of such parties to manufacture product candidates according to our specifications or on schedule;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possible 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possible termination or nonrenewal of the agreement by the third party at a time that is costly or inconvenient for us.</w:t>
      </w:r>
    </w:p>
    <w:p>
      <w:pPr>
        <w:pStyle w:val="TextBody"/>
        <w:bidi w:val="0"/>
        <w:spacing w:before="240" w:after="283"/>
        <w:jc w:val="left"/>
        <w:rPr>
          <w:rFonts w:ascii="Times New Roman" w:hAnsi="Times New Roman"/>
          <w:sz w:val="20"/>
        </w:rPr>
      </w:pPr>
      <w:r>
        <w:rPr>
          <w:rFonts w:ascii="Arial" w:hAnsi="Arial"/>
          <w:color w:val="000000"/>
          <w:sz w:val="20"/>
        </w:rPr>
        <w:t>The facilities used by our third-party manufacturers must be approved for the manufacture of our product candidates by the FDA, or any comparable foreign regulatory authority, pursuant to inspections that will be conducted after we submit an NDA to the FDA, or submit a comparable marketing application to a foreign regulatory authority. We do not control the manufacturing process of, and are completely dependent on, third-party manufacturers for compliance with cGMP requirements for manufacture of our product candidates.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 use of their manufacturing facilities.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addition, we have no control over the ability of third-party manufacturers to maintain adequate quality control, quality assurance and qualified personnel.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pStyle w:val="TextBody"/>
        <w:bidi w:val="0"/>
        <w:spacing w:before="240" w:after="283"/>
        <w:jc w:val="left"/>
        <w:rPr>
          <w:rFonts w:ascii="Arial" w:hAnsi="Arial"/>
          <w:color w:val="000000"/>
          <w:sz w:val="20"/>
        </w:rPr>
      </w:pPr>
      <w:r>
        <w:rPr>
          <w:rFonts w:ascii="Arial" w:hAnsi="Arial"/>
          <w:color w:val="000000"/>
          <w:sz w:val="20"/>
        </w:rPr>
        <w:t>Our product candidates may compete with other product candidates and products for access to manufacturing facilities. There are a limited number of manufacturers that operate under cGMP regulations and that might be capable of manufacturing for us.</w:t>
      </w:r>
    </w:p>
    <w:p>
      <w:pPr>
        <w:pStyle w:val="TextBody"/>
        <w:bidi w:val="0"/>
        <w:spacing w:before="240" w:after="283"/>
        <w:jc w:val="left"/>
        <w:rPr>
          <w:rFonts w:ascii="Arial" w:hAnsi="Arial"/>
          <w:color w:val="000000"/>
          <w:sz w:val="20"/>
        </w:rPr>
      </w:pPr>
      <w:r>
        <w:rPr>
          <w:rFonts w:ascii="Arial" w:hAnsi="Arial"/>
          <w:color w:val="000000"/>
          <w:sz w:val="20"/>
        </w:rPr>
        <w:t>If the third parties that we engage to supply any materials or manufacture product for our preclinical and nonclinical studies and clinical trials should cease to continue to do so for any reason, we likely would experience delays in advancing these studies and trials while we identify and qualify replacement suppliers, and we may be unable to obtain replacement supplies on terms that are favorable to us. In addition, if we are not able to obtain adequate supplies of our product candidates or the substances used to manufacture them, it will be more difficult for us to develop such product candidates and compete effectively.</w:t>
      </w:r>
    </w:p>
    <w:p>
      <w:pPr>
        <w:pStyle w:val="TextBody"/>
        <w:bidi w:val="0"/>
        <w:spacing w:before="240" w:after="283"/>
        <w:jc w:val="left"/>
        <w:rPr>
          <w:rFonts w:ascii="Arial" w:hAnsi="Arial"/>
          <w:color w:val="000000"/>
          <w:sz w:val="20"/>
        </w:rPr>
      </w:pPr>
      <w:r>
        <w:rPr>
          <w:rFonts w:ascii="Arial" w:hAnsi="Arial"/>
          <w:color w:val="000000"/>
          <w:sz w:val="20"/>
        </w:rPr>
        <w:t>Our current and anticipated future dependence upon others for the manufacture of our product candidates may adversely affect our future profit margins and our ability to develop product candidates and commercialize any products that receive regulatory approval on a timely and competitive basis.</w:t>
      </w:r>
    </w:p>
    <w:p>
      <w:pPr>
        <w:pStyle w:val="TextBody"/>
        <w:bidi w:val="0"/>
        <w:spacing w:before="360" w:after="283"/>
        <w:jc w:val="left"/>
        <w:rPr>
          <w:rFonts w:ascii="Arial" w:hAnsi="Arial"/>
          <w:b/>
          <w:i/>
          <w:color w:val="000000"/>
          <w:sz w:val="20"/>
        </w:rPr>
      </w:pPr>
      <w:r>
        <w:rPr>
          <w:rFonts w:ascii="Arial" w:hAnsi="Arial"/>
          <w:b/>
          <w:i/>
          <w:color w:val="000000"/>
          <w:sz w:val="20"/>
        </w:rPr>
        <w:t>Evaluation of our product candidates in investigator-initiated clinical trials (“IITs”) may expose us to additional risks that could impair the development of our product candidates.</w:t>
      </w:r>
    </w:p>
    <w:p>
      <w:pPr>
        <w:pStyle w:val="TextBody"/>
        <w:bidi w:val="0"/>
        <w:spacing w:before="120" w:after="283"/>
        <w:jc w:val="left"/>
        <w:rPr>
          <w:rFonts w:ascii="Times New Roman" w:hAnsi="Times New Roman"/>
          <w:sz w:val="20"/>
        </w:rPr>
      </w:pPr>
      <w:r>
        <w:rPr>
          <w:rFonts w:ascii="Arial" w:hAnsi="Arial"/>
          <w:color w:val="000000"/>
          <w:sz w:val="20"/>
        </w:rPr>
        <w:t xml:space="preserve">We are currently supporting an IIT evaluating epetraborole in patients with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lung disease, and may in the future support other IITs for our product candidates that are designed and managed by independent investigators or institutions. While we believe these clinical trials have the potential to provide supportive data that may further the development of our product candidates, we do not directly control the clinical development process, including, but not limited to, the initiation, enrollment, safety reporting, or conduct of these trials. As a result, investigator-sponsored trials may be subject to significant delays. fail to comply with GCP or other regulatory requirements. be terminated prematurely by the investigator or applicable IRBs or ethics committees, or produce data that is not useful for, or acceptable to, regulatory authorities for purposes of obtaining regulatory approval. IITs may also identify safety or tolerability concerns that could adversely affect the development of our product candidates, including through the imposition of clinical holds, or otherwise subject us to liability. Moreover, if the data from IITs differ from the data we have observed in our sponsored clinical studies, such differences could potentially require us to conduct additional clinical trials or otherwise delay or prevent regulatory approval from the FDA or other regulatory authorities. Any of these factors could adversely impact our reputation, delay our development timelines, or negatively affect our ability to obtain regulatory approval.</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Risks Related to the Commercialization of Our Product Candidates</w:t>
      </w:r>
    </w:p>
    <w:p>
      <w:pPr>
        <w:pStyle w:val="TextBody"/>
        <w:bidi w:val="0"/>
        <w:spacing w:before="120" w:after="283"/>
        <w:jc w:val="left"/>
        <w:rPr>
          <w:rFonts w:ascii="Arial" w:hAnsi="Arial"/>
          <w:b/>
          <w:i/>
          <w:color w:val="000000"/>
          <w:sz w:val="20"/>
        </w:rPr>
      </w:pPr>
      <w:r>
        <w:rPr>
          <w:rFonts w:ascii="Arial" w:hAnsi="Arial"/>
          <w:b/>
          <w:i/>
          <w:color w:val="000000"/>
          <w:sz w:val="20"/>
        </w:rPr>
        <w:t>Even if any of our product candidates receive regulatory approval, it may fail to achieve the degree of market acceptance by physicians, patients, third-party payors, and others in the medical community necessary for commercial success.</w:t>
      </w:r>
    </w:p>
    <w:p>
      <w:pPr>
        <w:pStyle w:val="TextBody"/>
        <w:bidi w:val="0"/>
        <w:spacing w:before="120" w:after="283"/>
        <w:jc w:val="left"/>
        <w:rPr>
          <w:rFonts w:ascii="Arial" w:hAnsi="Arial"/>
          <w:color w:val="000000"/>
          <w:sz w:val="20"/>
        </w:rPr>
      </w:pPr>
      <w:r>
        <w:rPr>
          <w:rFonts w:ascii="Arial" w:hAnsi="Arial"/>
          <w:color w:val="000000"/>
          <w:sz w:val="20"/>
        </w:rPr>
        <w:t>Even if we obtain approvals from the FDA or other comparable regulatory agencies and are able to initiate commercialization of any of our product candidates, such product candidates may not achieve market acceptance among physicians, patients and third-party payors and, ultimately, may not be commercially successful. The degree of market acceptance of our product candidates,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safety, tolerability, efficacy and ease of use of a once-a-day oral dose and other potential advantages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and perceived advantages and disadvantages of the product candidates, including cost and clinical benefit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convenience and ease of once-a-day oral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acceptance by physicians, patients, payor-formularies and treatment facilities and parties responsible for coverage and reimbursement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availability of coverage and adequate reimbursement by third-party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manufacture the product candidates in sufficient quantities and yields;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strength and effectiveness of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limitations or warnings, including distribution or use restrictions, contained in the product’s approved labeling or an approved REMS;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whether the product is designated under physician treatment guidelines as a first-line therapy or as a second- or third-line therapy for particular infections;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whether the product is safe, tolerable and efficacious when used in combination therapy with the current multi-drug standard of care regimen;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approval of other new products for the same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market introduction of the approved product as well as competitive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emergence of bacterial resistance to the product.</w:t>
      </w:r>
    </w:p>
    <w:p>
      <w:pPr>
        <w:pStyle w:val="TextBody"/>
        <w:bidi w:val="0"/>
        <w:spacing w:before="240" w:after="283"/>
        <w:jc w:val="left"/>
        <w:rPr>
          <w:rFonts w:ascii="Arial" w:hAnsi="Arial"/>
          <w:color w:val="000000"/>
          <w:sz w:val="20"/>
        </w:rPr>
      </w:pPr>
      <w:r>
        <w:rPr>
          <w:rFonts w:ascii="Arial" w:hAnsi="Arial"/>
          <w:color w:val="000000"/>
          <w:sz w:val="20"/>
        </w:rPr>
        <w:t>If the market size of any product candidate that obtains regulatory approval is significantly smaller than we anticipate, it may not achieve market acceptance or commercial success. This could significantly and negatively impact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face substantial competition, which may result in others discovering, developing or commercializing products before or more successfully than we do.</w:t>
      </w:r>
    </w:p>
    <w:p>
      <w:pPr>
        <w:pStyle w:val="TextBody"/>
        <w:bidi w:val="0"/>
        <w:spacing w:before="120" w:after="283"/>
        <w:jc w:val="left"/>
        <w:rPr>
          <w:rFonts w:ascii="Arial" w:hAnsi="Arial"/>
          <w:color w:val="000000"/>
          <w:sz w:val="20"/>
        </w:rPr>
      </w:pPr>
      <w:r>
        <w:rPr>
          <w:rFonts w:ascii="Arial" w:hAnsi="Arial"/>
          <w:color w:val="000000"/>
          <w:sz w:val="20"/>
        </w:rPr>
        <w:t>The development and commercialization of new drug products is highly competitive. We face competition from major multi-national pharmaceutical companies, biotechnology companies, specialty pharmaceutical companies and generic drug companies with respect to the product candidates that we intend to develop and commercialize. Potential competitors also include academic institutions, government agencies and other public and private research organizations. If our competitors obtain regulatory approval from the FDA or other comparable regulatory authorities for their product candidates more rapidly than we do, it could result in our competitors establishing a strong market position before we are able to enter the market. Our competitors may also succeed in developing, acquiring or licensing technologies and drug products that are more effective, more effectively marketed and sold, or less costly than any product candidates that we may develop, which could render our product candidate non-competitive and obsolete.</w:t>
      </w:r>
    </w:p>
    <w:p>
      <w:pPr>
        <w:pStyle w:val="TextBody"/>
        <w:bidi w:val="0"/>
        <w:spacing w:before="240" w:after="283"/>
        <w:jc w:val="left"/>
        <w:rPr>
          <w:rFonts w:ascii="Arial" w:hAnsi="Arial"/>
          <w:color w:val="000000"/>
          <w:sz w:val="20"/>
        </w:rPr>
      </w:pPr>
      <w:r>
        <w:rPr>
          <w:rFonts w:ascii="Arial" w:hAnsi="Arial"/>
          <w:color w:val="000000"/>
          <w:sz w:val="20"/>
        </w:rPr>
        <w:t>Many of our competitors have significantly greater financial resources and expertise in research and development, manufacturing, preclinical and nonclinical testing, conducting clinical trials, obtaining regulatory approvals, and marketing approved products than we do as an organization.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before="240" w:after="283"/>
        <w:jc w:val="left"/>
        <w:rPr>
          <w:rFonts w:ascii="Arial" w:hAnsi="Arial"/>
          <w:color w:val="000000"/>
          <w:sz w:val="20"/>
        </w:rPr>
      </w:pPr>
      <w:r>
        <w:rPr>
          <w:rFonts w:ascii="Arial" w:hAnsi="Arial"/>
          <w:color w:val="000000"/>
          <w:sz w:val="20"/>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approval from the FDA or other comparable regulatory agencies for their product candidates more rapidly than we may obtain approval for ours, which could result in product approval delays if a competitor obtains market exclusivity from the FDA or any comparable regulatory agencies or our competitors establish a strong market position before we are able to enter the market. In addition, our ability to compete may be affected in many cases by insurers or other third-party payors seeking to encourage the use of generic drugs. Additional drugs may become available on a generic basis over the coming years. If any of our product candidates achieve regulatory approval, we expect that they will be priced at a significant premium over competitive generic drugs.</w:t>
      </w:r>
    </w:p>
    <w:p>
      <w:pPr>
        <w:pStyle w:val="TextBody"/>
        <w:bidi w:val="0"/>
        <w:spacing w:before="360" w:after="283"/>
        <w:jc w:val="left"/>
        <w:rPr>
          <w:rFonts w:ascii="Arial" w:hAnsi="Arial"/>
          <w:b/>
          <w:i/>
          <w:color w:val="000000"/>
          <w:sz w:val="20"/>
        </w:rPr>
      </w:pPr>
      <w:r>
        <w:rPr>
          <w:rFonts w:ascii="Arial" w:hAnsi="Arial"/>
          <w:b/>
          <w:i/>
          <w:color w:val="000000"/>
          <w:sz w:val="20"/>
        </w:rPr>
        <w:t>If we are unable to establish sales, marketing and distribution capabilities for our product candidates, or enter into sales, marketing and distribution agreements with third parties, we may not be successful in commercializing our product candidates, if and when they are approved.</w:t>
      </w:r>
    </w:p>
    <w:p>
      <w:pPr>
        <w:pStyle w:val="TextBody"/>
        <w:bidi w:val="0"/>
        <w:spacing w:before="120" w:after="283"/>
        <w:jc w:val="left"/>
        <w:rPr>
          <w:rFonts w:ascii="Arial" w:hAnsi="Arial"/>
          <w:color w:val="000000"/>
          <w:sz w:val="20"/>
        </w:rPr>
      </w:pPr>
      <w:r>
        <w:rPr>
          <w:rFonts w:ascii="Arial" w:hAnsi="Arial"/>
          <w:color w:val="000000"/>
          <w:sz w:val="20"/>
        </w:rPr>
        <w:t>We do not have a sales or marketing infrastructure and have limited experience in the sale, marketing, or distribution of pharmaceutical products. To achieve commercial success for any product candidate for which we may obtain regulatory approval, we will need to establish a sales and marketing organization or enter into collaboration, distribution and other marketing arrangements with one or more third parties to commercialize such product candidate. In the U.S. and other key markets, we intend to build a commercial organization to target areas with the greatest incidence of conditions for which we may at some point obtain regulatory approval and recruit experienced sales, marketing and distribution professionals. The development of sales, marketing and distribution capabilities will require substantial resources, will be time-consuming and could delay any product launch. We may decide to work with regional specialty pharmacies, distributors, and/or multi-national pharmaceutical companies to leverage their commercialization capabilities to commercialize any product candidate for which we may obtain regulatory approval outside of the U.S.</w:t>
      </w:r>
    </w:p>
    <w:p>
      <w:pPr>
        <w:pStyle w:val="TextBody"/>
        <w:bidi w:val="0"/>
        <w:spacing w:before="240" w:after="283"/>
        <w:jc w:val="left"/>
        <w:rPr>
          <w:rFonts w:ascii="Arial" w:hAnsi="Arial"/>
          <w:color w:val="000000"/>
          <w:sz w:val="20"/>
        </w:rPr>
      </w:pPr>
      <w:r>
        <w:rPr>
          <w:rFonts w:ascii="Arial" w:hAnsi="Arial"/>
          <w:color w:val="000000"/>
          <w:sz w:val="20"/>
        </w:rPr>
        <w:t>If the commercial launch of a product candidate for which we recruit a sales force and establish marketing and distribution capabilities is delayed or does not occur for any reason, we would have prematurely or unnecessarily incurred these commercialization costs. This may be costly, and our investment would be lost if we cannot retain or reposition our sales and marketing personnel. In addition, we may not be able to hire a sales force in the U.S. that is sufficient in size or has adequate expertise to target the areas that we intend to target. If we are unable to establish a sales force and marketing and distribution capabilities, our operating results may be adversely affected.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Factors that may inhibit our efforts to commercialize our drugs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recruit, train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of sales personnel to obtain access to physicians or persuade adequate numbers of physicians to prescribe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lack of complementary products to be offered by sales personnel, which may put us at a competitive disadvantage compared to companies with more extensive product lines;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unforeseen costs and expenses associated with creating an independent sales and marketing organization;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unforeseen costs and limitations with regard to setting up a distribution network.</w:t>
      </w:r>
    </w:p>
    <w:p>
      <w:pPr>
        <w:pStyle w:val="TextBody"/>
        <w:bidi w:val="0"/>
        <w:spacing w:before="240" w:after="283"/>
        <w:jc w:val="left"/>
        <w:rPr>
          <w:rFonts w:ascii="Arial" w:hAnsi="Arial"/>
          <w:color w:val="000000"/>
          <w:sz w:val="20"/>
        </w:rPr>
      </w:pPr>
      <w:r>
        <w:rPr>
          <w:rFonts w:ascii="Arial" w:hAnsi="Arial"/>
          <w:color w:val="000000"/>
          <w:sz w:val="20"/>
        </w:rPr>
        <w:t>If we are unable to establish our own sales, marketing and distribution capabilities in the U.S. and other jurisdictions in which any of our product candidates are approved and, instead, enter into arrangements with third parties to perform these services, our revenues and profitability, if any, are likely to be lower than if we were to sell, market and distribute any product candidates that we develop ourselves. We may not be successful in entering into arrangements with third parties to sell, market and distribute our product candidates or may be unable to do so on terms that are favorable to us. We likely will have limited control over such third parties, and any of them may fail to devote the necessary resources and attention to sell and market our product candidates effectively. If we do not establish sales, marketing and distribution capabilities successfully, either on our own or in collaboration with third parties, we will not be successful in commercializing any product candidates.</w:t>
      </w:r>
    </w:p>
    <w:p>
      <w:pPr>
        <w:pStyle w:val="TextBody"/>
        <w:bidi w:val="0"/>
        <w:spacing w:before="360" w:after="283"/>
        <w:jc w:val="left"/>
        <w:rPr>
          <w:rFonts w:ascii="Arial" w:hAnsi="Arial"/>
          <w:b/>
          <w:i/>
          <w:color w:val="000000"/>
          <w:sz w:val="20"/>
        </w:rPr>
      </w:pPr>
      <w:r>
        <w:rPr>
          <w:rFonts w:ascii="Arial" w:hAnsi="Arial"/>
          <w:b/>
          <w:i/>
          <w:color w:val="000000"/>
          <w:sz w:val="20"/>
        </w:rPr>
        <w:t>Coverage and adequate reimbursement may not be available for any of our product candidates, which could make it difficult for us to sell profitably, if approved.</w:t>
      </w:r>
    </w:p>
    <w:p>
      <w:pPr>
        <w:pStyle w:val="TextBody"/>
        <w:bidi w:val="0"/>
        <w:spacing w:before="120" w:after="283"/>
        <w:jc w:val="left"/>
        <w:rPr>
          <w:rFonts w:ascii="Arial" w:hAnsi="Arial"/>
          <w:color w:val="000000"/>
          <w:sz w:val="20"/>
        </w:rPr>
      </w:pPr>
      <w:r>
        <w:rPr>
          <w:rFonts w:ascii="Arial" w:hAnsi="Arial"/>
          <w:color w:val="000000"/>
          <w:sz w:val="20"/>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and providers are unlikely to prescribe our drugs, unless coverage is provided and reimbursement is adequate to cover a significant portion of the cost of our drugs and their administration.</w:t>
      </w:r>
    </w:p>
    <w:p>
      <w:pPr>
        <w:pStyle w:val="TextBody"/>
        <w:bidi w:val="0"/>
        <w:spacing w:before="240" w:after="283"/>
        <w:jc w:val="left"/>
        <w:rPr>
          <w:rFonts w:ascii="Arial" w:hAnsi="Arial"/>
          <w:color w:val="000000"/>
          <w:sz w:val="20"/>
        </w:rPr>
      </w:pPr>
      <w:r>
        <w:rPr>
          <w:rFonts w:ascii="Arial" w:hAnsi="Arial"/>
          <w:color w:val="000000"/>
          <w:sz w:val="20"/>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regulatory approval. If coverage and adequate reimbursement are not available, or are available only to limited levels, we may not be able to successfully commercialize any product candidates that we develop.</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Product liability lawsuits against us could cause us to incur substantial liabilities and to limit commercialization of any products that we may develop.</w:t>
      </w:r>
    </w:p>
    <w:p>
      <w:pPr>
        <w:pStyle w:val="TextBody"/>
        <w:bidi w:val="0"/>
        <w:spacing w:before="120" w:after="283"/>
        <w:jc w:val="left"/>
        <w:rPr>
          <w:rFonts w:ascii="Arial" w:hAnsi="Arial"/>
          <w:color w:val="000000"/>
          <w:sz w:val="20"/>
        </w:rPr>
      </w:pPr>
      <w:r>
        <w:rPr>
          <w:rFonts w:ascii="Arial" w:hAnsi="Arial"/>
          <w:color w:val="000000"/>
          <w:sz w:val="20"/>
        </w:rPr>
        <w:t>We face an inherent risk of product liability exposure related to the testing of our product candidates in human clinical trials and will face an even greater risk if we commercially sell any drugs that we may develop. If we cannot successfully defend ourselves against claims that our product candidates or products caused injuries, we will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reduced resources of our management to pursue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decreased demand for any product candidates or products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initiation of investigations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significant costs to defend the resulting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substantial monetary awards paid to clinical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to commercialize any drugs that we may develop;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decline in our share price.</w:t>
      </w:r>
    </w:p>
    <w:p>
      <w:pPr>
        <w:pStyle w:val="TextBody"/>
        <w:bidi w:val="0"/>
        <w:spacing w:before="240" w:after="283"/>
        <w:jc w:val="left"/>
        <w:rPr>
          <w:rFonts w:ascii="Arial" w:hAnsi="Arial"/>
          <w:color w:val="000000"/>
          <w:sz w:val="20"/>
        </w:rPr>
      </w:pPr>
      <w:r>
        <w:rPr>
          <w:rFonts w:ascii="Arial" w:hAnsi="Arial"/>
          <w:color w:val="000000"/>
          <w:sz w:val="20"/>
        </w:rPr>
        <w:t>Our product liability insurance coverage may not be adequate to cover all liabilities that we may incur. We may need to increase our insurance coverage as we expand our clinical trials or if we commence commercialization of any product candidates. Insurance coverage is increasingly expensive. We may not be able to maintain insurance coverage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pStyle w:val="TextBody"/>
        <w:bidi w:val="0"/>
        <w:spacing w:before="360" w:after="283"/>
        <w:jc w:val="left"/>
        <w:rPr>
          <w:rFonts w:ascii="Arial" w:hAnsi="Arial"/>
          <w:b/>
          <w:i/>
          <w:color w:val="000000"/>
          <w:sz w:val="20"/>
        </w:rPr>
      </w:pPr>
      <w:r>
        <w:rPr>
          <w:rFonts w:ascii="Arial" w:hAnsi="Arial"/>
          <w:b/>
          <w:i/>
          <w:color w:val="000000"/>
          <w:sz w:val="20"/>
        </w:rPr>
        <w:t>There are a variety of risks associated with marketing our product candidates internationally, which could affect our business.</w:t>
      </w:r>
    </w:p>
    <w:p>
      <w:pPr>
        <w:pStyle w:val="TextBody"/>
        <w:bidi w:val="0"/>
        <w:spacing w:before="120" w:after="283"/>
        <w:jc w:val="left"/>
        <w:rPr>
          <w:rFonts w:ascii="Arial" w:hAnsi="Arial"/>
          <w:color w:val="000000"/>
          <w:sz w:val="20"/>
        </w:rPr>
      </w:pPr>
      <w:r>
        <w:rPr>
          <w:rFonts w:ascii="Arial" w:hAnsi="Arial"/>
          <w:color w:val="000000"/>
          <w:sz w:val="20"/>
        </w:rPr>
        <w:t>We may seek regulatory approval for our product candidates outside of the U.S. and, accordingly, we expect that we will be subject to additional risks related to operating in foreign countries if we obtain the necessary approvals,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differing regulatory requirements and reimbursement landscapes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currency fluctuations, which could result in increased operating expenses and reduced revenues, and other obligations incident to doing business in another country;</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workforce uncertainty in countries where labor unrest is more common than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liability under the U.S. Foreign Corrupt Practices Act of 1977, as amended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challenges enforcing our contractual and intellectual property rights, especially in those foreign countries that do not respect and protect intellectual property rights to the same extent as the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business interruptions resulting from geo-political actions, including war and terrorism.</w:t>
      </w:r>
    </w:p>
    <w:p>
      <w:pPr>
        <w:pStyle w:val="TextBody"/>
        <w:bidi w:val="0"/>
        <w:spacing w:before="240" w:after="283"/>
        <w:jc w:val="left"/>
        <w:rPr>
          <w:rFonts w:ascii="Arial" w:hAnsi="Arial"/>
          <w:color w:val="000000"/>
          <w:sz w:val="20"/>
        </w:rPr>
      </w:pPr>
      <w:r>
        <w:rPr>
          <w:rFonts w:ascii="Arial" w:hAnsi="Arial"/>
          <w:color w:val="000000"/>
          <w:sz w:val="20"/>
        </w:rPr>
        <w:t>These and other risks associated with our international operations may compromise our ability to achieve or maintain profitability.</w:t>
      </w:r>
    </w:p>
    <w:p>
      <w:pPr>
        <w:pStyle w:val="TextBody"/>
        <w:bidi w:val="0"/>
        <w:spacing w:before="360" w:after="283"/>
        <w:jc w:val="left"/>
        <w:rPr>
          <w:rFonts w:ascii="Arial" w:hAnsi="Arial"/>
          <w:b/>
          <w:color w:val="000000"/>
          <w:sz w:val="20"/>
        </w:rPr>
      </w:pPr>
      <w:r>
        <w:rPr>
          <w:rFonts w:ascii="Arial" w:hAnsi="Arial"/>
          <w:b/>
          <w:color w:val="000000"/>
          <w:sz w:val="20"/>
        </w:rPr>
        <w:t>Risks Related to Our Business, Industry and Managing Our Growth</w:t>
      </w:r>
    </w:p>
    <w:p>
      <w:pPr>
        <w:pStyle w:val="TextBody"/>
        <w:bidi w:val="0"/>
        <w:spacing w:before="120" w:after="283"/>
        <w:jc w:val="left"/>
        <w:rPr>
          <w:rFonts w:ascii="Arial" w:hAnsi="Arial"/>
          <w:b/>
          <w:i/>
          <w:color w:val="000000"/>
          <w:sz w:val="20"/>
        </w:rPr>
      </w:pPr>
      <w:r>
        <w:rPr>
          <w:rFonts w:ascii="Arial" w:hAnsi="Arial"/>
          <w:b/>
          <w:i/>
          <w:color w:val="000000"/>
          <w:sz w:val="20"/>
        </w:rPr>
        <w:t>We operate with a small team and our future success depends on our ability to retain key executives and to attract, retain and motivate qualified personnel.</w:t>
      </w:r>
    </w:p>
    <w:p>
      <w:pPr>
        <w:pStyle w:val="TextBody"/>
        <w:bidi w:val="0"/>
        <w:spacing w:before="120" w:after="283"/>
        <w:jc w:val="left"/>
        <w:rPr>
          <w:rFonts w:ascii="Times New Roman" w:hAnsi="Times New Roman"/>
          <w:sz w:val="20"/>
        </w:rPr>
      </w:pPr>
      <w:r>
        <w:rPr>
          <w:rFonts w:ascii="Arial" w:hAnsi="Arial"/>
          <w:color w:val="000000"/>
          <w:sz w:val="20"/>
        </w:rPr>
        <w:t>We are highly dependent on the management, research and development, financial and business development expertise of our key executives, as well as the other members of our research, development, and business teams. Each may terminate employment with us at any time. We do not maintain “key person” insurance for any of our executives or employees.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Our limited personnel and resources may result in greater workloads for our employees compared to those at companies with which we compete for personnel, which may lead to higher levels of employee dissatisfaction and turnover. Recruiting and retaining qualified research, development, and business personnel and, if we progress the development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research and development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Macroeconomic uncertainties have in the past and may continue to adversely impact our business, financial condition, results of operations and growth prospects.</w:t>
      </w:r>
    </w:p>
    <w:p>
      <w:pPr>
        <w:pStyle w:val="TextBody"/>
        <w:bidi w:val="0"/>
        <w:spacing w:before="120" w:after="283"/>
        <w:jc w:val="left"/>
        <w:rPr>
          <w:rFonts w:ascii="Times New Roman" w:hAnsi="Times New Roman"/>
          <w:sz w:val="20"/>
        </w:rPr>
      </w:pPr>
      <w:r>
        <w:rPr>
          <w:rFonts w:ascii="Arial" w:hAnsi="Arial"/>
          <w:color w:val="000000"/>
          <w:sz w:val="20"/>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Higher interest rates, coupled with reduced government spending and volatility in financial markets may increase economic uncertainty and affect consumer spending. Similarly, volatility and disruptions in global markets and supply chains, tariffs, and global conflicts may adversely affect our business or the third parties on whom we rely. If the equity and credit markets deteriorate, including as a result of political unrest or war, or new tariffs</w:t>
      </w:r>
      <w:r>
        <w:rPr>
          <w:rFonts w:ascii="Times New Roman" w:hAnsi="Times New Roman"/>
          <w:color w:val="000000"/>
          <w:sz w:val="20"/>
        </w:rPr>
        <w:t xml:space="preserve"> </w:t>
      </w:r>
      <w:r>
        <w:rPr>
          <w:rFonts w:ascii="Arial" w:hAnsi="Arial"/>
          <w:color w:val="000000"/>
          <w:sz w:val="20"/>
        </w:rPr>
        <w:t>and any retaliatory trade protection measures or trade wars that ensue, it may make any necessary debt or equity financing more difficult to obtain in a timely manner or on favorable terms, more costly or more dilutive. Increased inflation rates can adversely affect us by increasing our costs, including labor and employee benefit costs. To the extent that macroeconomic uncertainties continue to harm our business, financial condition, results of operations and growth prospects, many of the other risks described in this “Risk Factors” section will be exacerbated.</w:t>
      </w:r>
    </w:p>
    <w:p>
      <w:pPr>
        <w:pStyle w:val="TextBody"/>
        <w:bidi w:val="0"/>
        <w:spacing w:before="360" w:after="283"/>
        <w:jc w:val="left"/>
        <w:rPr>
          <w:rFonts w:ascii="Arial" w:hAnsi="Arial"/>
          <w:b/>
          <w:i/>
          <w:color w:val="000000"/>
          <w:sz w:val="20"/>
        </w:rPr>
      </w:pPr>
      <w:r>
        <w:rPr>
          <w:rFonts w:ascii="Arial" w:hAnsi="Arial"/>
          <w:b/>
          <w:i/>
          <w:color w:val="000000"/>
          <w:sz w:val="20"/>
        </w:rPr>
        <w:t>We have identified material weaknesses in our internal control over financial reporting. Due to our failure to maintain effective internal control over financial reporting, we may not be able to accurately or timely report our financial condition or results of operations, which may adversely affect our business.</w:t>
      </w:r>
    </w:p>
    <w:p>
      <w:pPr>
        <w:pStyle w:val="TextBody"/>
        <w:bidi w:val="0"/>
        <w:spacing w:before="120" w:after="283"/>
        <w:jc w:val="left"/>
        <w:rPr>
          <w:rFonts w:ascii="Arial" w:hAnsi="Arial"/>
          <w:color w:val="000000"/>
          <w:sz w:val="20"/>
        </w:rPr>
      </w:pPr>
      <w:r>
        <w:rPr>
          <w:rFonts w:ascii="Arial" w:hAnsi="Arial"/>
          <w:color w:val="000000"/>
          <w:sz w:val="20"/>
        </w:rPr>
        <w:t>Prior to the completion of the IPO, we had been a private company with limited accounting personnel to adequately execute our accounting processes and other supervisory resources with which to address our internal control over financial reporting. In connection with the preparation of our financial statements,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following material weaknesses continue to exist as of March 31, 2026: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pStyle w:val="TextBody"/>
        <w:bidi w:val="0"/>
        <w:spacing w:before="240" w:after="283"/>
        <w:jc w:val="left"/>
        <w:rPr>
          <w:rFonts w:ascii="Arial" w:hAnsi="Arial"/>
          <w:color w:val="000000"/>
          <w:sz w:val="20"/>
        </w:rPr>
      </w:pPr>
      <w:r>
        <w:rPr>
          <w:rFonts w:ascii="Arial" w:hAnsi="Arial"/>
          <w:color w:val="000000"/>
          <w:sz w:val="20"/>
        </w:rPr>
        <w:t>We cannot assure you that there will not be future material weaknesses in our internal control over financial reporting in the future. The failure to maintain effective internal control over financial reporting could severely inhibit our ability to accurately report our financial condition, results of operations, or cash flows. These identified material weaknesses, or any additional material weaknesses, in our internal control over financial reporting may cause investors to lose confidence in the accuracy and completeness of our financial reports and/or cause the market price of our common stock to decline, and we could be subject to sanctions or investigations by Nasdaq Global Select Market, the SEC or other regulatory authorities. Failure to remediate material weaknesses in our internal control over financial reporting, or to implement or maintain other effective control systems required of public companies, could also restrict our future access to the capital markets.</w:t>
      </w:r>
    </w:p>
    <w:p>
      <w:pPr>
        <w:pStyle w:val="TextBody"/>
        <w:bidi w:val="0"/>
        <w:spacing w:before="360" w:after="283"/>
        <w:jc w:val="left"/>
        <w:rPr>
          <w:rFonts w:ascii="Arial" w:hAnsi="Arial"/>
          <w:b/>
          <w:i/>
          <w:color w:val="000000"/>
          <w:sz w:val="20"/>
        </w:rPr>
      </w:pPr>
      <w:r>
        <w:rPr>
          <w:rFonts w:ascii="Arial" w:hAnsi="Arial"/>
          <w:b/>
          <w:i/>
          <w:color w:val="000000"/>
          <w:sz w:val="20"/>
        </w:rPr>
        <w:t>If in the future, we need to expand our research, development, and business capabilities and implement sales, marketing, and distribution capabilities, we may encounter difficulties in managing such growth, which could disrupt our operations.</w:t>
      </w:r>
    </w:p>
    <w:p>
      <w:pPr>
        <w:pStyle w:val="TextBody"/>
        <w:bidi w:val="0"/>
        <w:spacing w:before="120" w:after="283"/>
        <w:jc w:val="left"/>
        <w:rPr>
          <w:rFonts w:ascii="Arial" w:hAnsi="Arial"/>
          <w:color w:val="000000"/>
          <w:sz w:val="20"/>
        </w:rPr>
      </w:pPr>
      <w:r>
        <w:rPr>
          <w:rFonts w:ascii="Arial" w:hAnsi="Arial"/>
          <w:color w:val="000000"/>
          <w:sz w:val="20"/>
        </w:rPr>
        <w:t>If the development of our product candidates progresses, we may experience growth in the scope of our operations, particularly in the areas of research, drug development, regulatory affairs and, if any of our product candidates receives regulatory approval, sales, marketing and distribution. To manage any such growth, we will need to implement and improve our managerial, operational, and financial systems, expand our facilities and recruit and train additional qualified personnel. Due to our limited financial resources and the limited experience of our management team in managing a company with such growth, we may not be able to effectively manage such an expansion of our operations or recruit and train additional qualified personnel. The expansion of our operations may also lead to significant costs and may divert our management and research and development resources. Any inability to manage growth could delay the execution of our business plans or disrupt our operations.</w:t>
      </w:r>
    </w:p>
    <w:p>
      <w:pPr>
        <w:pStyle w:val="TextBody"/>
        <w:bidi w:val="0"/>
        <w:spacing w:before="360" w:after="283"/>
        <w:jc w:val="left"/>
        <w:rPr>
          <w:rFonts w:ascii="Arial" w:hAnsi="Arial"/>
          <w:b/>
          <w:i/>
          <w:color w:val="000000"/>
          <w:sz w:val="20"/>
        </w:rPr>
      </w:pPr>
      <w:r>
        <w:rPr>
          <w:rFonts w:ascii="Arial" w:hAnsi="Arial"/>
          <w:b/>
          <w:i/>
          <w:color w:val="000000"/>
          <w:sz w:val="20"/>
        </w:rPr>
        <w:t>If we engage in future acquisitions or strategic collaborations, this may increase our capital requirements, dilute our stockholders, cause us to incur debt or assume contingent liabilities, and subject us to other risks.</w:t>
      </w:r>
    </w:p>
    <w:p>
      <w:pPr>
        <w:pStyle w:val="TextBody"/>
        <w:bidi w:val="0"/>
        <w:spacing w:before="120" w:after="200"/>
        <w:jc w:val="left"/>
        <w:rPr>
          <w:rFonts w:ascii="Arial" w:hAnsi="Arial"/>
          <w:color w:val="000000"/>
          <w:sz w:val="20"/>
        </w:rPr>
      </w:pPr>
      <w:r>
        <w:rPr>
          <w:rFonts w:ascii="Arial" w:hAnsi="Arial"/>
          <w:color w:val="000000"/>
          <w:sz w:val="20"/>
        </w:rPr>
        <w:t>We have in the past and may from time to time in the future evaluate various acquisitions and strategic collaborations, including licensing or acquiring complementary drug products, intellectual property rights, technologies or businesses, as deemed appropriate to carry out our business plan. Any potential acquisition or strategic collaboration may entail numerous risks, including: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increased operating expenses and cash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assumption of additional indebtedness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issuance of our equity securities which would result in dilution to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assimilation of operations, intellectual property and drug products of an acquired company, including difficulties associated with integrating new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diversion of our management’s attention from our existing drug development programs and initiatives in pursuing such a strategic partnership, merger, or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retention of key employees, the loss of key personnel and uncertainties in our ability to maintain key business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drugs or drug candidates and regulatory approvals; 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generate revenue from acquired technology and/or drugs sufficient to meet our objectives in undertaking the acquisition or even to offset the associated acquisition and maintenance costs.</w:t>
      </w:r>
    </w:p>
    <w:p>
      <w:pPr>
        <w:pStyle w:val="TextBody"/>
        <w:bidi w:val="0"/>
        <w:spacing w:before="240" w:after="283"/>
        <w:jc w:val="left"/>
        <w:rPr>
          <w:rFonts w:ascii="Arial" w:hAnsi="Arial"/>
          <w:color w:val="000000"/>
          <w:sz w:val="20"/>
        </w:rPr>
      </w:pPr>
      <w:r>
        <w:rPr>
          <w:rFonts w:ascii="Arial" w:hAnsi="Arial"/>
          <w:color w:val="000000"/>
          <w:sz w:val="20"/>
        </w:rPr>
        <w:t>In addition, if we undertake such a transaction, we may incur large one-time expenses and acquire intangible assets that could result in significant future amortization expense.</w:t>
      </w:r>
    </w:p>
    <w:p>
      <w:pPr>
        <w:pStyle w:val="TextBody"/>
        <w:bidi w:val="0"/>
        <w:spacing w:before="360" w:after="283"/>
        <w:jc w:val="left"/>
        <w:rPr>
          <w:rFonts w:ascii="Arial" w:hAnsi="Arial"/>
          <w:b/>
          <w:color w:val="000000"/>
          <w:sz w:val="20"/>
        </w:rPr>
      </w:pPr>
      <w:r>
        <w:rPr>
          <w:rFonts w:ascii="Arial" w:hAnsi="Arial"/>
          <w:b/>
          <w:color w:val="000000"/>
          <w:sz w:val="20"/>
        </w:rPr>
        <w:t>Risks Related to Our Intellectual Property</w:t>
      </w:r>
    </w:p>
    <w:p>
      <w:pPr>
        <w:pStyle w:val="TextBody"/>
        <w:bidi w:val="0"/>
        <w:spacing w:before="120" w:after="283"/>
        <w:jc w:val="left"/>
        <w:rPr>
          <w:rFonts w:ascii="Arial" w:hAnsi="Arial"/>
          <w:b/>
          <w:i/>
          <w:color w:val="000000"/>
          <w:sz w:val="20"/>
        </w:rPr>
      </w:pPr>
      <w:r>
        <w:rPr>
          <w:rFonts w:ascii="Arial" w:hAnsi="Arial"/>
          <w:b/>
          <w:i/>
          <w:color w:val="000000"/>
          <w:sz w:val="20"/>
        </w:rPr>
        <w:t>If we are unable to obtain and maintain patent and other intellectual property protection for our technology, or for our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pStyle w:val="TextBody"/>
        <w:bidi w:val="0"/>
        <w:spacing w:before="120" w:after="283"/>
        <w:jc w:val="left"/>
        <w:rPr>
          <w:rFonts w:ascii="Arial" w:hAnsi="Arial"/>
          <w:color w:val="000000"/>
          <w:sz w:val="20"/>
        </w:rPr>
      </w:pPr>
      <w:r>
        <w:rPr>
          <w:rFonts w:ascii="Arial" w:hAnsi="Arial"/>
          <w:color w:val="000000"/>
          <w:sz w:val="20"/>
        </w:rPr>
        <w:t>Our success depends in large part on our ability to obtain and maintain patent protection in the U.S. and other countries with respect to our product candidates. We seek to protect our proprietary position by developing and in-licensing intellectual property relating to our product candidates including patent applications in the U.S. and abroad related to our technology and product candidates that are important to our business. If we or our licensors do not adequately protect the intellectual property we in-license or own, competitors may be able to use our technologies and erode or negate any competitive advantage that we may have, which could harm our business and ability to achieve profitability. To protect our proprietary positions, we and our licensors file patent applications in the U.S. and abroad related to our novel technologies and product candidates that are important to our business. The patent application and prosecution process is expensive and time-consuming. We and our current licensors and licensees, or any future licensors and licensees, may not be able to file and prosecute all necessary or desirable patent applications at a reasonable cost or in a timely manner. We or our current licensors and licensees, or any future licensors or licensees may also fail to identify patentable aspects of our research and development before it is too late to obtain patent protection, or fail to continue to prosecute patents relating to our product candidates. Therefore, these and any of our in-licensed patents and patent applications may not be prosecuted and enforced in a manner consistent with the best interests of our business. It is possible that defects of form in the preparation or filing of our licensors’ patents or our patent applications may exist, or may arise in the future, such as with respect to proper priority claims, inventorship, claim scope or patent term adjustments. If our current licensors and licensees, or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We cannot predict whether the patent applications we and our licensors or licensees are currently pursuing will issue as patents in any particular jurisdiction or whether the claims of any issued patents will provide sufficient protection from competitors. If there are material defects in the form or preparation of our or our licensors’ patents or patent applications, such patents or applications may be invalid and unenforceable. Moreover, our competitors may independently develop equivalent knowledge, methods, and know-how, and we may not be able to prevent such competitors from commercializing such equivalent knowledge, methods, and know-how. Any of these outcomes could impair our ability to prevent competition from third parties and could have a material adverse effect on our business, financial condition, results of operations and growth prospects. The patent position of biotechnology and pharmaceutical companies generally is highly uncertain and has been the subject of much litigation in recent years. Changes in either the patent laws or interpretation of the patent laws in the U.S. and other countries may diminish the value of our patents or narrow the scope of our patent protection. In addition, the laws of foreign countries may not protect our rights to the same extent as the laws of the U.S. No consistent policy regarding the breadth of claims allowed in biotechnology and pharmaceutical patents has emerged to date in the U.S.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U.S., including the America Invents Act of 2011, and future changes in patent laws in or outside the U.S. may affect the scope, strength and enforceability of our patent rights or the nature of proceedings that may be brought by us related to our patent rights.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may not be aware of all third-party intellectual property rights potentially relating to our product candidates.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patents or pending patent applications that we in-license or own, or that we or our licensors were the first to file for patent protection of such inventions. As a result, the issuance, scope, validity and commercial value of our patent rights cannot be predicted with any certainty. Moreover, we or our licensors may be subject to a third-party pre-issuance submission of prior art to the U.S. Patent and Trademark Office (“USPTO”), or become involved in opposition, derivation, reexamination, inter partes review, or interference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w:t>
      </w:r>
    </w:p>
    <w:p>
      <w:pPr>
        <w:pStyle w:val="TextBody"/>
        <w:bidi w:val="0"/>
        <w:spacing w:before="240" w:after="283"/>
        <w:jc w:val="left"/>
        <w:rPr>
          <w:rFonts w:ascii="Arial" w:hAnsi="Arial"/>
          <w:color w:val="000000"/>
          <w:sz w:val="20"/>
        </w:rPr>
      </w:pPr>
      <w:r>
        <w:rPr>
          <w:rFonts w:ascii="Arial" w:hAnsi="Arial"/>
          <w:color w:val="000000"/>
          <w:sz w:val="20"/>
        </w:rPr>
        <w:t>Our licensors’ pending and future patent applications and our own pending and future patent applications may not result in patents being issued that protect our technology or product candidates, in whole or in part, or which effectively prevent others from commercializing competitive technologies and products. Even if our or our licensors’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in-licensed patents or any patents we may own in the future by developing similar or alternative technologies or products in a non-infringing manner. Our competitors may seek to market generic versions of any approved products by submitting abbreviated NDAs to the FDA in which they claim that patents licensed by us or may be owned by us in the future are invalid, unenforceable, and/or not infringed. Alternatively, our competitors may seek approval to market their own products similar to or otherwise competitive with our product candidates. In these circumstances, we may need to defend and/or assert our in-licensed or owned patents, including by filing lawsuits alleging patent infringement. In any of these types of proceedings, a court, or other agency with jurisdiction may find our in-licensed patents or any owned patents, should such patents issue in the future, not infringed, invalid and/or unenforceable.</w:t>
      </w:r>
    </w:p>
    <w:p>
      <w:pPr>
        <w:pStyle w:val="TextBody"/>
        <w:bidi w:val="0"/>
        <w:spacing w:before="240" w:after="283"/>
        <w:jc w:val="left"/>
        <w:rPr>
          <w:rFonts w:ascii="Arial" w:hAnsi="Arial"/>
          <w:color w:val="000000"/>
          <w:sz w:val="20"/>
        </w:rPr>
      </w:pPr>
      <w:r>
        <w:rPr>
          <w:rFonts w:ascii="Arial" w:hAnsi="Arial"/>
          <w:color w:val="000000"/>
          <w:sz w:val="20"/>
        </w:rPr>
        <w:t>The issuance of a patent is not conclusive as to its inventorship, scope, validity, or enforceability, and our in-licensed patents or patents we may own in the future may be challenged in the courts or patent offices in the U.S. and abroad. Such challenges may result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In addition, given the amount of time required for the development, testing, and regulatory review of new product candidates, patents protecting such candidates might expire before or shortly after such candidates are commercialized. Any impairment of our intellectual property rights, or our failure to protect our intellectual property rights adequately, could give third parties access to our technology and product candidates and could materially and adversely impact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Our rights to develop and commercialize our technology and our other product candidates are subject, in large part, to the terms and conditions of licenses granted to us by others, such as Anacor. If we fail to comply with our obligations in the agreements under which we in-license or acquire development or commercialization rights to products, technology, or data from third parties, we could lose such rights that are important to our business.</w:t>
      </w:r>
    </w:p>
    <w:p>
      <w:pPr>
        <w:pStyle w:val="TextBody"/>
        <w:bidi w:val="0"/>
        <w:spacing w:before="120" w:after="283"/>
        <w:jc w:val="left"/>
        <w:rPr>
          <w:rFonts w:ascii="Arial" w:hAnsi="Arial"/>
          <w:color w:val="000000"/>
          <w:sz w:val="20"/>
        </w:rPr>
      </w:pPr>
      <w:r>
        <w:rPr>
          <w:rFonts w:ascii="Arial" w:hAnsi="Arial"/>
          <w:color w:val="000000"/>
          <w:sz w:val="20"/>
        </w:rPr>
        <w:t>For certain product candidates, we rely on licenses to certain patent rights and other intellectual property that are important or necessary to the development of these product candidates. For example, we depend on a license agreement from Anacor, a biopharmaceutical company that originally developed epetraborole and is currently a wholly-owned subsidiary of Pfizer. Additionally, we have licensed our rights under the Anacor agreement in China, Hong Kong, Taiwan and Macau to Brii Biosciences.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Anacor has relied upon, our other licensors may have relied upon, and any future licensors may rely upon, third-party companies, consultants or collaborators, or on funds from third parties such that our licensors are not the sole and exclusive owners of the patents we in-licensed. We have sublicensed certain patents from Anacor that are owned, maintained and prosecuted by GlaxoSmithKline plc (“GSK”). If third-party companies such as GSK fail to prosecute, maintain, enforce and defend such patents, or lose rights to those patents, the rights we have licensed may be reduced or eliminated, and our right to develop and commercialize our product candidates that are the subject of such licensed rights could be adversely affected. Further, we rely upon Anacor’s compliance with its license agreement with GSK to maintain our sublicense to such patents owned by GSK, and any termination of Anacor’s license agreement with GSK could result in us losing our license to epetraborole. Further development and commercialization of our product candidates may require us to enter into additional license or collaboration agreements. Our future licenses may not provide us with exclusive rights to use the licensed patent rights and other intellectual property, or may not provide us with exclusive rights to use such patent rights and intellectual property in all relevant fields of use and in all territories in which we wish to develop or commercialize our product candidates in the future.</w:t>
      </w:r>
    </w:p>
    <w:p>
      <w:pPr>
        <w:pStyle w:val="TextBody"/>
        <w:bidi w:val="0"/>
        <w:spacing w:before="240" w:after="283"/>
        <w:jc w:val="left"/>
        <w:rPr>
          <w:rFonts w:ascii="Arial" w:hAnsi="Arial"/>
          <w:color w:val="000000"/>
          <w:sz w:val="20"/>
        </w:rPr>
      </w:pPr>
      <w:r>
        <w:rPr>
          <w:rFonts w:ascii="Arial" w:hAnsi="Arial"/>
          <w:color w:val="000000"/>
          <w:sz w:val="20"/>
        </w:rPr>
        <w:t>Our license agreement with Anacor, and other intellectual property-related agreements we have entered into and may in the future enter into may impose diligence and other obligations, including payment of milestones and royalties. For example, our license agreement from Anacor requires us to satisfy diligence requirements, including using commercially reasonable efforts to develop and commercialize products. If we fail to comply with our obligations to Anacor or any other or future licensors, those counterparties may have the right to terminate the license agreements, in which event we might not be able to develop, manufacture, or market any product candidate licensed under the agreements, which could materially adversely affect the value of the product candidate being developed under any such agreement and further involve termination of our rights to important intellectual property or technology.</w:t>
      </w:r>
    </w:p>
    <w:p>
      <w:pPr>
        <w:pStyle w:val="TextBody"/>
        <w:bidi w:val="0"/>
        <w:spacing w:before="240" w:after="283"/>
        <w:jc w:val="left"/>
        <w:rPr>
          <w:rFonts w:ascii="Arial" w:hAnsi="Arial"/>
          <w:color w:val="000000"/>
          <w:sz w:val="20"/>
        </w:rPr>
      </w:pPr>
      <w:r>
        <w:rPr>
          <w:rFonts w:ascii="Arial" w:hAnsi="Arial"/>
          <w:color w:val="000000"/>
          <w:sz w:val="20"/>
        </w:rPr>
        <w:t>In spite of our efforts, Anacor might conclude, or any other or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business, financial condition, results of operations and growth prospects.</w:t>
      </w:r>
    </w:p>
    <w:p>
      <w:pPr>
        <w:pStyle w:val="TextBody"/>
        <w:bidi w:val="0"/>
        <w:spacing w:before="240" w:after="283"/>
        <w:jc w:val="left"/>
        <w:rPr>
          <w:rFonts w:ascii="Arial" w:hAnsi="Arial"/>
          <w:color w:val="000000"/>
          <w:sz w:val="20"/>
        </w:rPr>
      </w:pPr>
      <w:r>
        <w:rPr>
          <w:rFonts w:ascii="Arial" w:hAnsi="Arial"/>
          <w:color w:val="000000"/>
          <w:sz w:val="20"/>
        </w:rPr>
        <w:t>Under our license agreement with Anacor, and any other or future license agreements, disputes may arise regarding intellectual property subject to a licensing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sublicensing of patent and other rights under our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priority of invention of patented technology.</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addition, the license agreements involving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may not be successful in obtaining necessary rights to any product candidates we may develop through acquisitions and in-licenses.</w:t>
      </w:r>
    </w:p>
    <w:p>
      <w:pPr>
        <w:pStyle w:val="TextBody"/>
        <w:bidi w:val="0"/>
        <w:spacing w:before="120" w:after="283"/>
        <w:jc w:val="left"/>
        <w:rPr>
          <w:rFonts w:ascii="Arial" w:hAnsi="Arial"/>
          <w:color w:val="000000"/>
          <w:sz w:val="20"/>
        </w:rPr>
      </w:pPr>
      <w:r>
        <w:rPr>
          <w:rFonts w:ascii="Arial" w:hAnsi="Arial"/>
          <w:color w:val="000000"/>
          <w:sz w:val="20"/>
        </w:rPr>
        <w:t>We currently have rights to intellectual property through licenses from third parties, including Anacor, to identify and develop product candidates. We may find it necessary or prudent to obtain licenses from other third-party intellectual property holders in order to avoid infringing these third-party patents. For example, many pharmaceutical companies, biotechnology companies and academic institutions compete with us and may be filing patent applications that are potentially relevant to our business.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license any intellectual property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may become involved in lawsuits to protect or enforce our owned or in-licensed patents or other intellectual property, which could be expensive, time-consuming and unsuccessful.</w:t>
      </w:r>
    </w:p>
    <w:p>
      <w:pPr>
        <w:pStyle w:val="TextBody"/>
        <w:bidi w:val="0"/>
        <w:spacing w:before="120" w:after="283"/>
        <w:jc w:val="left"/>
        <w:rPr>
          <w:rFonts w:ascii="Arial" w:hAnsi="Arial"/>
          <w:color w:val="000000"/>
          <w:sz w:val="20"/>
        </w:rPr>
      </w:pPr>
      <w:r>
        <w:rPr>
          <w:rFonts w:ascii="Arial" w:hAnsi="Arial"/>
          <w:color w:val="000000"/>
          <w:sz w:val="20"/>
        </w:rPr>
        <w:t>Competitors or other third parties may infringe, misappropriate or otherwise violate our in-licensed issued patents or other intellectual property rights we may own. To counter such infringement, misappropriation, violation or other unauthorized use, we may be required to file infringement claims, which can be expensive and time-consuming and divert the time and attention of our management and scientific personnel. Any claims we assert against third parties could provoke these parties to assert counterclaims against us alleging that we infringe, misappropriate or otherwise violate their patents, trademarks, copyrights or other intellectual property rights. In addition, our in-licensed patents may become involved in inventorship or priority disputes. Third parties may raise challenges to the validity of certain of our in-licensed patent claims and may in the future raise similar claims before administrative bodies in the U.S. or abroad, even outside the context of litigation. For example, we may be subject to a third-party pre-issuance submission of prior art to the USPTO, or become involved in derivation, revocation, reexamination, post-grant review (“PGR”), inter partes review (“IPR”), interference proceedings and equivalent proceedings in foreign jurisdictions, such as opposition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In a patent infringement proceeding, there is a risk that a court will decide that a patent we own or in-license is invalid or unenforceable, in whole or in part, and that we do not have the right to stop the other party from using the invention at issue. There is also a risk that, even if the validity of such patents are upheld, the court will construe the patent’s claims narrowly or decide that we do not have the right to stop the other party from using the invention at issue on the grounds that our owned or in-licensed patents do not cover the invention. An adverse outcome in a litigation or proceeding involving our owned or in-licensed patents could limit our ability to assert our owned or in-licensed patents against those parties or other competitors and may curtail or preclude our ability to exclude third parties from making and selling similar or competitive products. Similarly, in the future, we expect to rely on trademarks to distinguish our product candidates that are approved for marketing, if any, and if we assert trademark infringement claims, a court may determine that the marks we have asserted are invalid or unenforceable, or that the third party against whom we have asserted trademark infringement has superior rights to the marks in question. In this case, we could ultimately be forced to cease use of such trademarks.</w:t>
      </w:r>
    </w:p>
    <w:p>
      <w:pPr>
        <w:pStyle w:val="TextBody"/>
        <w:bidi w:val="0"/>
        <w:spacing w:before="240" w:after="283"/>
        <w:jc w:val="left"/>
        <w:rPr>
          <w:rFonts w:ascii="Arial" w:hAnsi="Arial"/>
          <w:color w:val="000000"/>
          <w:sz w:val="20"/>
        </w:rPr>
      </w:pPr>
      <w:r>
        <w:rPr>
          <w:rFonts w:ascii="Arial" w:hAnsi="Arial"/>
          <w:color w:val="000000"/>
          <w:sz w:val="20"/>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or trade secrets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adequately file and pursue such infringement claims, which typically last for years before they are concluded. Some of our competitors and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otherwise violating or successfully challenging our intellectual property rights. Uncertainties resulting from the initiation and continuation of patent litigation or other proceedings could have a negative impact on our ability to compete in the marketplace, which could have a material adverse effect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Third parties may initiate legal proceedings alleging that we are infringing, misappropriating, or otherwise violating their intellectual property rights, the outcome of which would be uncertain and could significantly harm our business.</w:t>
      </w:r>
    </w:p>
    <w:p>
      <w:pPr>
        <w:pStyle w:val="TextBody"/>
        <w:bidi w:val="0"/>
        <w:spacing w:before="120" w:after="283"/>
        <w:jc w:val="left"/>
        <w:rPr>
          <w:rFonts w:ascii="Arial" w:hAnsi="Arial"/>
          <w:color w:val="000000"/>
          <w:sz w:val="20"/>
        </w:rPr>
      </w:pPr>
      <w:r>
        <w:rPr>
          <w:rFonts w:ascii="Arial" w:hAnsi="Arial"/>
          <w:color w:val="000000"/>
          <w:sz w:val="20"/>
        </w:rPr>
        <w:t>Our commercial success depends, in part, on our ability to develop, manufacture, market and sell our product candidates and use our proprietary chemistry technology without infringing, misappropriating or otherwise violating the intellectual property rights of third parties. Numerous third-party U.S. and non-U.S. issued patents exist in the area of antibacterial treatment, including compounds, formulations, treatment methods and synthetic processes that may be applied towards the synthesis of antibiotics. If any such patents of third parties cover our product candidates or technologies, we may not be free to manufacture or market our product candidates as planned.</w:t>
      </w:r>
    </w:p>
    <w:p>
      <w:pPr>
        <w:pStyle w:val="TextBody"/>
        <w:bidi w:val="0"/>
        <w:spacing w:before="240" w:after="283"/>
        <w:jc w:val="left"/>
        <w:rPr>
          <w:rFonts w:ascii="Arial" w:hAnsi="Arial"/>
          <w:color w:val="000000"/>
          <w:sz w:val="20"/>
        </w:rPr>
      </w:pPr>
      <w:r>
        <w:rPr>
          <w:rFonts w:ascii="Arial" w:hAnsi="Arial"/>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Third parties may assert claims against us based on existing or future intellectual property rights. The outcome of intellectual property litigation is subject to uncertainties that cannot be adequately quantified in advance.</w:t>
      </w:r>
    </w:p>
    <w:p>
      <w:pPr>
        <w:pStyle w:val="TextBody"/>
        <w:bidi w:val="0"/>
        <w:spacing w:before="240" w:after="283"/>
        <w:jc w:val="left"/>
        <w:rPr>
          <w:rFonts w:ascii="Arial" w:hAnsi="Arial"/>
          <w:color w:val="000000"/>
          <w:sz w:val="20"/>
        </w:rPr>
      </w:pPr>
      <w:r>
        <w:rPr>
          <w:rFonts w:ascii="Arial" w:hAnsi="Arial"/>
          <w:color w:val="000000"/>
          <w:sz w:val="20"/>
        </w:rPr>
        <w:t>If we are found to have infringed, misappropriated or otherwise violated any third party’s intellectual property rights, we could be forced, including by court order, to cease developing, manufacturing, or commercializing our product candidates. Alternatively, we may be required to obtain a license from such third party in order to use technology and continue developing, manufacturing or marketing product candidates that infringe, misappropriate or otherwise violate such third party’s intellectual property rights. However, we may not be able to obtain any such required license on commercially reasonable terms or at all. Even if we were able to obtain a license, it could be non-exclusive, thereby giving our competitors access to the same technologies licensed to us. We may also be required to pay substantial ongoing royalty or license payments or fees or comply with other unfavorable terms.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we were to prevail in such a dispute, any litigation regarding our intellectual property rights could be costly and time-consuming and divert the attention of our management and key personnel from our business operations. Furthermore, because of the substantial amount of discovery required in connection with intellectual property litigation, there is a risk that some of our confidential information or trade secrets could be compromised by disclosure during this type of litigation. During the course of litigation, there could be public announcements or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customer or former customer, regardless of its accuracy, may adversely impact our other customer relationships or prospective customer relationships, harm our brand and business and could cause the market price of our common stock to decline. Any of the foregoing arising from uncertainty in legal proceedings could materially and adversely impact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may be subject to claims by third parties asserting that we or our employees, consultants and advisors have misappropriated their intellectual property rights or claiming ownership of what we regard as our own intellectual property rights.</w:t>
      </w:r>
    </w:p>
    <w:p>
      <w:pPr>
        <w:pStyle w:val="TextBody"/>
        <w:bidi w:val="0"/>
        <w:spacing w:before="120" w:after="283"/>
        <w:jc w:val="left"/>
        <w:rPr>
          <w:rFonts w:ascii="Arial" w:hAnsi="Arial"/>
          <w:color w:val="000000"/>
          <w:sz w:val="20"/>
        </w:rPr>
      </w:pPr>
      <w:r>
        <w:rPr>
          <w:rFonts w:ascii="Arial" w:hAnsi="Arial"/>
          <w:color w:val="000000"/>
          <w:sz w:val="20"/>
        </w:rPr>
        <w:t>Many of our employees, consultants and advisors were previously employed at universities or other biotechnology or pharmaceutical companies, including our competitors or potential competitors. Although we try to ensure that our employees, consultants and advisors do not use the proprietary information or know-how of third parties in their work for us, we may be subject to claims that we or such employees, consultants and advisors have inadvertently or otherwise used or disclosed intellectual property, including trade secrets or other proprietary information, of any such individual’s former employer. We may also in the future be subject to claims that we have caused an employee to breach the terms of his or her non-competition or non-solicitation agreement. Litigation may be necessary to defend against these potential claims.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addition, while it is our policy to require our employees and contractors who may be involved in the development of intellectual property rights to execute agreements assigning such intellectual property rights to us, such employees and contractors may breach the agreement and claim the developed intellectual property as their own. Further, we may be unsuccessful in executing such agreements with each party who, in fact, conceives, or develops intellectual property that we regard as our own. The assignment of intellectual property may not be self-executing and we may be forced to bring claims against third parties, or defend claims that they may bring against us, to determine the ownership of what we regard as our intellectual property.</w:t>
      </w:r>
    </w:p>
    <w:p>
      <w:pPr>
        <w:pStyle w:val="TextBody"/>
        <w:bidi w:val="0"/>
        <w:spacing w:before="240" w:after="283"/>
        <w:jc w:val="left"/>
        <w:rPr>
          <w:rFonts w:ascii="Arial" w:hAnsi="Arial"/>
          <w:color w:val="000000"/>
          <w:sz w:val="20"/>
        </w:rPr>
      </w:pPr>
      <w:r>
        <w:rPr>
          <w:rFonts w:ascii="Arial" w:hAnsi="Arial"/>
          <w:color w:val="000000"/>
          <w:sz w:val="20"/>
        </w:rPr>
        <w:t>If we fail in prosecuting or defending any such claims, in addition to paying monetary damages, we may lose valuable intellectual property rights or personnel. A court could prohibit us from using technologies or features that are essential to our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 candidates. Any of the foregoing could have a material adverse impact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Any trademarks we may obtain may be infringed or successfully challenged, resulting in harm to our business.</w:t>
      </w:r>
    </w:p>
    <w:p>
      <w:pPr>
        <w:pStyle w:val="TextBody"/>
        <w:bidi w:val="0"/>
        <w:spacing w:before="120" w:after="283"/>
        <w:jc w:val="left"/>
        <w:rPr>
          <w:rFonts w:ascii="Arial" w:hAnsi="Arial"/>
          <w:color w:val="000000"/>
          <w:sz w:val="20"/>
        </w:rPr>
      </w:pPr>
      <w:r>
        <w:rPr>
          <w:rFonts w:ascii="Arial" w:hAnsi="Arial"/>
          <w:color w:val="000000"/>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who have prior rights to our trademarks or third parties who have prior rights to similar trademarks may oppose our trademark applications, or otherwise challenge our use of the trademarks.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diluting or impeding our ability to build brand identity and possibly leading to market confusion. Our competitors may infringe our trademarks and we may not have adequate resources to enforce our trademarks and may not be able to prevent such third parties from using and marketing any such trademarks.</w:t>
      </w:r>
    </w:p>
    <w:p>
      <w:pPr>
        <w:pStyle w:val="TextBody"/>
        <w:bidi w:val="0"/>
        <w:spacing w:before="240" w:after="283"/>
        <w:jc w:val="left"/>
        <w:rPr>
          <w:rFonts w:ascii="Arial" w:hAnsi="Arial"/>
          <w:color w:val="000000"/>
          <w:sz w:val="20"/>
        </w:rPr>
      </w:pPr>
      <w:r>
        <w:rPr>
          <w:rFonts w:ascii="Arial" w:hAnsi="Arial"/>
          <w:color w:val="000000"/>
          <w:sz w:val="20"/>
        </w:rPr>
        <w:t>In addition, any proprietary name we propose to use with any product candidate in the U.S.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If we are unable to establish name recognition based on our trademarks, we may not be able to compete effectively and our business, financial condition, results of operations and growth prospects may be adversely affected.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are unable to protect the confidentiality of our proprietary information, know-how and trade secrets, the value of our product candidates could be adversely affected and our business and competitive position would be harmed.</w:t>
      </w:r>
    </w:p>
    <w:p>
      <w:pPr>
        <w:pStyle w:val="TextBody"/>
        <w:bidi w:val="0"/>
        <w:spacing w:before="120" w:after="283"/>
        <w:jc w:val="left"/>
        <w:rPr>
          <w:rFonts w:ascii="Arial" w:hAnsi="Arial"/>
          <w:color w:val="000000"/>
          <w:sz w:val="20"/>
        </w:rPr>
      </w:pPr>
      <w:r>
        <w:rPr>
          <w:rFonts w:ascii="Arial" w:hAnsi="Arial"/>
          <w:color w:val="000000"/>
          <w:sz w:val="20"/>
        </w:rPr>
        <w:t>In addition to seeking patent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agreements may be inadequate to protect our proprietary and intellectual property rights. Despite these efforts, any of these parties may breach the agreements and disclose our proprietary information, including our trade secrets. In addition, we may not be able to obtain adequate remedies for any such breaches. Although we use reasonable efforts to protect this proprietary information and technology, we also cannot guarantee that we have entered into such agreements with each party that may have or have had access to our confidential information, know-how, trade secrets or other proprietary information or each individual who has developed intellectual property on our behalf. Monitoring unauthorized uses and disclosures of our intellectual property is difficult, and we do not know whether the steps we have taken to protect our intellectual property rights will be effective. Enforcing a claim that a party illegally disclosed or misappropriated a trade secret is difficult, expensive, distracting to management, and time-consuming, and the outcome is unpredictable and varied depending on the jurisdiction. In addition, some courts inside and outside the U.S., in countries in which we operate or intend to operate, are less willing, or unwilling, to protect trade secrets, know-how and other proprietary information. Any claims or litigation could cause us to incur significant expenses. Some third parties may be able to sustain the costs of complex litigation more effectively than we can because they have substantially greater resources.</w:t>
      </w:r>
    </w:p>
    <w:p>
      <w:pPr>
        <w:pStyle w:val="TextBody"/>
        <w:bidi w:val="0"/>
        <w:spacing w:before="240" w:after="283"/>
        <w:jc w:val="left"/>
        <w:rPr>
          <w:rFonts w:ascii="Arial" w:hAnsi="Arial"/>
          <w:color w:val="000000"/>
          <w:sz w:val="20"/>
        </w:rPr>
      </w:pPr>
      <w:r>
        <w:rPr>
          <w:rFonts w:ascii="Arial" w:hAnsi="Arial"/>
          <w:color w:val="000000"/>
          <w:sz w:val="20"/>
        </w:rPr>
        <w:t>Our employees, consultants, and other parties may unintentionally or willfully disclose our information or technology to competitors and there can be no assurance that the legal protections and precaution taken by us will be adequate to prevent misappropriation of our technology or that competitors will not independently develop technologies equivalent or superior to ours. Trade secrets and know-how can be difficult to protect. Our competitors or other third parties may independently develop knowledge, methods and know-how equivalent to our trade secrets. Additionally, competitors could purchase our product candidates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from using that technology or information to compete with us. If any of our trade secrets were to be disclosed to or independently developed by a competitor, our competitive position would be harmed, which could have a material adverse effect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or our licensors do not obtain patent term extension and data exclusivity for any product candidates we or our licensors may develop, our business may be materially harmed.</w:t>
      </w:r>
    </w:p>
    <w:p>
      <w:pPr>
        <w:pStyle w:val="TextBody"/>
        <w:bidi w:val="0"/>
        <w:spacing w:before="120" w:after="283"/>
        <w:jc w:val="left"/>
        <w:rPr>
          <w:rFonts w:ascii="Arial" w:hAnsi="Arial"/>
          <w:color w:val="000000"/>
          <w:sz w:val="20"/>
        </w:rPr>
      </w:pPr>
      <w:r>
        <w:rPr>
          <w:rFonts w:ascii="Arial" w:hAnsi="Arial"/>
          <w:color w:val="000000"/>
          <w:sz w:val="20"/>
        </w:rPr>
        <w:t>Given the amount of time required for the development, testing, and regulatory review of new product candidates, patents we license or may own in the future protecting such candidates might expire before or shortly after such candidates are commercialized. As a result, our intellectual property may not provide us with sufficient rights to exclude others from commercializing products similar or identical to our product candidates. Depending upon the timing, duration, and specifics of any FDA approval of any of our product candidates, one or more of our in-licensed U.S. patents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patent term extension is less than we request, our competitors may obtain approval of competing products following our patent expiration, and our business, financial condition, results of operations and growth prospects could be materially harmed.</w:t>
      </w:r>
    </w:p>
    <w:p>
      <w:pPr>
        <w:pStyle w:val="TextBody"/>
        <w:bidi w:val="0"/>
        <w:spacing w:before="360" w:after="283"/>
        <w:jc w:val="left"/>
        <w:rPr>
          <w:rFonts w:ascii="Arial" w:hAnsi="Arial"/>
          <w:b/>
          <w:i/>
          <w:color w:val="000000"/>
          <w:sz w:val="20"/>
        </w:rPr>
      </w:pPr>
      <w:r>
        <w:rPr>
          <w:rFonts w:ascii="Arial" w:hAnsi="Arial"/>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left"/>
        <w:rPr>
          <w:rFonts w:ascii="Arial" w:hAnsi="Arial"/>
          <w:color w:val="000000"/>
          <w:sz w:val="20"/>
        </w:rPr>
      </w:pPr>
      <w:r>
        <w:rPr>
          <w:rFonts w:ascii="Arial" w:hAnsi="Arial"/>
          <w:color w:val="000000"/>
          <w:sz w:val="20"/>
        </w:rPr>
        <w:t>Periodic maintenance fees, renewal fees, annuity fees and various other government fees on patents and patent applications will be due to be paid to the USPTO and various government patent agencies outside of the U.S. over the lifetime of our owned or in-licensed patents and patent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may not be able to protect our intellectual property rights throughout the world.</w:t>
      </w:r>
    </w:p>
    <w:p>
      <w:pPr>
        <w:pStyle w:val="TextBody"/>
        <w:bidi w:val="0"/>
        <w:spacing w:before="120" w:after="283"/>
        <w:jc w:val="left"/>
        <w:rPr>
          <w:rFonts w:ascii="Arial" w:hAnsi="Arial"/>
          <w:color w:val="000000"/>
          <w:sz w:val="20"/>
        </w:rPr>
      </w:pPr>
      <w:r>
        <w:rPr>
          <w:rFonts w:ascii="Arial" w:hAnsi="Arial"/>
          <w:color w:val="000000"/>
          <w:sz w:val="20"/>
        </w:rPr>
        <w:t>Filing, prosecuting, enforcing and defending patents on product candidates in all countries throughout the world would be prohibitively expensive, and our intellectual property rights in some countries outside the U.S. could be less extensive than those in the U.S. In some cases, we or our licensors may not be able to obtain patent protection for certain licensed technology outside the U.S. In addition, the laws of some foreign countries do not protect intellectual property rights to the same extent as federal and state laws in the U.S., even in jurisdictions where we or our licensors do pursue patent protection. Consequently, we may not be able to prevent third parties from practicing our in-licensed inventions in all countries outside the U.S., even in jurisdictions where our licensors do pursue patent protection or from selling or importing products made using our inventions in and into the U.S. or other jurisdictions.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In addition,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left"/>
        <w:rPr>
          <w:rFonts w:ascii="Arial" w:hAnsi="Arial"/>
          <w:color w:val="000000"/>
          <w:sz w:val="20"/>
        </w:rPr>
      </w:pPr>
      <w:r>
        <w:rPr>
          <w:rFonts w:ascii="Arial" w:hAnsi="Arial"/>
          <w:color w:val="000000"/>
          <w:sz w:val="20"/>
        </w:rPr>
        <w:t>Competitors may use our technologies in jurisdictions where we or our licensors have not pursued and obtained patent protection to develop their own products and, further, may export otherwise infringing products to territories where we have patent protection, but enforcement is not as strong as that in the U.S. These products may compete with our product candidates and our preclinical programs. Our in-licensed patents or other intellectual property rights may not be effective or sufficient to prevent them from competing.</w:t>
      </w:r>
    </w:p>
    <w:p>
      <w:pPr>
        <w:pStyle w:val="TextBody"/>
        <w:bidi w:val="0"/>
        <w:spacing w:before="240" w:after="283"/>
        <w:jc w:val="left"/>
        <w:rPr>
          <w:rFonts w:ascii="Arial" w:hAnsi="Arial"/>
          <w:color w:val="000000"/>
          <w:sz w:val="20"/>
        </w:rPr>
      </w:pPr>
      <w:r>
        <w:rPr>
          <w:rFonts w:ascii="Arial" w:hAnsi="Arial"/>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or in-licensed intellectual property rights, if pursued and obtained, or the marketing of competing products in violation of our proprietary rights generally. Proceedings to enforce our patent rights in foreign jurisdictions could result in substantial costs and divert our efforts and attention from other aspects of our business, could put our owned or in-licensed patents at risk of being invalidated or interpreted narrowly and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left"/>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growth prospects may be adversely affected.</w:t>
      </w:r>
    </w:p>
    <w:p>
      <w:pPr>
        <w:pStyle w:val="TextBody"/>
        <w:bidi w:val="0"/>
        <w:spacing w:before="240" w:after="283"/>
        <w:jc w:val="left"/>
        <w:rPr>
          <w:rFonts w:ascii="Arial" w:hAnsi="Arial"/>
          <w:color w:val="000000"/>
          <w:sz w:val="20"/>
        </w:rPr>
      </w:pPr>
      <w:r>
        <w:rPr>
          <w:rFonts w:ascii="Arial" w:hAnsi="Arial"/>
          <w:color w:val="000000"/>
          <w:sz w:val="20"/>
        </w:rPr>
        <w:t>Further, on June 1, 2023, the European Union Patent Package (“EU Patent Package”) regulations were implemented with the goal of providing a single pan-European Unitary Patent and a new European Unified Patent Court (“UPC”) for litigation involving European patents.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 applications and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Risks Related to Regulatory Approval of Our Product Candidates and Other Legal Compliance Matters</w:t>
      </w:r>
    </w:p>
    <w:p>
      <w:pPr>
        <w:pStyle w:val="TextBody"/>
        <w:bidi w:val="0"/>
        <w:spacing w:before="120" w:after="283"/>
        <w:jc w:val="left"/>
        <w:rPr>
          <w:rFonts w:ascii="Arial" w:hAnsi="Arial"/>
          <w:b/>
          <w:i/>
          <w:color w:val="000000"/>
          <w:sz w:val="20"/>
        </w:rPr>
      </w:pPr>
      <w:r>
        <w:rPr>
          <w:rFonts w:ascii="Arial" w:hAnsi="Arial"/>
          <w:b/>
          <w:i/>
          <w:color w:val="000000"/>
          <w:sz w:val="20"/>
        </w:rPr>
        <w:t>If we are not able to obtain, or if there are delays in obtaining, required regulatory approvals, we will not be able to commercialize our product candidates, and our ability to generate revenue will be materially impaired.</w:t>
      </w:r>
    </w:p>
    <w:p>
      <w:pPr>
        <w:pStyle w:val="TextBody"/>
        <w:bidi w:val="0"/>
        <w:spacing w:before="120" w:after="283"/>
        <w:jc w:val="left"/>
        <w:rPr>
          <w:rFonts w:ascii="Arial" w:hAnsi="Arial"/>
          <w:color w:val="000000"/>
          <w:sz w:val="20"/>
        </w:rPr>
      </w:pPr>
      <w:r>
        <w:rPr>
          <w:rFonts w:ascii="Arial" w:hAnsi="Arial"/>
          <w:color w:val="000000"/>
          <w:sz w:val="20"/>
        </w:rPr>
        <w:t>Our product candidates and the activities associated with their development and commercialization, including their design, testing, manufacture, safety, efficacy, record-keeping, labeling, storage, approval, advertising, promotion, sale, import, export and distribution, are subject to comprehensive regulation by the FDA and other regulatory agencies in the U.S. and by comparable foreign regulatory authorities, with regulations differing from country to country. Failure to obtain regulatory approval for a product candidate will prevent us from commercializing the product candidate. We currently do not have any products approved for sale in any jurisdiction. For example, we are not permitted to market any product candidate in the U.S. until we receive regulatory approval of an NDA from the FDA. We as a company only have limited experience in filing and supporting the applications necessary to gain regulatory approvals and may rely on third-party contract research organizations to assist us in this process.</w:t>
      </w:r>
    </w:p>
    <w:p>
      <w:pPr>
        <w:pStyle w:val="TextBody"/>
        <w:bidi w:val="0"/>
        <w:spacing w:before="240" w:after="283"/>
        <w:jc w:val="left"/>
        <w:rPr>
          <w:rFonts w:ascii="Arial" w:hAnsi="Arial"/>
          <w:color w:val="000000"/>
          <w:sz w:val="20"/>
        </w:rPr>
      </w:pPr>
      <w:r>
        <w:rPr>
          <w:rFonts w:ascii="Arial" w:hAnsi="Arial"/>
          <w:color w:val="000000"/>
          <w:sz w:val="20"/>
        </w:rPr>
        <w:t>Approval policies, regulations, or the type and amount of clinical data necessary to gain approval may change during the course of a product candidate’s clinical development. For instance, changes to leadership and the reorganization and rededication of critical resources at the FDA and within similar governmental health authorities across the world, may impact the ability of new products and services from being developed or commercialized in a timely manner. Regulations and requirements vary among jurisdictions, including in Japan and Europe. We have not obtained regulatory approval for any product candidate, and it is possible that our product candidates will never obtain regulatory approval.</w:t>
      </w:r>
    </w:p>
    <w:p>
      <w:pPr>
        <w:pStyle w:val="TextBody"/>
        <w:bidi w:val="0"/>
        <w:spacing w:before="240" w:after="283"/>
        <w:jc w:val="left"/>
        <w:rPr>
          <w:rFonts w:ascii="Arial" w:hAnsi="Arial"/>
          <w:color w:val="000000"/>
          <w:sz w:val="20"/>
        </w:rPr>
      </w:pPr>
      <w:r>
        <w:rPr>
          <w:rFonts w:ascii="Arial" w:hAnsi="Arial"/>
          <w:color w:val="000000"/>
          <w:sz w:val="20"/>
        </w:rPr>
        <w:t>We have not sought or obtained regulatory approval for any product candidate, and it is possible that any product candidates we may seek to develop will never obtain regulatory approval. In order to obtain approval to commercialize a product candidate in the U.S. or abroad, we or our collaborators must demonstrate to the satisfaction of the FDA or foreign regulatory agencies, that such product candidates are safe and effective for their intended uses. Results from nonclinical studies and clinical trials can be interpreted in different ways. Even if we believe that the nonclinical or clinical data for a product candidate is promising, such data may not be sufficient to support approval by the FDA and other regulatory authorities. The FDA may also require us to conduct additional nonclinical studies or clinical trials for product candidates either prior to or post-approval, and it may otherwise object to elements of our clinical development program.</w:t>
      </w:r>
    </w:p>
    <w:p>
      <w:pPr>
        <w:pStyle w:val="TextBody"/>
        <w:bidi w:val="0"/>
        <w:spacing w:before="240" w:after="283"/>
        <w:jc w:val="left"/>
        <w:rPr>
          <w:rFonts w:ascii="Arial" w:hAnsi="Arial"/>
          <w:color w:val="000000"/>
          <w:sz w:val="20"/>
        </w:rPr>
      </w:pPr>
      <w:r>
        <w:rPr>
          <w:rFonts w:ascii="Arial" w:hAnsi="Arial"/>
          <w:color w:val="000000"/>
          <w:sz w:val="20"/>
        </w:rPr>
        <w:t>The FDA or any foreign regulatory bodies can delay, limit or deny approval of our product candidates or require us to conduct additional nonclinical or clinical testing or abandon a program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disagreement with the design, endpoint selection,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negative or ambiguous results from our clinical trials or results that may not meet the level of statistical significance required by the FDA or comparable foreign regulatory agencies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serious and unexpected drug-related side effects experienced by participants in our clinical trials or by individuals using drugs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population studied may not be sufficiently broad or representative to assure safety in the full populations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demonstrate to the satisfaction of the FDA or the applicable foreign regulatory body that our product candidates are safe and effective for the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disagreement with the interpretation of data from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demonstrate the clinical and other benefits of our product candidates outweigh any safety or other perceived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requirements for additional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disagreement regarding the formulation, labeling, and/or the specifications we propose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approval may be granted only for indications that are significantly more limited than those sought by us, and/or may include significant restrictions on distribution and use;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deficiencies in the manufacturing processes or facilities of the third-party manufacturers with which we contract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refusals by regulators to accept a submission due to, among other reasons, the content or formatting of the submission;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policies, requirements, or regulations rendering our clinical data insufficient for approval.</w:t>
      </w:r>
    </w:p>
    <w:p>
      <w:pPr>
        <w:pStyle w:val="TextBody"/>
        <w:bidi w:val="0"/>
        <w:spacing w:before="240" w:after="283"/>
        <w:jc w:val="left"/>
        <w:rPr>
          <w:rFonts w:ascii="Arial" w:hAnsi="Arial"/>
          <w:color w:val="000000"/>
          <w:sz w:val="20"/>
        </w:rPr>
      </w:pPr>
      <w:r>
        <w:rPr>
          <w:rFonts w:ascii="Arial" w:hAnsi="Arial"/>
          <w:color w:val="000000"/>
          <w:sz w:val="20"/>
        </w:rPr>
        <w:t>Of the large number of drugs in development, only a small percentage complete the FDA or foreign regulatory approval processes and are successfully commercialized. The lengthy review process as well as the unpredictability of future clinical trial results may result in our failing to obtain regulatory approval, which would significantly harm our business, financial condition, results of operations and growth prospects.</w:t>
      </w:r>
    </w:p>
    <w:p>
      <w:pPr>
        <w:pStyle w:val="TextBody"/>
        <w:bidi w:val="0"/>
        <w:spacing w:before="240" w:after="283"/>
        <w:jc w:val="left"/>
        <w:rPr>
          <w:rFonts w:ascii="Arial" w:hAnsi="Arial"/>
          <w:color w:val="000000"/>
          <w:sz w:val="20"/>
        </w:rPr>
      </w:pPr>
      <w:r>
        <w:rPr>
          <w:rFonts w:ascii="Arial" w:hAnsi="Arial"/>
          <w:color w:val="000000"/>
          <w:sz w:val="20"/>
        </w:rPr>
        <w:t>Even if we eventually receive approval of an NDA or foreign marketing application for our product candidates, the FDA, or the applicable foreign regulatory agency may grant approval contingent on the performance of costly additional clinical trials, often referred to as Phase 4 clinical trials, and the FDA may require the implementation of a REMS, which may be required to ensure safe use of the drug after approval. The FDA or the applicable foreign regulatory agency also may approve a product candidate for a more limited indication or patient population than we originally requested, and the FDA or applicable foreign regulatory agency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materially adversely impact our business and prospects.</w:t>
      </w:r>
    </w:p>
    <w:p>
      <w:pPr>
        <w:pStyle w:val="TextBody"/>
        <w:bidi w:val="0"/>
        <w:spacing w:before="360" w:after="283"/>
        <w:jc w:val="left"/>
        <w:rPr>
          <w:rFonts w:ascii="Arial" w:hAnsi="Arial"/>
          <w:b/>
          <w:i/>
          <w:color w:val="000000"/>
          <w:sz w:val="20"/>
        </w:rPr>
      </w:pPr>
      <w:r>
        <w:rPr>
          <w:rFonts w:ascii="Arial" w:hAnsi="Arial"/>
          <w:b/>
          <w:i/>
          <w:color w:val="000000"/>
          <w:sz w:val="20"/>
        </w:rPr>
        <w:t>Disruptions at the FDA and other government agencies caused by funding shortages, staffing limitations, or global health concerns could hinder their ability to hire, retain or deploy key leadership and other personnel, prevent new or modified products from being developed, reviewed, approved or commercialized in a timely manner or at all, which could negatively impact our business.</w:t>
      </w:r>
    </w:p>
    <w:p>
      <w:pPr>
        <w:pStyle w:val="TextBody"/>
        <w:bidi w:val="0"/>
        <w:spacing w:before="120" w:after="283"/>
        <w:jc w:val="left"/>
        <w:rPr>
          <w:rFonts w:ascii="Times New Roman" w:hAnsi="Times New Roman"/>
          <w:sz w:val="20"/>
        </w:rPr>
      </w:pPr>
      <w:r>
        <w:rPr>
          <w:rFonts w:ascii="Arial" w:hAnsi="Arial"/>
          <w:color w:val="000000"/>
          <w:sz w:val="20"/>
        </w:rPr>
        <w:t>The ability of the FDA and foreign regulatory authorities to review and approve new products can be affected by a variety of factors, including the transition to a new administration and transitions with the current administration,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certain Executive Orders directed towards reducing the employee headcount and costs associated with U.S. administrative agencies, including the FDA, and it remains unclear the degree to which these efforts may limit or otherwise adversely affect the FDA’s ability to conduct routine operations.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Separately, in response to the COVID-19 pandemic, the FDA postponed most inspections at domestic and foreign manufacturing facilities at various points. 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may not be able to obtain or maintain orphan drug designations for any product candidates, and we may be unable to take advantage of the benefits associated with orphan drug designation, including the potential for market exclusivity.</w:t>
      </w:r>
    </w:p>
    <w:p>
      <w:pPr>
        <w:pStyle w:val="TextBody"/>
        <w:bidi w:val="0"/>
        <w:spacing w:before="120" w:after="283"/>
        <w:jc w:val="left"/>
        <w:rPr>
          <w:rFonts w:ascii="Arial" w:hAnsi="Arial"/>
          <w:color w:val="000000"/>
          <w:sz w:val="20"/>
        </w:rPr>
      </w:pPr>
      <w:r>
        <w:rPr>
          <w:rFonts w:ascii="Arial" w:hAnsi="Arial"/>
          <w:color w:val="000000"/>
          <w:sz w:val="20"/>
        </w:rPr>
        <w:t>Regulatory authorities in some jurisdictions, including the U.S., may designate drugs for relatively small patient populations as orphan drugs. Under the Orphan Drug Act of 1983, the FDA may designate a product as an orphan product if it is intended to treat a rare disease or condition, which is generally defined as a diagnosed patient population of fewer than 200,000 individuals in the U.S., or a patient population of greater than 200,000 individuals in the U.S., but for which there is no reasonable expectation that the cost of developing the drug will be recovered from sales in the U.S. Similar laws exist in Europe and Japan. The European Commission may grant a product orphan medicinal product designation if the product is intended for the treatment, prevention or diagnosis of a life-threatening or very serious condition, with a prevalence in the European Union of not more than five in 10,000 people, and where either no satisfactory method of diagnosis, prevention or treatment of the condition in question exists, or if such method exists that the medicinal product will be of significant benefit to those affected by that condition.</w:t>
      </w:r>
    </w:p>
    <w:p>
      <w:pPr>
        <w:pStyle w:val="TextBody"/>
        <w:bidi w:val="0"/>
        <w:spacing w:before="240" w:after="283"/>
        <w:jc w:val="left"/>
        <w:rPr>
          <w:rFonts w:ascii="Arial" w:hAnsi="Arial"/>
          <w:color w:val="000000"/>
          <w:sz w:val="20"/>
        </w:rPr>
      </w:pPr>
      <w:r>
        <w:rPr>
          <w:rFonts w:ascii="Arial" w:hAnsi="Arial"/>
          <w:color w:val="000000"/>
          <w:sz w:val="20"/>
        </w:rPr>
        <w:t>As part of our business strategy, we intend to seek orphan drug designation, where applicable, from the FDA and orphan medicinal product designation from the European Commission; however, we may not be able to obtain or maintain this status for our product candidates. There can be no assurance that any regulatory authority will grant any orphan drug designations.</w:t>
      </w:r>
    </w:p>
    <w:p>
      <w:pPr>
        <w:pStyle w:val="TextBody"/>
        <w:bidi w:val="0"/>
        <w:spacing w:before="240" w:after="283"/>
        <w:jc w:val="left"/>
        <w:rPr>
          <w:rFonts w:ascii="Arial" w:hAnsi="Arial"/>
          <w:color w:val="000000"/>
          <w:sz w:val="20"/>
        </w:rPr>
      </w:pPr>
      <w:r>
        <w:rPr>
          <w:rFonts w:ascii="Arial" w:hAnsi="Arial"/>
          <w:color w:val="000000"/>
          <w:sz w:val="20"/>
        </w:rPr>
        <w:t>In the U.S., orphan designation entitles a party to financial incentives such as opportunities for grant funding towards clinical trial costs, tax advantages, and user-fee waivers. In addition, if a product candidate that has orphan drug designation subsequently receives the first FDA approval for the rare disease or condition for which it has such designation, it is entitled to orphan drug exclusivity, which means that the FDA may not approve any other applications, including an NDA, to market the same drug for the same approved use or indication within the relevant rare disease or condition for seven years, except in limited circumstances, such as a showing of clinical superiority to the product with orphan drug exclusivity within the relevant approved use or indication or where the manufacturer is unable to assure sufficient product quantity.</w:t>
      </w:r>
    </w:p>
    <w:p>
      <w:pPr>
        <w:pStyle w:val="TextBody"/>
        <w:bidi w:val="0"/>
        <w:spacing w:before="240" w:after="283"/>
        <w:jc w:val="left"/>
        <w:rPr>
          <w:rFonts w:ascii="Arial" w:hAnsi="Arial"/>
          <w:color w:val="000000"/>
          <w:sz w:val="20"/>
        </w:rPr>
      </w:pPr>
      <w:r>
        <w:rPr>
          <w:rFonts w:ascii="Arial" w:hAnsi="Arial"/>
          <w:color w:val="000000"/>
          <w:sz w:val="20"/>
        </w:rPr>
        <w:t>More than one product may be approved by the FDA for the same use or indication within the orphan disease or condition, as long as the products are different drugs, as determined by the FDA. As a result, if any of our product candidates is approved by the FDA and receives orphan drug exclusivity, absent other applicable exclusivities, the FDA can still approve other drugs for use in treating the same indication or use within the applicable rare disease or condition, which could create a more competitive market for us. The failure to successfully obtain orphan drug exclusivity would adversely affect our business.</w:t>
      </w:r>
    </w:p>
    <w:p>
      <w:pPr>
        <w:pStyle w:val="TextBody"/>
        <w:bidi w:val="0"/>
        <w:spacing w:before="240" w:after="283"/>
        <w:jc w:val="left"/>
        <w:rPr>
          <w:rFonts w:ascii="Times New Roman" w:hAnsi="Times New Roman"/>
          <w:sz w:val="20"/>
        </w:rPr>
      </w:pPr>
      <w:r>
        <w:rPr>
          <w:rFonts w:ascii="Arial" w:hAnsi="Arial"/>
          <w:color w:val="000000"/>
          <w:sz w:val="20"/>
        </w:rPr>
        <w:t>Even if we obtain orphan drug exclusivity for a product, that exclusivity may not effectively protect the product from competition because different drugs can be approved for the same use or indication within the same rare disease or condition. Even after an orphan drug is approved, the FDA or comparable foreign regulatory authority can subsequently approve the same drug for the same use or indication within the relevant rare disease or condition if such regulatory authority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We may attempt to seek accelerated approval in the U.S. for certain of our product candidates. If we are not able to use that pathway, we may be required to conduct additional clinical trials beyond those that are contemplated, which would increase the expense of obtaining, and delay the receipt of, necessary regulatory approvals, if we receive them at all. In addition, even if an accelerated approval pathway is available to us, it may not lead to expedited approval of our product candidates, or approval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Under the FDCA and implementing regulations, the FDA may grant accelerated approval to a product candidate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measurement of a therapeutic effect that is considered reasonably likely to predict the clinical benefit of a drug.</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clinical benefit. If such post-approval studies fail to confirm the drug’s clinical benefit or are not completed in a timely manner, the FDA may withdraw its approval of the drug on an expedited basis. In addition, the Food and Drug Omnibus Reform Act of 2022, provided the FDA additional statutory authority to mitigate potential risks to patients from continued marketing of ineffective drugs previously granted accelerated approval. Under these provisions, the FDA may require a sponsor of a product seeking accelerated approval to, among other things, have a confirmatory trial underway prior to such approval being granted.</w:t>
      </w:r>
    </w:p>
    <w:p>
      <w:pPr>
        <w:pStyle w:val="TextBody"/>
        <w:bidi w:val="0"/>
        <w:spacing w:before="240" w:after="283"/>
        <w:jc w:val="left"/>
        <w:rPr>
          <w:rFonts w:ascii="Arial" w:hAnsi="Arial"/>
          <w:color w:val="000000"/>
          <w:sz w:val="20"/>
        </w:rPr>
      </w:pPr>
      <w:r>
        <w:rPr>
          <w:rFonts w:ascii="Arial" w:hAnsi="Arial"/>
          <w:color w:val="000000"/>
          <w:sz w:val="20"/>
        </w:rPr>
        <w:t>Prior to seeking accelerated approval for any of our product candidates we intend to seek feedback from the FDA or will otherwise evaluate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Failure to obtain regulatory approval in foreign jurisdictions would prevent our product candidates from being marketed in these territories. Any approval we are granted for our product candidates in the U.S. would not assure approval of such product candidates in foreign jurisdictions.</w:t>
      </w:r>
    </w:p>
    <w:p>
      <w:pPr>
        <w:pStyle w:val="TextBody"/>
        <w:bidi w:val="0"/>
        <w:spacing w:before="120" w:after="283"/>
        <w:jc w:val="left"/>
        <w:rPr>
          <w:rFonts w:ascii="Arial" w:hAnsi="Arial"/>
          <w:color w:val="000000"/>
          <w:sz w:val="20"/>
        </w:rPr>
      </w:pPr>
      <w:r>
        <w:rPr>
          <w:rFonts w:ascii="Arial" w:hAnsi="Arial"/>
          <w:color w:val="000000"/>
          <w:sz w:val="20"/>
        </w:rPr>
        <w:t>In order to market and sell our product candidates in Japan, the European Union, United Kingdom, other areas of Asia, Australia, and any other jurisdictions, we must obtain separate regulatory approvals and comply with numerous and varying regulatory requirements. The approval procedure varies among countries and can involve additional testing. The time required to obtain approval may differ substantially from that required to obtain approval from the FDA. The regulatory approval process outside the U.S. generally includes all of the risks associated with obtaining approval from the FDA. In addition, in many countries outside the U.S., it is required that the product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data from clinical studies approved by the FDA may not be accepted by foreign regulatory agencies, and approval by one regulatory authority outside the U.S. does not ensure approval by regulatory authorities in other countries or jurisdictions or by the FDA. However, failure to obtain approval in one jurisdiction may impact our ability to obtain approval elsewhere. We may not be able to file for marketing authorization and may not receive necessary approvals to commercialize our product candidates in any market.</w:t>
      </w:r>
    </w:p>
    <w:p>
      <w:pPr>
        <w:pStyle w:val="TextBody"/>
        <w:bidi w:val="0"/>
        <w:spacing w:before="360" w:after="283"/>
        <w:jc w:val="left"/>
        <w:rPr>
          <w:rFonts w:ascii="Arial" w:hAnsi="Arial"/>
          <w:b/>
          <w:i/>
          <w:color w:val="000000"/>
          <w:sz w:val="20"/>
        </w:rPr>
      </w:pPr>
      <w:r>
        <w:rPr>
          <w:rFonts w:ascii="Arial" w:hAnsi="Arial"/>
          <w:b/>
          <w:i/>
          <w:color w:val="000000"/>
          <w:sz w:val="20"/>
        </w:rPr>
        <w:t>Even if we obtain regulatory approvals for our product candidates, the terms of approvals and ongoing regulation of such product candidates may limit how we manufacture and market the product candidates and compliance with such requirements may involve substantial resources, which could materially impair our ability to generate revenue.</w:t>
      </w:r>
    </w:p>
    <w:p>
      <w:pPr>
        <w:pStyle w:val="TextBody"/>
        <w:bidi w:val="0"/>
        <w:spacing w:before="120" w:after="283"/>
        <w:jc w:val="left"/>
        <w:rPr>
          <w:rFonts w:ascii="Arial" w:hAnsi="Arial"/>
          <w:color w:val="000000"/>
          <w:sz w:val="20"/>
        </w:rPr>
      </w:pPr>
      <w:r>
        <w:rPr>
          <w:rFonts w:ascii="Arial" w:hAnsi="Arial"/>
          <w:color w:val="000000"/>
          <w:sz w:val="20"/>
        </w:rPr>
        <w:t>Even if regulatory approval of any of our product candidates is granted, an approved product and its manufacturer and marketer are subject to ongoing review and extensive regulation, including with respect to the manufacturing processes, labeling, packaging, distribution, adverse event reporting, storage, advertising, promotion, import, export and recordkeeping for the product. These requirements include submissions of safety and other post-marketing information and reports, registration, as well as ongoing compliance with cGMPs and GCPs for any clinical trials, In addition, manufacturers of approved products and those manufacturers’ facilities are required to comply with extensive FDA requirements including ensuring that quality control and manufacturing procedures conform to cGMP,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w:t>
      </w:r>
    </w:p>
    <w:p>
      <w:pPr>
        <w:pStyle w:val="TextBody"/>
        <w:bidi w:val="0"/>
        <w:spacing w:before="240" w:after="283"/>
        <w:jc w:val="left"/>
        <w:rPr>
          <w:rFonts w:ascii="Arial" w:hAnsi="Arial"/>
          <w:color w:val="000000"/>
          <w:sz w:val="20"/>
        </w:rPr>
      </w:pPr>
      <w:r>
        <w:rPr>
          <w:rFonts w:ascii="Arial" w:hAnsi="Arial"/>
          <w:color w:val="000000"/>
          <w:sz w:val="20"/>
        </w:rPr>
        <w:t>Accordingly, assuming we receive regulatory approval for one or more product candidates, we and our contract manufacturers will continue to expend time, money, and effort in all areas of regulatory compliance.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the FDA and other comparable foreign regulatory requirements may subject our company to administrative or judicially imposed sanctions,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the marketing or manufacturing of our products,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fines, restitutions, disgorgement of profits or revenues, warning letters,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refusal by the FDA to approve pending applications or supplements to approved applications submitted,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seizures or detentions, or refusal to permit the import or export of our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injunctions or the imposition of civil or criminal penalties.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before="240" w:after="283"/>
        <w:jc w:val="left"/>
        <w:rPr>
          <w:rFonts w:ascii="Arial" w:hAnsi="Arial"/>
          <w:color w:val="000000"/>
          <w:sz w:val="20"/>
        </w:rPr>
      </w:pPr>
      <w:r>
        <w:rPr>
          <w:rFonts w:ascii="Arial" w:hAnsi="Arial"/>
          <w:color w:val="000000"/>
          <w:sz w:val="20"/>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283"/>
        <w:jc w:val="left"/>
        <w:rPr>
          <w:rFonts w:ascii="Arial" w:hAnsi="Arial"/>
          <w:b/>
          <w:i/>
          <w:color w:val="000000"/>
          <w:sz w:val="20"/>
        </w:rPr>
      </w:pPr>
      <w:r>
        <w:rPr>
          <w:rFonts w:ascii="Arial" w:hAnsi="Arial"/>
          <w:b/>
          <w:i/>
          <w:color w:val="000000"/>
          <w:sz w:val="20"/>
        </w:rPr>
        <w:t>The FDA and other regulatory agencies actively enforce the laws and regulations prohibiting the promotion of off-label uses.</w:t>
      </w:r>
    </w:p>
    <w:p>
      <w:pPr>
        <w:pStyle w:val="TextBody"/>
        <w:bidi w:val="0"/>
        <w:spacing w:before="120" w:after="283"/>
        <w:jc w:val="left"/>
        <w:rPr>
          <w:rFonts w:ascii="Times New Roman" w:hAnsi="Times New Roman"/>
          <w:sz w:val="20"/>
        </w:rPr>
      </w:pPr>
      <w:r>
        <w:rPr>
          <w:rFonts w:ascii="Arial" w:hAnsi="Arial"/>
          <w:color w:val="000000"/>
          <w:sz w:val="20"/>
        </w:rPr>
        <w:t>The FDA and other regulatory authorities strictly regulates marketing, labeling, advertising and promotion of prescription drugs. These regulations include standards and restrictions for direct-to-consumer advertising, industry-sponsored scientific and educational activities, and promotional activities involving the internet and off-label promotion. For example, any regulatory approval that the FDA grants is limited to those specific diseases and indications for which a product is deemed to be safe and effective by the FDA. While physicians in the U.S.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employees, independent contractors, principal investigators, CROs, consultants, commercial partners, and vendors may engage in misconduct or other improper activities, including non-compliance with regulatory standards and requirements.</w:t>
      </w:r>
    </w:p>
    <w:p>
      <w:pPr>
        <w:pStyle w:val="TextBody"/>
        <w:bidi w:val="0"/>
        <w:spacing w:before="120" w:after="283"/>
        <w:jc w:val="left"/>
        <w:rPr>
          <w:rFonts w:ascii="Arial" w:hAnsi="Arial"/>
          <w:color w:val="000000"/>
          <w:sz w:val="20"/>
        </w:rPr>
      </w:pPr>
      <w:r>
        <w:rPr>
          <w:rFonts w:ascii="Arial" w:hAnsi="Arial"/>
          <w:color w:val="000000"/>
          <w:sz w:val="20"/>
        </w:rPr>
        <w:t>We are exposed to the risk of employee fraud or other misconduct or failure to comply with applicable regulatory requirements. Misconduct, errors, or omissions by employees and independent contractors, such as principal investigators, CROs, consultants, commercial partners, and vendors, could include failures to comply with regulations of the FDA and other comparable regulatory authorities, to provide accurate information to such regulators, to comply with manufacturing standards we have established, to comply with healthcare fraud and abuse laws, to report financial information or data accurately, to disclose unauthorized activities to us, or to comply with requirements of government contracts (e.g., the NIAID contract).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w:t>
      </w:r>
    </w:p>
    <w:p>
      <w:pPr>
        <w:pStyle w:val="TextBody"/>
        <w:bidi w:val="0"/>
        <w:spacing w:before="360" w:after="283"/>
        <w:jc w:val="left"/>
        <w:rPr>
          <w:rFonts w:ascii="Arial" w:hAnsi="Arial"/>
          <w:b/>
          <w:i/>
          <w:color w:val="000000"/>
          <w:sz w:val="20"/>
        </w:rPr>
      </w:pPr>
      <w:r>
        <w:rPr>
          <w:rFonts w:ascii="Arial" w:hAnsi="Arial"/>
          <w:b/>
          <w:i/>
          <w:color w:val="000000"/>
          <w:sz w:val="20"/>
        </w:rPr>
        <w:t>If we successfully commercialize any of our product candidates, failure to comply with our reporting and payment obligations under U.S. governmental pricing programs could have a material adverse effect on our business, financial condition, results of operations and growth prospects.</w:t>
      </w:r>
    </w:p>
    <w:p>
      <w:pPr>
        <w:pStyle w:val="TextBody"/>
        <w:bidi w:val="0"/>
        <w:spacing w:before="120" w:after="283"/>
        <w:jc w:val="left"/>
        <w:rPr>
          <w:rFonts w:ascii="Arial" w:hAnsi="Arial"/>
          <w:color w:val="000000"/>
          <w:sz w:val="20"/>
        </w:rPr>
      </w:pPr>
      <w:r>
        <w:rPr>
          <w:rFonts w:ascii="Arial" w:hAnsi="Arial"/>
          <w:color w:val="000000"/>
          <w:sz w:val="20"/>
        </w:rPr>
        <w:t>If we participate in the Medicaid Drug Rebate Program and/or Medicare Part D, if and when we successfully commercialize a product candidate, we will be required to report certain pricing information for such product candidate to the Centers for Medicare &amp; Medicaid Services, the federal agency that administers the Medicaid and Medicare programs. We may also be required to report pricing information to the U.S. Department of Veterans Affairs. If we become subject to these reporting requirements, we will be liable for errors associated with our submission of pricing data, for failure to report pricing data in a timely manner, and for overcharging government payers, which can result in civil monetary penalties under the Medicaid statute, the federal civil False Claims Act, and other laws and regulations.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current and future relationships with healthcare professionals, principal investigators, consultants, customers, and third-party payors in the U.S. and elsewhere may be subject, directly or indirectly, to applicable anti-kickback, fraud and abuse, false claims, physician payment transparency and other healthcare laws and regulations, which could expose us to penalties.</w:t>
      </w:r>
    </w:p>
    <w:p>
      <w:pPr>
        <w:pStyle w:val="TextBody"/>
        <w:bidi w:val="0"/>
        <w:spacing w:before="120" w:after="283"/>
        <w:jc w:val="left"/>
        <w:rPr>
          <w:rFonts w:ascii="Arial" w:hAnsi="Arial"/>
          <w:color w:val="000000"/>
          <w:sz w:val="20"/>
        </w:rPr>
      </w:pPr>
      <w:r>
        <w:rPr>
          <w:rFonts w:ascii="Arial" w:hAnsi="Arial"/>
          <w:color w:val="000000"/>
          <w:sz w:val="20"/>
        </w:rPr>
        <w:t>Healthcare providers, physicians, and third-party payors in the U.S. and elsewhere will play a primary role in the recommendation and prescription of any product candidates for which we obtain regulatory approval. Our current and future arrangements with healthcare professionals, principal investigators, consultants, customers, and third-party payors may expose us to broadly applicable fraud and abuse and other healthcare laws that may constrain the business or financial arrangements and relationships through which we research, sell, market, and distribute any product candidates for which we obtain regulatory approval. In addition, we may be subject to physician payment transparency laws and regulations by the federal government and by the states and foreign jurisdictions in which we conduct our business. The applicable federal, state, and foreign healthcare laws that may affect our ability to operate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 order, or the arranging for or recommending the purchase, lease or order of any good, facility, item or service, for which payment may be made, in whole or in part, under federal and state healthcare programs such as Medicare and Medicaid. A person or entity does not need to have actual knowledge of the federal Anti- Kickback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federal civil and criminal false claims laws, including the federal False Claims Act, which impose criminal and civil penalties, including through civil whistleblower or qui tam actions, against individuals or entities for, among other things, knowingly presenting, or causing to be presented, to the federal government, including the Medicare and Medicaid programs, claims for payment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Physician Payments Sunshine Act, which requires manufacturers of certain drugs, devices, biologicals, and medical supplies for which payment is available under Medicare, Medicaid or the Children’s Health Insurance Program (with certain exceptions) to report annually to the Centers for Medicare &amp; Medicaid Services (“CMS”) information related to payments and “transfers of value” provided to physicians (defined to include doctors, dentists, optometrists, podiatrists, and chiropractors), certain other healthcare providers (such as nurse practitioners and physicians assistants) and teaching hospitals, as well as ownership and investment interests held by physicians and their immediate family members; 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local laws requiring the licensure of pharmaceutical sales representatives.</w:t>
      </w:r>
    </w:p>
    <w:p>
      <w:pPr>
        <w:pStyle w:val="TextBody"/>
        <w:bidi w:val="0"/>
        <w:spacing w:before="240" w:after="283"/>
        <w:jc w:val="left"/>
        <w:rPr>
          <w:rFonts w:ascii="Arial" w:hAnsi="Arial"/>
          <w:color w:val="000000"/>
          <w:sz w:val="20"/>
        </w:rPr>
      </w:pPr>
      <w:r>
        <w:rPr>
          <w:rFonts w:ascii="Arial" w:hAnsi="Arial"/>
          <w:color w:val="000000"/>
          <w:sz w:val="20"/>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criminal, civil, or administrative sanctions, including exclusions from participation in government healthcare programs, which could also affect our business.</w:t>
      </w:r>
    </w:p>
    <w:p>
      <w:pPr>
        <w:pStyle w:val="TextBody"/>
        <w:bidi w:val="0"/>
        <w:spacing w:before="360" w:after="283"/>
        <w:jc w:val="left"/>
        <w:rPr>
          <w:rFonts w:ascii="Arial" w:hAnsi="Arial"/>
          <w:b/>
          <w:i/>
          <w:color w:val="000000"/>
          <w:sz w:val="20"/>
        </w:rPr>
      </w:pPr>
      <w:r>
        <w:rPr>
          <w:rFonts w:ascii="Arial" w:hAnsi="Arial"/>
          <w:b/>
          <w:i/>
          <w:color w:val="000000"/>
          <w:sz w:val="20"/>
        </w:rPr>
        <w:t>Changes in healthcare policies, laws, and regulations may impact our ability to obtain approval for, or commercialize our product candidates, if approved.</w:t>
      </w:r>
    </w:p>
    <w:p>
      <w:pPr>
        <w:pStyle w:val="TextBody"/>
        <w:bidi w:val="0"/>
        <w:spacing w:before="120" w:after="283"/>
        <w:jc w:val="left"/>
        <w:rPr>
          <w:rFonts w:ascii="Times New Roman" w:hAnsi="Times New Roman"/>
          <w:sz w:val="20"/>
        </w:rPr>
      </w:pPr>
      <w:r>
        <w:rPr>
          <w:rFonts w:ascii="Arial" w:hAnsi="Arial"/>
          <w:color w:val="000000"/>
          <w:sz w:val="20"/>
        </w:rPr>
        <w:t>In the U.S. and some foreign jurisdictions there have been, and continue to be, several legislative and regulatory changes and proposed reforms of the healthcare system in an effort to contain costs, improve quality, and expand access to care.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the U.S., there have been and continue to be a number of healthcare-related legislative initiatives, as well as executive, judicial, and Congressional challenges to existing healthcare laws that have significantly affected, and could continue to significantly affect, the healthcare industry. For example, on June 17, 2021, the U.S. Supreme Court dismissed a challenge on procedural grounds that argued the Patient Protection and Affordable Care Act, as amended by the Health Care and Education Reconciliation Act of 2010 (the “ACA”), is unconstitutional in its entirety because the “individual mandate” was repealed by Congress. On August 16, 2022, the Inflation Reduction Act of 2022 (the “IRA”) was signed into law, which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creating a new manufacturer discount program.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IRA, among other things (i) directs the U.S. Department of Health and Human Services (“HHS”) to negotiate the price of certain high-expenditure, single-source drugs and biologics covered under Medicare and (ii) imposes rebates under Medicare Part B and Medicare Part D to penalize price increases that outpace inflation. These provisions took effect progressively starting in fiscal year 2023. CMS published the negotiated prices for the initial ten drugs, which went into effect in 2026, and the subsequent 15 drugs, which will first be effective in 2027, as well as the next set of 15 drugs that will be subject to negotiation,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July 2025, the One Big Beautiful Bill Act (the “OBBBA”) was enacted and imposes significant reductions in the funding of the Medicaid program. Such reductions are expected to decrease the number of persons enrolled in Medicaid and reduce the services covered by Medicaid, which could adversely affect the sales of any product candidate that we may commercialize.</w:t>
      </w:r>
    </w:p>
    <w:p>
      <w:pPr>
        <w:pStyle w:val="TextBody"/>
        <w:bidi w:val="0"/>
        <w:spacing w:before="240" w:after="283"/>
        <w:jc w:val="left"/>
        <w:rPr>
          <w:rFonts w:ascii="Arial" w:hAnsi="Arial"/>
          <w:color w:val="000000"/>
          <w:sz w:val="20"/>
        </w:rPr>
      </w:pPr>
      <w:r>
        <w:rPr>
          <w:rFonts w:ascii="Arial" w:hAnsi="Arial"/>
          <w:color w:val="000000"/>
          <w:sz w:val="20"/>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threatened to impose significant tariffs on pharmaceutical manufacturers that do not adopt pricing policies such as most favored nation pricing, which would tie the price for drugs in the U.S. to the lowest price in a group of other countries. In response, multiple manufacturers entered into confidential pricing agreements with the federal government. Subsequently,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pStyle w:val="TextBody"/>
        <w:bidi w:val="0"/>
        <w:spacing w:before="240" w:after="283"/>
        <w:jc w:val="left"/>
        <w:rPr>
          <w:rFonts w:ascii="Arial" w:hAnsi="Arial"/>
          <w:color w:val="000000"/>
          <w:sz w:val="20"/>
        </w:rPr>
      </w:pPr>
      <w:r>
        <w:rPr>
          <w:rFonts w:ascii="Arial" w:hAnsi="Arial"/>
          <w:color w:val="000000"/>
          <w:sz w:val="20"/>
        </w:rPr>
        <w:t>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240" w:after="283"/>
        <w:jc w:val="left"/>
        <w:rPr>
          <w:rFonts w:ascii="Arial" w:hAnsi="Arial"/>
          <w:color w:val="000000"/>
          <w:sz w:val="20"/>
        </w:rPr>
      </w:pPr>
      <w:r>
        <w:rPr>
          <w:rFonts w:ascii="Arial" w:hAnsi="Arial"/>
          <w:color w:val="000000"/>
          <w:sz w:val="20"/>
        </w:rPr>
        <w:t>At the state level, legislatures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Outside of the U.S., particularly in the European Union, the pricing of prescription pharmaceuticals is subject to governmental control. In these countries, pricing negotiations with governmental authorities can take considerable time after the receipt of regulatory approval for a product. To obtain coverage and reimbursement or pricing approval in some countries, we may be required to conduct a clinical trial that compares the cost-effectiveness of our product candidates to other available therapies. If reimbursement of our product candidates is unavailable or limited in scope or amount, or if pricing is set at unsatisfactory levels, our business could be harmed.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are subject to privacy and data security laws, rules, regulations, policies, industry standards, and contractual obligations, and our failure to comply with them could harm our business.</w:t>
      </w:r>
    </w:p>
    <w:p>
      <w:pPr>
        <w:pStyle w:val="TextBody"/>
        <w:bidi w:val="0"/>
        <w:spacing w:before="120" w:after="283"/>
        <w:jc w:val="left"/>
        <w:rPr>
          <w:rFonts w:ascii="Arial" w:hAnsi="Arial"/>
          <w:color w:val="000000"/>
          <w:sz w:val="20"/>
        </w:rPr>
      </w:pPr>
      <w:r>
        <w:rPr>
          <w:rFonts w:ascii="Arial" w:hAnsi="Arial"/>
          <w:color w:val="000000"/>
          <w:sz w:val="20"/>
        </w:rPr>
        <w:t>We maintain a large quantity of information, including confidential business information and information related to our employees and may maintain or have responsibility for the maintenance of personal information in connection with the conduct of our clinical trials. As such, we are subject to laws and regulations governing the privacy and security of such information. In the U.S., there are numerous federal and state privacy and data security laws and regulations governing the collection, use, disclosure, and protection of personal information that apply or could apply to our operations or the operations of our partners,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in particular in relation to health information, which may affect our business and is expected to increase our compliance costs and exposure to liability.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pStyle w:val="TextBody"/>
        <w:bidi w:val="0"/>
        <w:spacing w:before="240" w:after="283"/>
        <w:jc w:val="left"/>
        <w:rPr>
          <w:rFonts w:ascii="Arial" w:hAnsi="Arial"/>
          <w:color w:val="000000"/>
          <w:sz w:val="20"/>
        </w:rPr>
      </w:pPr>
      <w:r>
        <w:rPr>
          <w:rFonts w:ascii="Arial" w:hAnsi="Arial"/>
          <w:color w:val="000000"/>
          <w:sz w:val="20"/>
        </w:rPr>
        <w:t>Compliance with these and any other applicable privacy and data security laws, regulations and other requirements we may be subject to in the future is a rigorous and time-intensive process, and we may be required to put in place additional mechanisms ensuring compliance with such data protection rules. If we fail to comply with any such laws, regulations or other requirements, we may face significant fines and penalties that could adversely affect our business, financial condition, results of operations or growth prospects. Any failure or perceived failure by us or our third-party processors to comply with these data protection and privacy laws, regulations and requirements could result in significant government enforcement actions, which could include civil, criminal, and administrative penalties, orders requiring that we change our practices, claims for damages, and other liabilities, regulatory investigations and enforcement action, private litigation, significant costs (including in investigating and defending such claims, in remediation measures or changes to our operations), and adverse publicity, any of which could negatively affect our business, financial condition, results of operations and growth prospects. Furthermore, the laws are not consistent, and compliance in the event of a widespread data breach is costly. In addition, states are constantly adopting new laws or amending existing laws, requiring attention to frequently changing regulatory requirements.</w:t>
      </w:r>
    </w:p>
    <w:p>
      <w:pPr>
        <w:pStyle w:val="TextBody"/>
        <w:bidi w:val="0"/>
        <w:spacing w:before="240" w:after="283"/>
        <w:jc w:val="left"/>
        <w:rPr>
          <w:rFonts w:ascii="Arial" w:hAnsi="Arial"/>
          <w:color w:val="000000"/>
          <w:sz w:val="20"/>
        </w:rPr>
      </w:pPr>
      <w:r>
        <w:rPr>
          <w:rFonts w:ascii="Arial" w:hAnsi="Arial"/>
          <w:color w:val="000000"/>
          <w:sz w:val="20"/>
        </w:rPr>
        <w:t>With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rely on our CROs to ensure compliance with data-privacy regulations that may arise in our trials. Other than our website privacy policy,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and our business, financial condition, results of operations and growth prospects may be adversely affected.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Arial" w:hAnsi="Arial"/>
          <w:color w:val="000000"/>
          <w:sz w:val="20"/>
        </w:rPr>
      </w:pPr>
      <w:r>
        <w:rPr>
          <w:rFonts w:ascii="Arial" w:hAnsi="Arial"/>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w:t>
      </w:r>
    </w:p>
    <w:p>
      <w:pPr>
        <w:pStyle w:val="TextBody"/>
        <w:bidi w:val="0"/>
        <w:spacing w:before="240" w:after="283"/>
        <w:jc w:val="left"/>
        <w:rPr>
          <w:rFonts w:ascii="Arial" w:hAnsi="Arial"/>
          <w:color w:val="000000"/>
          <w:sz w:val="20"/>
        </w:rPr>
      </w:pPr>
      <w:r>
        <w:rPr>
          <w:rFonts w:ascii="Arial" w:hAnsi="Arial"/>
          <w:color w:val="000000"/>
          <w:sz w:val="20"/>
        </w:rPr>
        <w:t>We may engage third parties to sell any approved product candidates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left"/>
        <w:rPr>
          <w:rFonts w:ascii="Arial" w:hAnsi="Arial"/>
          <w:color w:val="000000"/>
          <w:sz w:val="20"/>
        </w:rPr>
      </w:pPr>
      <w:r>
        <w:rPr>
          <w:rFonts w:ascii="Arial" w:hAnsi="Arial"/>
          <w:color w:val="000000"/>
          <w:sz w:val="20"/>
        </w:rPr>
        <w:t>We are also subject to export control, import, and trade sanctions laws and regulations which may restrict or prohibit altogether the provision, sale, or supply of our product candidates to certain governments, persons, entities, countries, and territories, including those that are the target of comprehensive sanctions or an embargo. Additionally, new or increased tariffs and other changes in U.S. trade policy, including new sanctions, could trigger retaliatory actions by affected countries. Obtaining the necessary export license or other authorization for a particular transaction may be time-consuming and may result in the delay or loss of sales opportunities. Violations of U.S. export control, import, or sanctions laws and regulations can result in significant fines or penalties and possible incarceration for responsible employees and managers.</w:t>
      </w:r>
    </w:p>
    <w:p>
      <w:pPr>
        <w:pStyle w:val="TextBody"/>
        <w:bidi w:val="0"/>
        <w:spacing w:before="360" w:after="283"/>
        <w:jc w:val="left"/>
        <w:rPr>
          <w:rFonts w:ascii="Arial" w:hAnsi="Arial"/>
          <w:b/>
          <w:color w:val="000000"/>
          <w:sz w:val="20"/>
        </w:rPr>
      </w:pPr>
      <w:r>
        <w:rPr>
          <w:rFonts w:ascii="Arial" w:hAnsi="Arial"/>
          <w:b/>
          <w:color w:val="000000"/>
          <w:sz w:val="20"/>
        </w:rPr>
        <w:t>Risks Related to Ownership of Our Common Stock</w:t>
      </w:r>
    </w:p>
    <w:p>
      <w:pPr>
        <w:pStyle w:val="TextBody"/>
        <w:bidi w:val="0"/>
        <w:spacing w:before="120" w:after="283"/>
        <w:jc w:val="left"/>
        <w:rPr>
          <w:rFonts w:ascii="Arial" w:hAnsi="Arial"/>
          <w:b/>
          <w:i/>
          <w:color w:val="000000"/>
          <w:sz w:val="20"/>
        </w:rPr>
      </w:pPr>
      <w:r>
        <w:rPr>
          <w:rFonts w:ascii="Arial" w:hAnsi="Arial"/>
          <w:b/>
          <w:i/>
          <w:color w:val="000000"/>
          <w:sz w:val="20"/>
        </w:rPr>
        <w:t>Concentration of ownership of our common stock among our existing executive officers, directors, and principal stockholders may prevent new investors from influencing significant corporate decisions and matters submitted to stockholders for approval.</w:t>
      </w:r>
    </w:p>
    <w:p>
      <w:pPr>
        <w:pStyle w:val="TextBody"/>
        <w:bidi w:val="0"/>
        <w:spacing w:before="120" w:after="283"/>
        <w:jc w:val="left"/>
        <w:rPr>
          <w:rFonts w:ascii="Arial" w:hAnsi="Arial"/>
          <w:color w:val="000000"/>
          <w:sz w:val="20"/>
        </w:rPr>
      </w:pPr>
      <w:r>
        <w:rPr>
          <w:rFonts w:ascii="Arial" w:hAnsi="Arial"/>
          <w:color w:val="000000"/>
          <w:sz w:val="20"/>
        </w:rPr>
        <w:t>Our executive officers, directors, and current beneficial owners of 5% or more of our capital stock and their respective affiliates beneficially own, in the aggregate, a significant percentage of our outstanding common stock. As a result, these persons, acting together, would be able to significantly influence all matters requiring stockholder approval, including the election and removal of directors, any merger, consolidation, or sale of all or substantially all of our assets, or other significant corporate transactions. In addition, these persons, acting together, may have the ability to control the management and affairs of our company. Accordingly, this concentration of ownership may harm the market price of our common stock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delaying, deferring, or preventing a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entrenching our management and/or the board of directors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impeding a merger, consolidation, takeover, or other business combination involving us;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discouraging a potential acquirer from making a tender offer or otherwise attempting to obtain control of us.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addition, some of these persons or entities may have interests different than yours. For example, because certain of these stockholders purchased their shares at prices substantially below the price at which shares were sold in our IPO and recent financings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Arial" w:hAnsi="Arial"/>
          <w:b/>
          <w:i/>
          <w:color w:val="000000"/>
          <w:sz w:val="20"/>
        </w:rPr>
      </w:pPr>
      <w:r>
        <w:rPr>
          <w:rFonts w:ascii="Arial" w:hAnsi="Arial"/>
          <w:b/>
          <w:i/>
          <w:color w:val="000000"/>
          <w:sz w:val="20"/>
        </w:rPr>
        <w:t>A sale of a substantial number of shares of our common stock may cause the price of our common stock to decline.</w:t>
      </w:r>
    </w:p>
    <w:p>
      <w:pPr>
        <w:pStyle w:val="TextBody"/>
        <w:bidi w:val="0"/>
        <w:spacing w:before="120" w:after="283"/>
        <w:jc w:val="left"/>
        <w:rPr>
          <w:rFonts w:ascii="Arial" w:hAnsi="Arial"/>
          <w:color w:val="000000"/>
          <w:sz w:val="20"/>
        </w:rPr>
      </w:pPr>
      <w:r>
        <w:rPr>
          <w:rFonts w:ascii="Arial" w:hAnsi="Arial"/>
          <w:color w:val="000000"/>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pStyle w:val="TextBody"/>
        <w:bidi w:val="0"/>
        <w:spacing w:before="240" w:after="283"/>
        <w:jc w:val="left"/>
        <w:rPr>
          <w:rFonts w:ascii="Arial" w:hAnsi="Arial"/>
          <w:color w:val="000000"/>
          <w:sz w:val="20"/>
        </w:rPr>
      </w:pPr>
      <w:r>
        <w:rPr>
          <w:rFonts w:ascii="Arial" w:hAnsi="Arial"/>
          <w:color w:val="000000"/>
          <w:sz w:val="20"/>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of restricted stock units, or the perception that such sales may occur, could adversely affect the market price of our common stock.</w:t>
      </w:r>
    </w:p>
    <w:p>
      <w:pPr>
        <w:pStyle w:val="TextBody"/>
        <w:bidi w:val="0"/>
        <w:spacing w:before="240" w:after="283"/>
        <w:jc w:val="left"/>
        <w:rPr>
          <w:rFonts w:ascii="Arial" w:hAnsi="Arial"/>
          <w:color w:val="000000"/>
          <w:sz w:val="20"/>
        </w:rPr>
      </w:pPr>
      <w:r>
        <w:rPr>
          <w:rFonts w:ascii="Arial" w:hAnsi="Arial"/>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For example, in April 2026, we entered into an open market sale agreement with Jefferies, as sales agent, pursuant to which we may offer and sell, from time to time, up to an aggregate of $80.0 million in shares of our common stock in an at-the-market offering. These sales, or the perception in the market that the holders of a large number of shares intend to sell shares, could reduce the market price of our common stock.</w:t>
      </w:r>
    </w:p>
    <w:p>
      <w:pPr>
        <w:pStyle w:val="TextBody"/>
        <w:bidi w:val="0"/>
        <w:spacing w:before="240" w:after="283"/>
        <w:jc w:val="left"/>
        <w:rPr>
          <w:rFonts w:ascii="Times New Roman" w:hAnsi="Times New Roman"/>
          <w:sz w:val="20"/>
        </w:rPr>
      </w:pPr>
      <w:r>
        <w:rPr>
          <w:rFonts w:ascii="Arial" w:hAnsi="Arial"/>
          <w:color w:val="000000"/>
          <w:sz w:val="20"/>
        </w:rPr>
        <w:t>In addition, there are pre-funded warrants to purchase approximately 8.7 million shares of our common stock outstanding. The exercise of these warrants will cause us to issue additional shares of our common stock, which will result in dilution to our stockholders, increase the number of shares of common stock eligible for resale in the public market, and could adversely affect the market price of our common stock.</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Provisions in our corporate charter documents and under Delaware law, and the adoption of a rights plan, could make an acquisition of our company, which may be beneficial to our stockholders, more difficult and may prevent attempts by our stockholders to replace or remove our current management.</w:t>
      </w:r>
    </w:p>
    <w:p>
      <w:pPr>
        <w:pStyle w:val="TextBody"/>
        <w:bidi w:val="0"/>
        <w:spacing w:before="120" w:after="283"/>
        <w:jc w:val="left"/>
        <w:rPr>
          <w:rFonts w:ascii="Arial" w:hAnsi="Arial"/>
          <w:color w:val="000000"/>
          <w:sz w:val="20"/>
        </w:rPr>
      </w:pPr>
      <w:r>
        <w:rPr>
          <w:rFonts w:ascii="Arial" w:hAnsi="Arial"/>
          <w:color w:val="000000"/>
          <w:sz w:val="20"/>
        </w:rPr>
        <w:t>Provisions in our amended and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 classified board of directors such that not all members of the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allow the authorized number of our directors to be changed only by resolution of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the manner in which stockholders can remove directors from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advance notice requirements for stockholder proposals that can be acted on at stockholder meetings and nominations to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who may call stockholder meetings;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authorize our Board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the approval of the holders of at least 66 2/3% of the votes that all our stockholders would be entitled to cast to amend or repeal certain provisions of our charter or bylaws.</w:t>
      </w:r>
    </w:p>
    <w:p>
      <w:pPr>
        <w:pStyle w:val="TextBody"/>
        <w:bidi w:val="0"/>
        <w:spacing w:before="240" w:after="283"/>
        <w:jc w:val="left"/>
        <w:rPr>
          <w:rFonts w:ascii="Arial" w:hAnsi="Arial"/>
          <w:color w:val="000000"/>
          <w:sz w:val="20"/>
        </w:rPr>
      </w:pPr>
      <w:r>
        <w:rPr>
          <w:rFonts w:ascii="Arial" w:hAnsi="Arial"/>
          <w:color w:val="000000"/>
          <w:sz w:val="20"/>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more than 15%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360" w:after="283"/>
        <w:jc w:val="left"/>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and the federal district courts of the U.S. will be the exclusive forums for substantially all disputes between us and our stockholders, including claims under the Securities Act, which could limit our stockholders’ ability to obtain a favorable judicial forum for disputes with us or our directors, officers or employees.</w:t>
      </w:r>
    </w:p>
    <w:p>
      <w:pPr>
        <w:pStyle w:val="TextBody"/>
        <w:bidi w:val="0"/>
        <w:spacing w:before="120" w:after="283"/>
        <w:jc w:val="left"/>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breach of fiduciary duty;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claim against us or any of our directors, officers, employees, or agents arising under the DGCL, our amended and restated certificate of incorporation,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or proceeding to interpret, apply, enforce, or determine the validity of our amended and restated certificate of incorporation, or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claim against us or any of our directors, officers, employees, or agents that is governed by the internal-affairs doctrine.</w:t>
      </w:r>
    </w:p>
    <w:p>
      <w:pPr>
        <w:pStyle w:val="TextBody"/>
        <w:bidi w:val="0"/>
        <w:spacing w:before="240" w:after="283"/>
        <w:jc w:val="left"/>
        <w:rPr>
          <w:rFonts w:ascii="Arial" w:hAnsi="Arial"/>
          <w:color w:val="000000"/>
          <w:sz w:val="20"/>
        </w:rPr>
      </w:pPr>
      <w:r>
        <w:rPr>
          <w:rFonts w:ascii="Arial" w:hAnsi="Arial"/>
          <w:color w:val="000000"/>
          <w:sz w:val="20"/>
        </w:rPr>
        <w:t>Furthermore, our amended and restated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However, these provisions would not apply to suits brought to enforce a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To the extent the exclusive forum provision restricts the courts in which claims arising under the Securities Act may be brought, there is uncertainty as to whether a court would enforce such a provision. We note that investors cannot waive compliance with the federal securities laws and the rules and regulations thereunder.</w:t>
      </w:r>
    </w:p>
    <w:p>
      <w:pPr>
        <w:pStyle w:val="TextBody"/>
        <w:bidi w:val="0"/>
        <w:spacing w:before="240" w:after="283"/>
        <w:jc w:val="left"/>
        <w:rPr>
          <w:rFonts w:ascii="Arial" w:hAnsi="Arial"/>
          <w:color w:val="000000"/>
          <w:sz w:val="20"/>
        </w:rPr>
      </w:pPr>
      <w:r>
        <w:rPr>
          <w:rFonts w:ascii="Arial" w:hAnsi="Arial"/>
          <w:color w:val="000000"/>
          <w:sz w:val="20"/>
        </w:rPr>
        <w:t>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will have broad discretion in the use of our cash, and may invest or spend our cash in ways with which you do not agree and in ways that may not increase the value of your investment.</w:t>
      </w:r>
    </w:p>
    <w:p>
      <w:pPr>
        <w:pStyle w:val="TextBody"/>
        <w:bidi w:val="0"/>
        <w:spacing w:before="120" w:after="283"/>
        <w:jc w:val="left"/>
        <w:rPr>
          <w:rFonts w:ascii="Arial" w:hAnsi="Arial"/>
          <w:color w:val="000000"/>
          <w:sz w:val="20"/>
        </w:rPr>
      </w:pPr>
      <w:r>
        <w:rPr>
          <w:rFonts w:ascii="Arial" w:hAnsi="Arial"/>
          <w:color w:val="000000"/>
          <w:sz w:val="20"/>
        </w:rPr>
        <w:t>Our management will have broad discretion in the application of our cash, and could spend our cash in ways that do not improve our results of operations or enhance the value of our common stock. The failure by our management to apply these funds effectively could result in financial losses that could have a negative impact on our business, cause the price of our common stock to decline, and delay the development of our pipeline programs as well as commercial preparedness.</w:t>
      </w:r>
    </w:p>
    <w:p>
      <w:pPr>
        <w:pStyle w:val="TextBody"/>
        <w:bidi w:val="0"/>
        <w:spacing w:before="360" w:after="283"/>
        <w:jc w:val="left"/>
        <w:rPr>
          <w:rFonts w:ascii="Arial" w:hAnsi="Arial"/>
          <w:b/>
          <w:i/>
          <w:color w:val="000000"/>
          <w:sz w:val="20"/>
        </w:rPr>
      </w:pPr>
      <w:r>
        <w:rPr>
          <w:rFonts w:ascii="Arial" w:hAnsi="Arial"/>
          <w:b/>
          <w:i/>
          <w:color w:val="000000"/>
          <w:sz w:val="20"/>
        </w:rPr>
        <w:t>We do not anticipate paying any cash dividends on our capital stock in the foreseeable future, and accordingly, stockholders must rely on capital appreciation, if any, for any return on their investment.</w:t>
      </w:r>
    </w:p>
    <w:p>
      <w:pPr>
        <w:pStyle w:val="TextBody"/>
        <w:bidi w:val="0"/>
        <w:spacing w:before="120" w:after="283"/>
        <w:jc w:val="left"/>
        <w:rPr>
          <w:rFonts w:ascii="Arial" w:hAnsi="Arial"/>
          <w:color w:val="000000"/>
          <w:sz w:val="20"/>
        </w:rPr>
      </w:pPr>
      <w:r>
        <w:rPr>
          <w:rFonts w:ascii="Arial" w:hAnsi="Arial"/>
          <w:color w:val="000000"/>
          <w:sz w:val="20"/>
        </w:rPr>
        <w:t>We do not anticipate paying any cash dividends on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 If we do not pay cash dividends, you could receive a return on your investment in our common stock only if you are able to sell your shares in the future and the market price of our common stock has increased when you sell your shares. As a result, investors seeking cash dividends should not purchase our common stock.</w:t>
      </w:r>
    </w:p>
    <w:p>
      <w:pPr>
        <w:pStyle w:val="TextBody"/>
        <w:bidi w:val="0"/>
        <w:spacing w:before="360" w:after="283"/>
        <w:jc w:val="left"/>
        <w:rPr>
          <w:rFonts w:ascii="Arial" w:hAnsi="Arial"/>
          <w:b/>
          <w:i/>
          <w:color w:val="000000"/>
          <w:sz w:val="20"/>
        </w:rPr>
      </w:pPr>
      <w:r>
        <w:rPr>
          <w:rFonts w:ascii="Arial" w:hAnsi="Arial"/>
          <w:b/>
          <w:i/>
          <w:color w:val="000000"/>
          <w:sz w:val="20"/>
        </w:rPr>
        <w:t>Our ability to use our net operating loss carryforwards and certain other tax attributes may be limited.</w:t>
      </w:r>
    </w:p>
    <w:p>
      <w:pPr>
        <w:pStyle w:val="TextBody"/>
        <w:bidi w:val="0"/>
        <w:spacing w:before="120" w:after="283"/>
        <w:jc w:val="left"/>
        <w:rPr>
          <w:rFonts w:ascii="Arial" w:hAnsi="Arial"/>
          <w:color w:val="000000"/>
          <w:sz w:val="20"/>
        </w:rPr>
      </w:pPr>
      <w:r>
        <w:rPr>
          <w:rFonts w:ascii="Arial" w:hAnsi="Arial"/>
          <w:color w:val="000000"/>
          <w:sz w:val="20"/>
        </w:rPr>
        <w:t>Under the Tax Cuts and Jobs Act of 2017 (the “TCJA”), as modified by the Coronavirus Aid, Relief, and Economic Security Act (the “CARES Act”), our net operating losses (“NOLs”) generated in tax years beginning after December 31, 2017 may be carried forward indefinitely, but the deductibility of such federal NOLs in tax years beginning after December 31, 2020, is limited to 80% of taxable income. There is variation in how states have responded and may continue to respond to the TCJA or the CARES Act. In addition, under Sections 382 and 383 of the U.S.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and may experience ownership changes in the future.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w:t>
      </w:r>
    </w:p>
    <w:p>
      <w:pPr>
        <w:pStyle w:val="TextBody"/>
        <w:bidi w:val="0"/>
        <w:spacing w:before="360" w:after="283"/>
        <w:jc w:val="left"/>
        <w:rPr>
          <w:rFonts w:ascii="Arial" w:hAnsi="Arial"/>
          <w:b/>
          <w:color w:val="000000"/>
          <w:sz w:val="20"/>
        </w:rPr>
      </w:pPr>
      <w:r>
        <w:rPr>
          <w:rFonts w:ascii="Arial" w:hAnsi="Arial"/>
          <w:b/>
          <w:color w:val="000000"/>
          <w:sz w:val="20"/>
        </w:rPr>
        <w:t>General Risk Factors</w:t>
      </w:r>
    </w:p>
    <w:p>
      <w:pPr>
        <w:pStyle w:val="TextBody"/>
        <w:bidi w:val="0"/>
        <w:spacing w:before="120" w:after="283"/>
        <w:jc w:val="left"/>
        <w:rPr>
          <w:rFonts w:ascii="Arial" w:hAnsi="Arial"/>
          <w:b/>
          <w:i/>
          <w:color w:val="000000"/>
          <w:sz w:val="20"/>
        </w:rPr>
      </w:pPr>
      <w:r>
        <w:rPr>
          <w:rFonts w:ascii="Arial" w:hAnsi="Arial"/>
          <w:b/>
          <w:i/>
          <w:color w:val="000000"/>
          <w:sz w:val="20"/>
        </w:rPr>
        <w:t>The trading price of our common stock has been and may continue to be volatile.</w:t>
      </w:r>
    </w:p>
    <w:p>
      <w:pPr>
        <w:pStyle w:val="TextBody"/>
        <w:bidi w:val="0"/>
        <w:spacing w:before="120" w:after="283"/>
        <w:jc w:val="left"/>
        <w:rPr>
          <w:rFonts w:ascii="Arial" w:hAnsi="Arial"/>
          <w:color w:val="000000"/>
          <w:sz w:val="20"/>
        </w:rPr>
      </w:pPr>
      <w:r>
        <w:rPr>
          <w:rFonts w:ascii="Arial" w:hAnsi="Arial"/>
          <w:color w:val="000000"/>
          <w:sz w:val="20"/>
        </w:rPr>
        <w:t>The trading price of our common stock has been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shares at or above the price paid for the shares. In addition to the factors discussed in this “Risk Factors” section and elsewhere in this Form 10-Q,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commencement, enrollment or results of our planned and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sufficiency of our existing cash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results of our nonclinical testing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unanticipated safety, tolerability or efficacy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loss of any of our key research, development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or legal developments in the U.S. and other countries;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actions taken by regulatory agencies with respect to our clinical trials or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or developments in laws or regulations applicable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to our relationships with collaborators, manufacturers, or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announcements concerning our competitors or the pharmaceutical industry in general;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actual or anticipated fluctuations in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financial estimates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results of our efforts to discover, develop, acquire, or in-license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trading volume of our common stock on the Nasdaq Global Select Market;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sales of our common stock by us, our executive officers and directors or our stockholders or the anticipation that such sales may occur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economic, political, market, and industry conditions, including economic slowdowns, recessions, inflationary pressures, rising interest rates, tariffs, trade wars, and reduced credit availability, and overall fluctuations in the financial markets in the U.S. or other countries where we conduct critical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stock market price and volume fluctuations of comparable companies and, in particular, those that operate in the biopharmaceutical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banking crises or failures;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investors’ general perception of us and our business.</w:t>
      </w:r>
    </w:p>
    <w:p>
      <w:pPr>
        <w:pStyle w:val="TextBody"/>
        <w:bidi w:val="0"/>
        <w:spacing w:before="240" w:after="283"/>
        <w:jc w:val="left"/>
        <w:rPr>
          <w:rFonts w:ascii="Arial" w:hAnsi="Arial"/>
          <w:color w:val="000000"/>
          <w:sz w:val="20"/>
        </w:rPr>
      </w:pPr>
      <w:r>
        <w:rPr>
          <w:rFonts w:ascii="Arial" w:hAnsi="Arial"/>
          <w:color w:val="000000"/>
          <w:sz w:val="20"/>
        </w:rPr>
        <w:t>These and other market and industry factors may cause the market price and demand for our common stock to fluctuate substantially, regardless of our actual operating performance, which may limit or prevent investors from selling their shares of our common stock at or above the price paid for the shares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w:t>
      </w:r>
    </w:p>
    <w:p>
      <w:pPr>
        <w:pStyle w:val="TextBody"/>
        <w:bidi w:val="0"/>
        <w:spacing w:before="240" w:after="283"/>
        <w:jc w:val="left"/>
        <w:rPr>
          <w:rFonts w:ascii="Arial" w:hAnsi="Arial"/>
          <w:color w:val="000000"/>
          <w:sz w:val="20"/>
        </w:rPr>
      </w:pPr>
      <w:r>
        <w:rPr>
          <w:rFonts w:ascii="Arial" w:hAnsi="Arial"/>
          <w:color w:val="000000"/>
          <w:sz w:val="20"/>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before="120" w:after="283"/>
        <w:jc w:val="left"/>
        <w:rPr>
          <w:rFonts w:ascii="Arial" w:hAnsi="Arial"/>
          <w:color w:val="000000"/>
          <w:sz w:val="20"/>
        </w:rPr>
      </w:pPr>
      <w:r>
        <w:rPr>
          <w:rFonts w:ascii="Arial" w:hAnsi="Arial"/>
          <w:color w:val="000000"/>
          <w:sz w:val="20"/>
        </w:rPr>
        <w:t>The trading market for our common stock will be influenced by the research and reports that equity research analysts publish about us and our business. We currently have research coverage by a limited number of equity research analysts. Equity research analysts may elect not to continue to provide research coverage of our common stock, and such lack of research coverage may adversely affect the market price of our common stock.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stock to decline.</w:t>
      </w:r>
    </w:p>
    <w:p>
      <w:pPr>
        <w:pStyle w:val="TextBody"/>
        <w:bidi w:val="0"/>
        <w:spacing w:before="360" w:after="283"/>
        <w:jc w:val="left"/>
        <w:rPr>
          <w:rFonts w:ascii="Arial" w:hAnsi="Arial"/>
          <w:b/>
          <w:i/>
          <w:color w:val="000000"/>
          <w:sz w:val="20"/>
        </w:rPr>
      </w:pPr>
      <w:r>
        <w:rPr>
          <w:rFonts w:ascii="Arial" w:hAnsi="Arial"/>
          <w:b/>
          <w:i/>
          <w:color w:val="000000"/>
          <w:sz w:val="20"/>
        </w:rPr>
        <w:t>We are incurring significantly increased costs as a result of operating as a company whose common stock is publicly traded in the U.S., and our management is devoting substantial time to new compliance initiatives.</w:t>
      </w:r>
    </w:p>
    <w:p>
      <w:pPr>
        <w:pStyle w:val="TextBody"/>
        <w:bidi w:val="0"/>
        <w:spacing w:before="120" w:after="283"/>
        <w:jc w:val="left"/>
        <w:rPr>
          <w:rFonts w:ascii="Arial" w:hAnsi="Arial"/>
          <w:color w:val="000000"/>
          <w:sz w:val="20"/>
        </w:rPr>
      </w:pPr>
      <w:r>
        <w:rPr>
          <w:rFonts w:ascii="Arial" w:hAnsi="Arial"/>
          <w:color w:val="000000"/>
          <w:sz w:val="20"/>
        </w:rPr>
        <w:t>As a public company in the U.S., we are incurring significant legal, accounting, and other expenses. These expenses will likely be even more significant after we no longer qualify as an emerging growth company. The Sarbanes-Oxley Act, the Dodd-Frank Wall Street Reform and Consumer Protection Act, the listing requirements of Nasdaq Global Select Market and other applicable securities rules and regulations impose various requirements on public companies in the U.S., including the establishment and maintenance of effective disclosure and financial controls and corporate governance practices. Our senior management and other personnel devote a substantial amount of time to these compliance initiatives. Moreover, these rules and regulations has increased our legal and financial compliance costs and has made some activities more time-consuming and costly. We cannot predict or estimate the amount of additional costs we will incur or the timing of such costs.</w:t>
      </w:r>
    </w:p>
    <w:p>
      <w:pPr>
        <w:pStyle w:val="TextBody"/>
        <w:bidi w:val="0"/>
        <w:spacing w:before="240" w:after="283"/>
        <w:jc w:val="left"/>
        <w:rPr>
          <w:rFonts w:ascii="Arial" w:hAnsi="Arial"/>
          <w:color w:val="000000"/>
          <w:sz w:val="20"/>
        </w:rPr>
      </w:pPr>
      <w:r>
        <w:rPr>
          <w:rFonts w:ascii="Arial" w:hAnsi="Arial"/>
          <w:color w:val="000000"/>
          <w:sz w:val="20"/>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40" w:after="283"/>
        <w:jc w:val="left"/>
        <w:rPr>
          <w:rFonts w:ascii="Arial" w:hAnsi="Arial"/>
          <w:color w:val="000000"/>
          <w:sz w:val="20"/>
        </w:rPr>
      </w:pPr>
      <w:r>
        <w:rPr>
          <w:rFonts w:ascii="Arial" w:hAnsi="Arial"/>
          <w:color w:val="000000"/>
          <w:sz w:val="20"/>
        </w:rPr>
        <w:t>Pursuant to Section 404, we will be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prepare for eventual compliance with Section 404, we have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Identifying material weaknesses could result in an adverse reaction in the financial markets due to a loss of confidence in the reliability of our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Significant disruptions of our or our vendors’ information technology systems or cybersecurity incidents could result in significant financial, legal, regulatory, business, and reputational harm to us.</w:t>
      </w:r>
    </w:p>
    <w:p>
      <w:pPr>
        <w:pStyle w:val="TextBody"/>
        <w:bidi w:val="0"/>
        <w:spacing w:before="120" w:after="283"/>
        <w:jc w:val="left"/>
        <w:rPr>
          <w:rFonts w:ascii="Arial" w:hAnsi="Arial"/>
          <w:color w:val="000000"/>
          <w:sz w:val="20"/>
        </w:rPr>
      </w:pPr>
      <w:r>
        <w:rPr>
          <w:rFonts w:ascii="Arial" w:hAnsi="Arial"/>
          <w:color w:val="000000"/>
          <w:sz w:val="20"/>
        </w:rPr>
        <w:t>We are increasingly dependent on information technology systems and infrastructure, including mobile technologies, to operate our business. In the ordinary course of our business, we collect, store, process, and transmit large amounts of confidential information, including intellectual property, proprietary business information, personal information (including health information), and other confidential information. It is critical that we do so in a secure manner to maintain the confidentiality, integrity, and restricted availability of such information. We have also outsourced elements of our operations, including elements of our information technology infrastructure and data processing, to third parties and, as a result, we manage a number of third-party vendors who have access to our computer networks or our information. In addition, many of those third parties in turn subcontract or outsource some of their responsibilities to other third parties. While all information technology operations are inherently vulnerable to inadvertent or intentional security breaches, incidents, attacks, and exposures, the accessibility and distributed nature of our information technology systems, and the information stored on those systems, make such systems (and the information stored therein) vulnerable to risks that threaten the confidentiality, integrity and availability of these systems and information, including unintentional or malicious, internal, and external attacks on our technology environment. Vulnerabilities can be exploited by diverse threat actors and attack vectors, including through inadvertent or intentional actions of our employees, third-party vendors, business partners, or by malicious third parties. Cybersecurity incidents are increasing in their frequency, levels of persistence, sophistication, and intensity, and are being conducted by sophisticated and organized groups and individuals with a wide range of motives (including industrial espionage) and expertise, including organized criminal groups, “hacktivists,” nation states, and others, and utilizing increasingly sophisticated techniques and tools – including AI – that circumvent security controls, evade detection and remove or obfuscate forensic evidence. In addition to access to, loss of or the extraction of information, such attacks could involve the deployment of harmful malware, ransomware, denial-of-service attacks, social engineering/phishing, malicious code embedded in software, and other means to affect service reliability and threaten the confidentiality, integrity, and availability of information technology systems or information. In addition, the prevalent use of mobile devices increases the risk of cybersecurity incidents.</w:t>
      </w:r>
    </w:p>
    <w:p>
      <w:pPr>
        <w:pStyle w:val="TextBody"/>
        <w:bidi w:val="0"/>
        <w:spacing w:before="240" w:after="283"/>
        <w:jc w:val="left"/>
        <w:rPr>
          <w:rFonts w:ascii="Arial" w:hAnsi="Arial"/>
          <w:color w:val="000000"/>
          <w:sz w:val="20"/>
        </w:rPr>
      </w:pPr>
      <w:r>
        <w:rPr>
          <w:rFonts w:ascii="Arial" w:hAnsi="Arial"/>
          <w:color w:val="000000"/>
          <w:sz w:val="20"/>
        </w:rPr>
        <w:t>Significant disruptions of our or our third-party vendors’ or business partners’ information technology systems or other similar cybersecurity incidents could adversely affect our business operations and result in the loss, misappropriation, and unauthorized access, use or disclosure of, or the prevention of access to, information, which could result in financial, legal, regulatory, business, and reputational harm to us. In addition, any impact to the confidentiality, integrity or availability of information technology systems and the information stored therein, whether from attacks on our or third-party technology environment or from computer viruses, natural disasters, terrorism, war, telecommunication and electrical failures, or other threats, could result in a material disruption of our development programs and our business operations. For example, the loss of clinical trial data from ongoing, completed or future clinical trials could result in delays in our regulatory approval efforts and significantly increase our costs to recover or reproduce the data. We cannot ensure that our cybersecurity and data protection efforts and our investment in information technology, or the efforts or investments of CROs, consultants or other third parties with which we work, will prevent breakdowns or breaches in our or their systems or other cybersecurity incidents, including those that cause loss, destruction, unavailability, alteration, dissemination of, or damage, or unauthorized access to, or processing of, our data, including personal information, assets, and other data processed or maintained on our behalf, that could have a material adverse effect upon our reputation,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While we have implemented security measures intended to protect our information technology systems and infrastructure, there can be no assurance that such measures will successfully prevent service interruptions or cybersecurity incidents or that our security measures and processes will be fully implemented, complied with or effective. Nor can we be certain that our third-party vendors or business partners have sufficient measures or processes in place to protect their information technology systems and infrastructure. We, our third-party vendors and business partners are, from time to time, subject to attacks and cybersecurity incidents. While we have not to our knowledge experienced an incident that has had a material impact on our operations or financial results, there is no way of knowing with certainty whether we have experienced any material cybersecurity incidents that have not been discovered. While we have no reason to believe this to be the case, attackers have become very sophisticated in the way they conceal access to systems, and many companies that have been attacked are not aware that their systems or information have been compromised. Any event that leads to unauthorized access, use, or disclosure of information, including personal information regarding our patients or employees, or other adverse impact to the availability, integrity or confidentiality of our information technology systems, infrastructure or information, could disrupt our business, harm our reputation, compel us to comply with applicable federal and state breach notification laws and foreign law and contractual equivalents, subject us to time-consuming, distracting, and expensive litigation (including class actions),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It could also result in increased costs to us, including costs to investigate, mitigate and remediate vulnerabilities and incidents, and result in significant legal and financial exposure and reputational harm. In addition, any failure or perceived failure by us or our vendors or business partners to comply with our privacy, confidentiality, or data security-related legal or other obligations to third parties, or any further cybersecurity incidents,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Moreover, cybersecurity incidents and other inappropriate access can be difficult to detect, and any delay in identifying them may lead to increased harm of the type described above. Finally, we cannot guarantee that any costs and liabilities incurred in relation to an incident will be covered by our existing insurance policies or that applicable insurance will be available to us in the future on economically reasonable terms or at all. Any of the foregoing could have a material adverse effect on our reputation,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are an “emerging growth company” and as a result of the reduced disclosure and governance requirements applicable to emerging growth companies, our common stock may be less attractive to investors.</w:t>
      </w:r>
    </w:p>
    <w:p>
      <w:pPr>
        <w:pStyle w:val="TextBody"/>
        <w:bidi w:val="0"/>
        <w:spacing w:before="120" w:after="283"/>
        <w:jc w:val="left"/>
        <w:rPr>
          <w:rFonts w:ascii="Arial" w:hAnsi="Arial"/>
          <w:color w:val="000000"/>
          <w:sz w:val="20"/>
        </w:rPr>
      </w:pPr>
      <w:r>
        <w:rPr>
          <w:rFonts w:ascii="Arial" w:hAnsi="Arial"/>
          <w:color w:val="000000"/>
          <w:sz w:val="20"/>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not being required to comply with the auditor requirements to communicate critical audit matters in the auditor’s report on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taken advantage of reduced reporting burdens in our Annual Reports on Form 10-K and our Quarterly Reports on Form 10-Q. In particular, in our Annual Reports on Form 10-K, we have provided only two comparative periods of audited financial statements. We also have not provided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before="240" w:after="283"/>
        <w:jc w:val="left"/>
        <w:rPr>
          <w:rFonts w:ascii="Arial" w:hAnsi="Arial"/>
          <w:color w:val="000000"/>
          <w:sz w:val="20"/>
        </w:rPr>
      </w:pPr>
      <w:r>
        <w:rPr>
          <w:rFonts w:ascii="Arial" w:hAnsi="Arial"/>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fail to adhere to the listing requirements of the Nasdaq Global Select Market our common stock could be delisted.</w:t>
      </w:r>
    </w:p>
    <w:p>
      <w:pPr>
        <w:pStyle w:val="TextBody"/>
        <w:bidi w:val="0"/>
        <w:spacing w:before="120" w:after="283"/>
        <w:jc w:val="left"/>
        <w:rPr>
          <w:rFonts w:ascii="Arial" w:hAnsi="Arial"/>
          <w:color w:val="000000"/>
          <w:sz w:val="20"/>
        </w:rPr>
      </w:pPr>
      <w:r>
        <w:rPr>
          <w:rFonts w:ascii="Arial" w:hAnsi="Arial"/>
          <w:color w:val="000000"/>
          <w:sz w:val="20"/>
        </w:rPr>
        <w:t>If we are unable to comply with the listing requirements of the Nasdaq Global Select Market, our stock could be delisted for such failure. If our common stock is delisted from Nasdaq, we could be required to list on the over-the-counter market, which may adversely affect the price and trading liquidity of our common stock. Delisting from Nasdaq may have other negative results, including the potential loss of confidence in us by employees and partners, the loss of institutional investor interest, fewer business development opportunities and greater difficulty in obtaining financing on favorable terms or at all.</w:t>
      </w:r>
    </w:p>
    <w:p>
      <w:pPr>
        <w:pStyle w:val="TextBody"/>
        <w:bidi w:val="0"/>
        <w:spacing w:before="360" w:after="283"/>
        <w:jc w:val="left"/>
        <w:rPr>
          <w:rFonts w:ascii="Arial" w:hAnsi="Arial"/>
          <w:b/>
          <w:i/>
          <w:color w:val="000000"/>
          <w:sz w:val="20"/>
        </w:rPr>
      </w:pPr>
      <w:r>
        <w:rPr>
          <w:rFonts w:ascii="Arial" w:hAnsi="Arial"/>
          <w:b/>
          <w:i/>
          <w:color w:val="000000"/>
          <w:sz w:val="20"/>
        </w:rPr>
        <w:t>Recent and potential future changes to U.S. and non-U.S. tax laws could materially adversely affect our company.</w:t>
      </w:r>
    </w:p>
    <w:p>
      <w:pPr>
        <w:pStyle w:val="TextBody"/>
        <w:bidi w:val="0"/>
        <w:spacing w:before="120" w:after="283"/>
        <w:jc w:val="left"/>
        <w:rPr>
          <w:rFonts w:ascii="Arial" w:hAnsi="Arial"/>
          <w:color w:val="000000"/>
          <w:sz w:val="20"/>
        </w:rPr>
      </w:pPr>
      <w:r>
        <w:rPr>
          <w:rFonts w:ascii="Arial" w:hAnsi="Arial"/>
          <w:color w:val="000000"/>
          <w:sz w:val="20"/>
        </w:rPr>
        <w:t>Existing, new, or future changes in tax laws, regulations, and treaties, or the interpretation thereof, in addition to tax policy initiatives, reforms and other initiatives under consideration in the U.S. and internationally could have an adverse effect on the taxation of international businesses. Furthermore, countries where we are subject to taxes, including the U.S., are independently evaluating their tax policies and we may see significant changes in legislation and regulations concerning taxation. For example, the TCJA, the CARES Act and the IRA made many significant changes to the U.S. tax laws. Future guidance from the U.S. Internal Revenue Service and other tax authorities with respect to any such tax legislation may affect us, and certain aspects of the previously enacted legislation could be repealed or modified in future legislation. In addition, it is uncertain if and to what extent various states will conform to the TCJA, the CARES Act, the IRA, or any newly enacted federal tax legislation. Other legislative changes could also affect the taxation of holders of our common stock. We are unable to predict what tax reform may be proposed or enacted in the future or what effect such changes would have on our business, but such changes could affect our effective tax rates in the future in countries where we are subject to tax and have an adverse effect on our overall tax rate in the future, along with increasing the complexity, burden, and cost of tax compliance.</w:t>
      </w:r>
    </w:p>
    <w:p>
      <w:pPr>
        <w:pStyle w:val="TextBody"/>
        <w:bidi w:val="0"/>
        <w:spacing w:before="240" w:after="283"/>
        <w:jc w:val="left"/>
        <w:rPr>
          <w:rFonts w:ascii="Arial" w:hAnsi="Arial"/>
          <w:color w:val="000000"/>
          <w:sz w:val="20"/>
        </w:rPr>
      </w:pPr>
      <w:r>
        <w:rPr>
          <w:rFonts w:ascii="Arial" w:hAnsi="Arial"/>
          <w:color w:val="000000"/>
          <w:sz w:val="20"/>
        </w:rPr>
        <w:t>In July 2025, the U.S. government enacted the OBBBA, which includes several changes to U.S. federal income tax law, including the temporary and permanent extension of expiring provisions of the TCJA. Adoption of the OBBBA did not have a material impact to our financial statements and related disclosures. We will continue to monitor the impact of the OBBBA in future periods.</w:t>
      </w:r>
    </w:p>
    <w:p>
      <w:pPr>
        <w:pStyle w:val="TextBody"/>
        <w:bidi w:val="0"/>
        <w:spacing w:before="360" w:after="283"/>
        <w:jc w:val="left"/>
        <w:rPr>
          <w:rFonts w:ascii="Arial" w:hAnsi="Arial"/>
          <w:b/>
          <w:i/>
          <w:color w:val="000000"/>
          <w:sz w:val="20"/>
        </w:rPr>
      </w:pPr>
      <w:r>
        <w:rPr>
          <w:rFonts w:ascii="Arial" w:hAnsi="Arial"/>
          <w:b/>
          <w:i/>
          <w:color w:val="000000"/>
          <w:sz w:val="20"/>
        </w:rPr>
        <w:t>Indemnity provisions in various agreements potentially expose us to substantial liability for intellectual property infringement, data protection, and other losses.</w:t>
      </w:r>
    </w:p>
    <w:p>
      <w:pPr>
        <w:pStyle w:val="TextBody"/>
        <w:bidi w:val="0"/>
        <w:spacing w:before="120" w:after="283"/>
        <w:jc w:val="left"/>
        <w:rPr>
          <w:rFonts w:ascii="Arial" w:hAnsi="Arial"/>
          <w:color w:val="000000"/>
          <w:sz w:val="20"/>
        </w:rPr>
      </w:pPr>
      <w:r>
        <w:rPr>
          <w:rFonts w:ascii="Arial" w:hAnsi="Arial"/>
          <w:color w:val="000000"/>
          <w:sz w:val="20"/>
        </w:rPr>
        <w:t>Our agreements with third parties may include indemnification provisions under which we agree to indemnify them for losses suffered or incurred as a result of claims of intellectual property infringement or other liabilities relating to or arising from our contractual obligations. Large indemnity payments could harm our business, financial condition, results of operations and growth prospects. Although we normally contractually limit our liability with respect to such obligations, we may still incur substantial liability. Any dispute with a third party with respect to such obligations could have adverse effects on our relationship with that third party and relationships with other existing or new partners, harming our business.</w:t>
      </w:r>
    </w:p>
    <w:p>
      <w:pPr>
        <w:pStyle w:val="TextBody"/>
        <w:bidi w:val="0"/>
        <w:spacing w:before="360" w:after="283"/>
        <w:jc w:val="left"/>
        <w:rPr>
          <w:rFonts w:ascii="Arial" w:hAnsi="Arial"/>
          <w:b/>
          <w:color w:val="000000"/>
          <w:sz w:val="20"/>
        </w:rPr>
      </w:pPr>
      <w:bookmarkStart w:id="18" w:name="item_2_unregistered_sales_of_equity"/>
      <w:bookmarkEnd w:id="18"/>
      <w:r>
        <w:rPr>
          <w:rFonts w:ascii="Arial" w:hAnsi="Arial"/>
          <w:b/>
          <w:color w:val="000000"/>
          <w:sz w:val="20"/>
        </w:rPr>
        <w:t>Item 2. Unregistered Sales of Equity Securities and Use of Proceeds.</w:t>
      </w:r>
    </w:p>
    <w:p>
      <w:pPr>
        <w:pStyle w:val="TextBody"/>
        <w:bidi w:val="0"/>
        <w:spacing w:before="120" w:after="283"/>
        <w:jc w:val="left"/>
        <w:rPr>
          <w:rFonts w:ascii="Arial" w:hAnsi="Arial"/>
          <w:b/>
          <w:i/>
          <w:color w:val="000000"/>
          <w:sz w:val="20"/>
        </w:rPr>
      </w:pPr>
      <w:r>
        <w:rPr>
          <w:rFonts w:ascii="Arial" w:hAnsi="Arial"/>
          <w:b/>
          <w:i/>
          <w:color w:val="000000"/>
          <w:sz w:val="20"/>
        </w:rPr>
        <w:t>Unregistered Sales of Equity Securities</w:t>
      </w:r>
    </w:p>
    <w:p>
      <w:pPr>
        <w:pStyle w:val="TextBody"/>
        <w:bidi w:val="0"/>
        <w:spacing w:before="240" w:after="283"/>
        <w:jc w:val="left"/>
        <w:rPr>
          <w:rFonts w:ascii="Arial" w:hAnsi="Arial"/>
          <w:color w:val="000000"/>
          <w:sz w:val="20"/>
        </w:rPr>
      </w:pPr>
      <w:r>
        <w:rPr>
          <w:rFonts w:ascii="Arial" w:hAnsi="Arial"/>
          <w:color w:val="000000"/>
          <w:sz w:val="20"/>
        </w:rPr>
        <w:t>None.</w:t>
      </w:r>
    </w:p>
    <w:p>
      <w:pPr>
        <w:pStyle w:val="TextBody"/>
        <w:bidi w:val="0"/>
        <w:spacing w:before="360" w:after="283"/>
        <w:jc w:val="left"/>
        <w:rPr>
          <w:rFonts w:ascii="Arial" w:hAnsi="Arial"/>
          <w:b/>
          <w:i/>
          <w:color w:val="000000"/>
          <w:sz w:val="20"/>
        </w:rPr>
      </w:pPr>
      <w:r>
        <w:rPr>
          <w:rFonts w:ascii="Arial" w:hAnsi="Arial"/>
          <w:b/>
          <w:i/>
          <w:color w:val="000000"/>
          <w:sz w:val="20"/>
        </w:rPr>
        <w:t>Use of Proceeds from Public Offering of Common Stock</w:t>
      </w:r>
    </w:p>
    <w:p>
      <w:pPr>
        <w:pStyle w:val="TextBody"/>
        <w:bidi w:val="0"/>
        <w:spacing w:before="120" w:after="283"/>
        <w:jc w:val="left"/>
        <w:rPr>
          <w:rFonts w:ascii="Times New Roman" w:hAnsi="Times New Roman"/>
          <w:sz w:val="20"/>
        </w:rPr>
      </w:pPr>
      <w:r>
        <w:rPr>
          <w:rFonts w:ascii="Arial" w:hAnsi="Arial"/>
          <w:color w:val="000000"/>
          <w:sz w:val="20"/>
        </w:rPr>
        <w:t>On March 24, 2022, our registration statement on Form S-1 (File No. 333-263295) was declared effective by the SEC for our IPO. There has been no material change in the use of proceeds from our IPO as described in our final prospectus dated March 24, 2022 pursuant to Rule 424(b)(4).</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Issuer Purchases of Equity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360" w:after="283"/>
        <w:jc w:val="left"/>
        <w:rPr>
          <w:rFonts w:ascii="Arial" w:hAnsi="Arial"/>
          <w:b/>
          <w:color w:val="000000"/>
          <w:sz w:val="20"/>
        </w:rPr>
      </w:pPr>
      <w:bookmarkStart w:id="19" w:name="item_3_defaults_upon_senior_securities"/>
      <w:bookmarkEnd w:id="19"/>
      <w:r>
        <w:rPr>
          <w:rFonts w:ascii="Arial" w:hAnsi="Arial"/>
          <w:b/>
          <w:color w:val="000000"/>
          <w:sz w:val="20"/>
        </w:rPr>
        <w:t>Item 3. Defaults Upon Senior Securities.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Arial" w:hAnsi="Arial"/>
          <w:b/>
          <w:color w:val="000000"/>
          <w:sz w:val="20"/>
        </w:rPr>
      </w:pPr>
      <w:bookmarkStart w:id="20" w:name="item_4_mine_safety_disclosures"/>
      <w:bookmarkEnd w:id="20"/>
      <w:r>
        <w:rPr>
          <w:rFonts w:ascii="Arial" w:hAnsi="Arial"/>
          <w:b/>
          <w:color w:val="000000"/>
          <w:sz w:val="20"/>
        </w:rPr>
        <w:t>Item 4. Mine Safety Disclosures.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Arial" w:hAnsi="Arial"/>
          <w:b/>
          <w:color w:val="000000"/>
          <w:sz w:val="20"/>
        </w:rPr>
      </w:pPr>
      <w:bookmarkStart w:id="21" w:name="item_5_other_information"/>
      <w:bookmarkEnd w:id="21"/>
      <w:r>
        <w:rPr>
          <w:rFonts w:ascii="Arial" w:hAnsi="Arial"/>
          <w:b/>
          <w:color w:val="000000"/>
          <w:sz w:val="20"/>
        </w:rPr>
        <w:t>Item 5. Other Information.</w:t>
      </w:r>
    </w:p>
    <w:p>
      <w:pPr>
        <w:pStyle w:val="TextBody"/>
        <w:bidi w:val="0"/>
        <w:spacing w:before="120" w:after="283"/>
        <w:jc w:val="left"/>
        <w:rPr>
          <w:rFonts w:ascii="Times New Roman" w:hAnsi="Times New Roman"/>
          <w:sz w:val="20"/>
        </w:rPr>
      </w:pPr>
      <w:r>
        <w:rPr>
          <w:rFonts w:ascii="Arial" w:hAnsi="Arial"/>
          <w:color w:val="000000"/>
          <w:sz w:val="20"/>
        </w:rPr>
        <w:t>On March 11, 2026, Eric Easom, our Chief Executive Officer and a member of our board of directors, adopted a Rule 10b5-1</w:t>
      </w:r>
      <w:r>
        <w:rPr>
          <w:rFonts w:ascii="Times New Roman" w:hAnsi="Times New Roman"/>
          <w:color w:val="000000"/>
          <w:sz w:val="20"/>
        </w:rPr>
        <w:t xml:space="preserve"> </w:t>
      </w:r>
      <w:r>
        <w:rPr>
          <w:rFonts w:ascii="Arial" w:hAnsi="Arial"/>
          <w:color w:val="000000"/>
          <w:sz w:val="20"/>
        </w:rPr>
        <w:t>trading arrangement that is intended to satisfy the affirmative defense of Rule 10b5-1(c) for the sale of up to 450,000</w:t>
      </w:r>
      <w:r>
        <w:rPr>
          <w:rFonts w:ascii="Times New Roman" w:hAnsi="Times New Roman"/>
          <w:color w:val="000000"/>
          <w:sz w:val="20"/>
        </w:rPr>
        <w:t xml:space="preserve"> </w:t>
      </w:r>
      <w:r>
        <w:rPr>
          <w:rFonts w:ascii="Arial" w:hAnsi="Arial"/>
          <w:color w:val="000000"/>
          <w:sz w:val="20"/>
        </w:rPr>
        <w:t>shares of our common stock until March 1, 2027.</w:t>
      </w:r>
    </w:p>
    <w:p>
      <w:pPr>
        <w:pStyle w:val="TextBody"/>
        <w:bidi w:val="0"/>
        <w:spacing w:before="120" w:after="283"/>
        <w:jc w:val="left"/>
        <w:rPr>
          <w:rFonts w:ascii="Times New Roman" w:hAnsi="Times New Roman"/>
          <w:sz w:val="20"/>
        </w:rPr>
      </w:pPr>
      <w:r>
        <w:rPr>
          <w:rFonts w:ascii="Arial" w:hAnsi="Arial"/>
          <w:color w:val="000000"/>
          <w:sz w:val="20"/>
        </w:rPr>
        <w:t>During the fiscal quarter ended March 31, 2026, none of our other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bookmarkStart w:id="22" w:name="item_6_exhibits"/>
      <w:bookmarkEnd w:id="22"/>
      <w:r>
        <w:rPr>
          <w:rFonts w:ascii="Arial" w:hAnsi="Arial"/>
          <w:b/>
          <w:color w:val="000000"/>
          <w:sz w:val="20"/>
        </w:rPr>
        <w:t>Item 6. Exhibits</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Exhibits. </w:t>
      </w:r>
    </w:p>
    <w:p>
      <w:pPr>
        <w:pStyle w:val="TextBody"/>
        <w:bidi w:val="0"/>
        <w:spacing w:before="120" w:after="283"/>
        <w:jc w:val="left"/>
        <w:rPr>
          <w:rFonts w:ascii="Arial" w:hAnsi="Arial"/>
          <w:color w:val="000000"/>
          <w:sz w:val="20"/>
        </w:rPr>
      </w:pPr>
      <w:r>
        <w:rPr>
          <w:rFonts w:ascii="Arial" w:hAnsi="Arial"/>
          <w:color w:val="000000"/>
          <w:sz w:val="20"/>
        </w:rPr>
        <w:t>The exhibits listed below are filed as part of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6"/>
        <w:gridCol w:w="146"/>
        <w:gridCol w:w="5449"/>
        <w:gridCol w:w="146"/>
        <w:gridCol w:w="601"/>
        <w:gridCol w:w="146"/>
        <w:gridCol w:w="827"/>
        <w:gridCol w:w="146"/>
        <w:gridCol w:w="766"/>
        <w:gridCol w:w="146"/>
        <w:gridCol w:w="966"/>
      </w:tblGrid>
      <w:tr>
        <w:trPr/>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8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Exhibit</w:t>
            </w:r>
          </w:p>
          <w:p>
            <w:pPr>
              <w:pStyle w:val="TableContents"/>
              <w:bidi w:val="0"/>
              <w:spacing w:before="0" w:after="283"/>
              <w:jc w:val="center"/>
              <w:rPr>
                <w:rFonts w:ascii="Arial" w:hAnsi="Arial"/>
                <w:b/>
                <w:color w:val="000000"/>
                <w:sz w:val="20"/>
              </w:rPr>
            </w:pPr>
            <w:r>
              <w:rPr>
                <w:rFonts w:ascii="Arial" w:hAnsi="Arial"/>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 Date</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24, 2024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Certificate of Designations of Series A Junior Participating Preferred Stock of AN2 Therapeutics, Inc. filed with the Secretary of State of the State of Delaware on August 15,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19, 2024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Form of Pre-Funded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20, 2025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Form of 2026 Pre-Funded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10, 2026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Securities Purchase Agreement, dated March 8, 2026, by and among the Company and the Purchasers.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10, 2026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Form of Registration Rights Agreement.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10, 2026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0000FF"/>
                  <w:sz w:val="20"/>
                  <w:u w:val="single"/>
                </w:rPr>
                <w:t>Amended and Restated Offer Letter by and between the Registrant and Lucy Day, dated January 29,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17, 2026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Arial" w:hAnsi="Arial"/>
                  <w:color w:val="0000FF"/>
                  <w:sz w:val="20"/>
                  <w:u w:val="single"/>
                </w:rPr>
                <w:t>Open Market Sale Agreement</w:t>
              </w:r>
            </w:hyperlink>
            <w:hyperlink r:id="rId11">
              <w:r>
                <w:rPr>
                  <w:rStyle w:val="InternetLink"/>
                  <w:rFonts w:ascii="Arial" w:hAnsi="Arial"/>
                  <w:color w:val="0000FF"/>
                  <w:sz w:val="13"/>
                  <w:u w:val="single"/>
                </w:rPr>
                <w:t>sm</w:t>
              </w:r>
            </w:hyperlink>
            <w:hyperlink r:id="rId12">
              <w:r>
                <w:rPr>
                  <w:rStyle w:val="InternetLink"/>
                  <w:rFonts w:ascii="Arial" w:hAnsi="Arial"/>
                  <w:color w:val="0000FF"/>
                  <w:sz w:val="20"/>
                  <w:u w:val="single"/>
                </w:rPr>
                <w:t>, dated April 9, 2026, by and between the Company and Jefferies,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April 9, 2026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Arial" w:hAnsi="Arial"/>
          <w:color w:val="000000"/>
          <w:sz w:val="16"/>
        </w:rPr>
      </w:pPr>
      <w:r>
        <w:rPr>
          <w:rFonts w:ascii="Arial" w:hAnsi="Arial"/>
          <w:color w:val="000000"/>
          <w:sz w:val="16"/>
        </w:rPr>
        <w:t>* Filed herewith.</w:t>
      </w:r>
    </w:p>
    <w:p>
      <w:pPr>
        <w:pStyle w:val="TextBody"/>
        <w:bidi w:val="0"/>
        <w:spacing w:before="120" w:after="283"/>
        <w:jc w:val="left"/>
        <w:rPr>
          <w:rFonts w:ascii="Arial" w:hAnsi="Arial"/>
          <w:color w:val="000000"/>
          <w:sz w:val="16"/>
        </w:rPr>
      </w:pPr>
      <w:r>
        <w:rPr>
          <w:rFonts w:ascii="Arial" w:hAnsi="Arial"/>
          <w:color w:val="000000"/>
          <w:sz w:val="16"/>
        </w:rPr>
        <w:t># Indicates management contract or compensatory plan.</w:t>
      </w:r>
    </w:p>
    <w:p>
      <w:pPr>
        <w:pStyle w:val="TextBody"/>
        <w:bidi w:val="0"/>
        <w:spacing w:before="120" w:after="283"/>
        <w:jc w:val="left"/>
        <w:rPr>
          <w:rFonts w:ascii="Arial" w:hAnsi="Arial"/>
          <w:color w:val="000000"/>
          <w:sz w:val="16"/>
        </w:rPr>
      </w:pPr>
      <w:r>
        <w:rPr>
          <w:rFonts w:ascii="Arial" w:hAnsi="Arial"/>
          <w:color w:val="000000"/>
          <w:sz w:val="16"/>
        </w:rPr>
        <w:t>** The following materials are formatted in Inline XBRL (Extensible Business Reporting Language): (i) the cover page; (ii) the Condensed Balance Sheets as of March 31, 2026 and December 31, 2025; (iii) the Condensed Statements of Operations and Comprehensive Loss for the three months ended March 31, 2026 and 2025; (iv) the Condensed Statements of Stockholders' Equity for the three months ended March 31, 2026 and 2025; (vi) the Condensed Statements of Cash Flows for the three months ended March 31, 2026 and 2025; (vii) Notes to Unaudited Condensed Financial Statements tagged as blocks of text.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rFonts w:ascii="Arial" w:hAnsi="Arial"/>
          <w:color w:val="000000"/>
          <w:sz w:val="16"/>
        </w:rPr>
      </w:pPr>
      <w:r>
        <w:rPr>
          <w:rFonts w:ascii="Arial" w:hAnsi="Arial"/>
          <w:color w:val="000000"/>
          <w:sz w:val="16"/>
        </w:rPr>
        <w:t> The certification attached as Exhibit 32.1 and Exhibit 32.2 that accompany this Quarterly Report on Form 10-Q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12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bookmarkStart w:id="23" w:name="signatures"/>
      <w:bookmarkEnd w:id="23"/>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 on May 11, 2026.</w:t>
      </w:r>
    </w:p>
    <w:p>
      <w:pPr>
        <w:pStyle w:val="TextBody"/>
        <w:bidi w:val="0"/>
        <w:jc w:val="left"/>
        <w:rPr/>
      </w:pPr>
      <w:r>
        <w:rPr/>
        <w:t> </w:t>
      </w:r>
    </w:p>
    <w:tbl>
      <w:tblPr>
        <w:tblW w:w="3624" w:type="dxa"/>
        <w:jc w:val="left"/>
        <w:tblInd w:w="0" w:type="dxa"/>
        <w:tblLayout w:type="fixed"/>
        <w:tblCellMar>
          <w:top w:w="28" w:type="dxa"/>
          <w:left w:w="28" w:type="dxa"/>
          <w:bottom w:w="28" w:type="dxa"/>
          <w:right w:w="28" w:type="dxa"/>
        </w:tblCellMar>
      </w:tblPr>
      <w:tblGrid>
        <w:gridCol w:w="161"/>
        <w:gridCol w:w="146"/>
        <w:gridCol w:w="406"/>
        <w:gridCol w:w="29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AN2 Therapeutics,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Easom</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Eric Easom</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br/>
              <w:t>(Principal Executive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Lucy O. Day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Lucy O. Day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Sarah Williams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Sarah Williams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Accounting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4" w:name="antx-ex31_1.htm"/>
      <w:bookmarkStart w:id="25" w:name="ksantxex31_1"/>
      <w:bookmarkEnd w:id="24"/>
      <w:bookmarkEnd w:id="25"/>
      <w:r>
        <w:rPr>
          <w:rFonts w:ascii="Arial" w:hAnsi="Arial"/>
          <w:b/>
          <w:color w:val="000000"/>
          <w:sz w:val="20"/>
        </w:rPr>
        <w:t>Exhibit 31.1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OF PRINCIPAL EXECUTIVE OFFICER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left"/>
        <w:rPr>
          <w:rFonts w:ascii="Arial" w:hAnsi="Arial"/>
          <w:color w:val="000000"/>
          <w:sz w:val="20"/>
        </w:rPr>
      </w:pPr>
      <w:r>
        <w:rPr>
          <w:rFonts w:ascii="Arial" w:hAnsi="Arial"/>
          <w:color w:val="000000"/>
          <w:sz w:val="20"/>
        </w:rPr>
        <w:t>I, Eric Easom, certify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of AN2 Therapeutics, Inc.;</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w:t>
      </w:r>
    </w:p>
    <w:p>
      <w:pPr>
        <w:pStyle w:val="TextBody"/>
        <w:bidi w:val="0"/>
        <w:spacing w:before="24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29" w:type="dxa"/>
        <w:jc w:val="left"/>
        <w:tblInd w:w="0" w:type="dxa"/>
        <w:tblLayout w:type="fixed"/>
        <w:tblCellMar>
          <w:top w:w="28" w:type="dxa"/>
          <w:left w:w="28" w:type="dxa"/>
          <w:bottom w:w="28" w:type="dxa"/>
          <w:right w:w="28" w:type="dxa"/>
        </w:tblCellMar>
      </w:tblPr>
      <w:tblGrid>
        <w:gridCol w:w="1831"/>
        <w:gridCol w:w="146"/>
        <w:gridCol w:w="406"/>
        <w:gridCol w:w="274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Easom</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Eric Easom</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b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antx-ex31_2.htm"/>
      <w:bookmarkStart w:id="27" w:name="ksantxex31_2"/>
      <w:bookmarkEnd w:id="26"/>
      <w:bookmarkEnd w:id="27"/>
      <w:r>
        <w:rPr>
          <w:rFonts w:ascii="Times New Roman" w:hAnsi="Times New Roman"/>
          <w:b/>
          <w:color w:val="000000"/>
          <w:sz w:val="20"/>
        </w:rPr>
        <w:t>Exhibit 31.2</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OF PRINCIPAL FINANCIAL OFFICER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left"/>
        <w:rPr>
          <w:rFonts w:ascii="Arial" w:hAnsi="Arial"/>
          <w:color w:val="000000"/>
          <w:sz w:val="20"/>
        </w:rPr>
      </w:pPr>
      <w:r>
        <w:rPr>
          <w:rFonts w:ascii="Arial" w:hAnsi="Arial"/>
          <w:color w:val="000000"/>
          <w:sz w:val="20"/>
        </w:rPr>
        <w:t>I, Lucy O. Day,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of AN2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w:t>
      </w:r>
    </w:p>
    <w:p>
      <w:pPr>
        <w:pStyle w:val="TextBody"/>
        <w:bidi w:val="0"/>
        <w:spacing w:before="24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84" w:type="dxa"/>
        <w:jc w:val="left"/>
        <w:tblInd w:w="0" w:type="dxa"/>
        <w:tblLayout w:type="fixed"/>
        <w:tblCellMar>
          <w:top w:w="28" w:type="dxa"/>
          <w:left w:w="28" w:type="dxa"/>
          <w:bottom w:w="28" w:type="dxa"/>
          <w:right w:w="28" w:type="dxa"/>
        </w:tblCellMar>
      </w:tblPr>
      <w:tblGrid>
        <w:gridCol w:w="1831"/>
        <w:gridCol w:w="146"/>
        <w:gridCol w:w="406"/>
        <w:gridCol w:w="270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Lucy O. Day</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Lucy O. Day</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Financial Officer</w:t>
            </w:r>
          </w:p>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8" w:name="antx-ex32_1.htm"/>
      <w:bookmarkStart w:id="29" w:name="ksantxex32_1"/>
      <w:bookmarkEnd w:id="28"/>
      <w:bookmarkEnd w:id="29"/>
      <w:r>
        <w:rPr>
          <w:rFonts w:ascii="Arial" w:hAnsi="Arial"/>
          <w:b/>
          <w:color w:val="000000"/>
          <w:sz w:val="20"/>
        </w:rPr>
        <w:t>Exhibit 32.1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Pursuant to the requirement set forth in Rule 13a-14(b) of the Securities Exchange Act of 1934, as amended (the “Exchange Act”), and Section 1350 of Chapter 63 of Title 18 of the United States Code (18 U.S.C. §1350), Eric Easom, Chief Executive Officer of AN2 Therapeutics, Inc. (the “Company”), hereby certifies that, to the best of his knowledge:</w:t>
      </w:r>
    </w:p>
    <w:p>
      <w:pPr>
        <w:pStyle w:val="TextBody"/>
        <w:bidi w:val="0"/>
        <w:spacing w:before="120" w:after="283"/>
        <w:jc w:val="left"/>
        <w:rPr>
          <w:rFonts w:ascii="Arial" w:hAnsi="Arial"/>
          <w:b/>
          <w:color w:val="000000"/>
          <w:sz w:val="20"/>
        </w:rPr>
      </w:pPr>
      <w:r>
        <w:rPr>
          <w:rFonts w:ascii="Arial" w:hAnsi="Arial"/>
          <w:b/>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The Company's Quarterly Report on Form 10-Q for the period ended March 31, 2026, to which this Certification is attached as Exhibit 32.1 (the “Periodic Report”), fully complies with the requirements of Section 13(a) or Section 15(d) of the Exchange Act; and</w:t>
      </w:r>
    </w:p>
    <w:p>
      <w:pPr>
        <w:pStyle w:val="TextBody"/>
        <w:bidi w:val="0"/>
        <w:spacing w:before="120" w:after="283"/>
        <w:jc w:val="left"/>
        <w:rPr>
          <w:rFonts w:ascii="Arial" w:hAnsi="Arial"/>
          <w:b/>
          <w:color w:val="000000"/>
          <w:sz w:val="20"/>
        </w:rPr>
      </w:pPr>
      <w:r>
        <w:rPr>
          <w:rFonts w:ascii="Arial" w:hAnsi="Arial"/>
          <w:b/>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Arial" w:hAnsi="Arial"/>
          <w:color w:val="000000"/>
          <w:sz w:val="20"/>
        </w:rPr>
      </w:pPr>
      <w:r>
        <w:rPr>
          <w:rFonts w:ascii="Arial" w:hAnsi="Arial"/>
          <w:color w:val="000000"/>
          <w:sz w:val="20"/>
        </w:rPr>
        <w:t>Dated: May 11, 2026</w:t>
      </w:r>
    </w:p>
    <w:p>
      <w:pPr>
        <w:pStyle w:val="TextBody"/>
        <w:bidi w:val="0"/>
        <w:jc w:val="left"/>
        <w:rPr/>
      </w:pPr>
      <w:r>
        <w:rPr/>
        <w:t> </w:t>
      </w:r>
    </w:p>
    <w:tbl>
      <w:tblPr>
        <w:tblW w:w="2757" w:type="dxa"/>
        <w:jc w:val="left"/>
        <w:tblInd w:w="0" w:type="dxa"/>
        <w:tblLayout w:type="fixed"/>
        <w:tblCellMar>
          <w:top w:w="28" w:type="dxa"/>
          <w:left w:w="28" w:type="dxa"/>
          <w:bottom w:w="28" w:type="dxa"/>
          <w:right w:w="28" w:type="dxa"/>
        </w:tblCellMar>
      </w:tblPr>
      <w:tblGrid>
        <w:gridCol w:w="256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Eric Easom</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Eric Easom</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Chief Executive Officer</w:t>
            </w:r>
          </w:p>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This certification accompanies the Form 10-Q to which it relates, is not deemed filed with the Securities and Exchange Commission and is not to be incorporated by reference into any filing of AN2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30" w:name="antx-ex32_2.htm"/>
      <w:bookmarkStart w:id="31" w:name="ksantxex32_2"/>
      <w:bookmarkEnd w:id="30"/>
      <w:bookmarkEnd w:id="31"/>
      <w:r>
        <w:rPr>
          <w:rFonts w:ascii="Arial" w:hAnsi="Arial"/>
          <w:b/>
          <w:color w:val="000000"/>
          <w:sz w:val="20"/>
        </w:rPr>
        <w:t>Exhibit 32.2</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Pursuant to the requirement set forth in Rule 13a-14(b) of the Securities Exchange Act of 1934, as amended (the “Exchange Act”), and Section 1350 of Chapter 63 of Title 18 of the United States Code (18 U.S.C. §1350), Lucy O. Day, Chief Financial Officer of AN2 Therapeutics, Inc. (the “Company”), hereby certifies that, to the best of her knowledge:</w:t>
      </w:r>
    </w:p>
    <w:p>
      <w:pPr>
        <w:pStyle w:val="TextBody"/>
        <w:bidi w:val="0"/>
        <w:spacing w:before="120" w:after="283"/>
        <w:jc w:val="left"/>
        <w:rPr>
          <w:rFonts w:ascii="Arial" w:hAnsi="Arial"/>
          <w:b/>
          <w:color w:val="000000"/>
          <w:sz w:val="20"/>
        </w:rPr>
      </w:pPr>
      <w:r>
        <w:rPr>
          <w:rFonts w:ascii="Arial" w:hAnsi="Arial"/>
          <w:b/>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The Company's Quarterly Report on Form 10-Q for the period ended March 31, 2026, to which this Certification is attached as Exhibit 32.2 (the “Periodic Report”), fully complies with the requirements of Section 13(a) or Section 15(d) of the Exchange Act; and</w:t>
      </w:r>
    </w:p>
    <w:p>
      <w:pPr>
        <w:pStyle w:val="TextBody"/>
        <w:bidi w:val="0"/>
        <w:spacing w:before="120" w:after="283"/>
        <w:jc w:val="left"/>
        <w:rPr>
          <w:rFonts w:ascii="Arial" w:hAnsi="Arial"/>
          <w:b/>
          <w:color w:val="000000"/>
          <w:sz w:val="20"/>
        </w:rPr>
      </w:pPr>
      <w:r>
        <w:rPr>
          <w:rFonts w:ascii="Arial" w:hAnsi="Arial"/>
          <w:b/>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Arial" w:hAnsi="Arial"/>
          <w:color w:val="000000"/>
          <w:sz w:val="20"/>
        </w:rPr>
      </w:pPr>
      <w:r>
        <w:rPr>
          <w:rFonts w:ascii="Arial" w:hAnsi="Arial"/>
          <w:color w:val="000000"/>
          <w:sz w:val="20"/>
        </w:rPr>
        <w:t>Dated: May 11, 2026</w:t>
      </w:r>
    </w:p>
    <w:p>
      <w:pPr>
        <w:pStyle w:val="TextBody"/>
        <w:bidi w:val="0"/>
        <w:jc w:val="left"/>
        <w:rPr/>
      </w:pPr>
      <w:r>
        <w:rPr/>
        <w:t> </w:t>
      </w:r>
    </w:p>
    <w:tbl>
      <w:tblPr>
        <w:tblW w:w="2667" w:type="dxa"/>
        <w:jc w:val="left"/>
        <w:tblInd w:w="0" w:type="dxa"/>
        <w:tblLayout w:type="fixed"/>
        <w:tblCellMar>
          <w:top w:w="28" w:type="dxa"/>
          <w:left w:w="28" w:type="dxa"/>
          <w:bottom w:w="28" w:type="dxa"/>
          <w:right w:w="28" w:type="dxa"/>
        </w:tblCellMar>
      </w:tblPr>
      <w:tblGrid>
        <w:gridCol w:w="247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Lucy O. Day</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Lucy O. Day</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Chief Financial Officer</w:t>
            </w:r>
          </w:p>
          <w:p>
            <w:pPr>
              <w:pStyle w:val="TableContents"/>
              <w:bidi w:val="0"/>
              <w:spacing w:before="0" w:after="283"/>
              <w:jc w:val="left"/>
              <w:rPr>
                <w:rFonts w:ascii="Arial" w:hAnsi="Arial"/>
                <w:color w:val="000000"/>
                <w:sz w:val="20"/>
              </w:rPr>
            </w:pPr>
            <w:r>
              <w:rPr>
                <w:rFonts w:ascii="Arial" w:hAnsi="Arial"/>
                <w:color w:val="000000"/>
                <w:sz w:val="20"/>
              </w:rPr>
              <w:t>(Principal Financial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This certification accompanies the Form 10-Q to which it relates, is not deemed filed with the Securities and Exchange Commission and is not to be incorporated by reference into any filing of AN2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0438/000119312524166938/d860451dex31.htm" TargetMode="External"/><Relationship Id="rId3" Type="http://schemas.openxmlformats.org/officeDocument/2006/relationships/hyperlink" Target="https://www.sec.gov/Archives/edgar/data/0001880438/000119312522066048/d211954dex34.htm" TargetMode="External"/><Relationship Id="rId4" Type="http://schemas.openxmlformats.org/officeDocument/2006/relationships/hyperlink" Target="https://www.sec.gov/Archives/edgar/data/1880438/000119312524202430/d879523dex31.htm" TargetMode="External"/><Relationship Id="rId5" Type="http://schemas.openxmlformats.org/officeDocument/2006/relationships/hyperlink" Target="https://www.sec.gov/Archives/edgar/data/1880438/000119312525143187/d50241dex41.htm" TargetMode="External"/><Relationship Id="rId6" Type="http://schemas.openxmlformats.org/officeDocument/2006/relationships/hyperlink" Target="https://www.sec.gov/Archives/edgar/data/1880438/000119312526099169/d14366dex41.htm" TargetMode="External"/><Relationship Id="rId7" Type="http://schemas.openxmlformats.org/officeDocument/2006/relationships/hyperlink" Target="https://www.sec.gov/Archives/edgar/data/1880438/000119312526099169/d14366dex101.htm" TargetMode="External"/><Relationship Id="rId8" Type="http://schemas.openxmlformats.org/officeDocument/2006/relationships/hyperlink" Target="https://www.sec.gov/Archives/edgar/data/1880438/000119312526099169/d14366dex102.htm" TargetMode="External"/><Relationship Id="rId9" Type="http://schemas.openxmlformats.org/officeDocument/2006/relationships/hyperlink" Target="https://www.sec.gov/Archives/edgar/data/1880438/000119312526110693/antx-ex10_11.htm" TargetMode="External"/><Relationship Id="rId10" Type="http://schemas.openxmlformats.org/officeDocument/2006/relationships/hyperlink" Target="https://www.sec.gov/Archives/edgar/data/1880438/000119312526149822/d127053dex11.htm" TargetMode="External"/><Relationship Id="rId11" Type="http://schemas.openxmlformats.org/officeDocument/2006/relationships/hyperlink" Target="https://www.sec.gov/Archives/edgar/data/1880438/000119312526149822/d127053dex11.htm" TargetMode="External"/><Relationship Id="rId12" Type="http://schemas.openxmlformats.org/officeDocument/2006/relationships/hyperlink" Target="https://www.sec.gov/Archives/edgar/data/1880438/000119312526149822/d127053dex1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57240</Words>
  <Characters>320933</Characters>
  <CharactersWithSpaces>378214</CharactersWithSpaces>
  <Paragraphs>4654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