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50165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3920" w:right="2760" w:hanging="3899"/>
        <w:spacing w:after="0" w:line="257" w:lineRule="auto"/>
        <w:tabs>
          <w:tab w:leader="none" w:pos="48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1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36" w:lineRule="exact"/>
        <w:rPr>
          <w:sz w:val="24"/>
          <w:szCs w:val="24"/>
          <w:color w:val="auto"/>
        </w:rPr>
      </w:pPr>
    </w:p>
    <w:p>
      <w:pPr>
        <w:ind w:left="3680"/>
        <w:spacing w:after="0"/>
        <w:tabs>
          <w:tab w:leader="none" w:pos="69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001-41331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53340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AN2 Therapeutics, Inc.</w:t>
      </w:r>
    </w:p>
    <w:p>
      <w:pPr>
        <w:sectPr>
          <w:pgSz w:w="11900" w:h="16838" w:orient="portrait"/>
          <w:cols w:equalWidth="0" w:num="1">
            <w:col w:w="11240"/>
          </w:cols>
          <w:pgMar w:left="320" w:top="1145" w:right="339" w:bottom="1440" w:gutter="0" w:footer="0" w:header="0"/>
        </w:sectPr>
      </w:pPr>
    </w:p>
    <w:p>
      <w:pPr>
        <w:spacing w:after="0" w:line="4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18"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1800 El Camino Real, Suite D</w:t>
      </w:r>
    </w:p>
    <w:p>
      <w:pPr>
        <w:spacing w:after="0" w:line="21"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Menlo Park, California</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82-0606654</w:t>
      </w:r>
    </w:p>
    <w:p>
      <w:pPr>
        <w:spacing w:after="0" w:line="39"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205" w:lineRule="exact"/>
        <w:rPr>
          <w:sz w:val="24"/>
          <w:szCs w:val="24"/>
          <w:color w:val="auto"/>
        </w:rPr>
      </w:pPr>
    </w:p>
    <w:p>
      <w:pPr>
        <w:ind w:left="300"/>
        <w:spacing w:after="0"/>
        <w:rPr>
          <w:sz w:val="20"/>
          <w:szCs w:val="20"/>
          <w:color w:val="auto"/>
        </w:rPr>
      </w:pPr>
      <w:r>
        <w:rPr>
          <w:rFonts w:ascii="Arial" w:cs="Arial" w:eastAsia="Arial" w:hAnsi="Arial"/>
          <w:sz w:val="16"/>
          <w:szCs w:val="16"/>
          <w:b w:val="1"/>
          <w:bCs w:val="1"/>
          <w:color w:val="auto"/>
        </w:rPr>
        <w:t>94027</w:t>
      </w:r>
    </w:p>
    <w:p>
      <w:pPr>
        <w:spacing w:after="0" w:line="38" w:lineRule="exact"/>
        <w:rPr>
          <w:sz w:val="24"/>
          <w:szCs w:val="24"/>
          <w:color w:val="auto"/>
        </w:rPr>
      </w:pPr>
    </w:p>
    <w:p>
      <w:pPr>
        <w:sectPr>
          <w:pgSz w:w="11900" w:h="16838" w:orient="portrait"/>
          <w:cols w:equalWidth="0" w:num="2">
            <w:col w:w="7660" w:space="240"/>
            <w:col w:w="3340"/>
          </w:cols>
          <w:pgMar w:left="320" w:top="1145" w:right="339" w:bottom="1440" w:gutter="0" w:footer="0" w:header="0"/>
          <w:type w:val="continuous"/>
        </w:sect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100" w:lineRule="exact"/>
        <w:rPr>
          <w:sz w:val="24"/>
          <w:szCs w:val="24"/>
          <w:color w:val="auto"/>
        </w:rPr>
      </w:pPr>
    </w:p>
    <w:p>
      <w:pPr>
        <w:ind w:left="3000"/>
        <w:spacing w:after="0"/>
        <w:rPr>
          <w:sz w:val="20"/>
          <w:szCs w:val="20"/>
          <w:color w:val="auto"/>
        </w:rPr>
      </w:pPr>
      <w:r>
        <w:rPr>
          <w:rFonts w:ascii="Arial" w:cs="Arial" w:eastAsia="Arial" w:hAnsi="Arial"/>
          <w:sz w:val="16"/>
          <w:szCs w:val="16"/>
          <w:b w:val="1"/>
          <w:bCs w:val="1"/>
          <w:color w:val="auto"/>
        </w:rPr>
        <w:t>Registrant’s telephone number, including area code: (650) 331-9090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120" w:type="dxa"/>
            <w:vAlign w:val="bottom"/>
          </w:tcPr>
          <w:p>
            <w:pPr>
              <w:spacing w:after="0"/>
              <w:rPr>
                <w:sz w:val="12"/>
                <w:szCs w:val="12"/>
                <w:color w:val="auto"/>
              </w:rPr>
            </w:pPr>
          </w:p>
        </w:tc>
        <w:tc>
          <w:tcPr>
            <w:tcW w:w="5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66"/>
        </w:trPr>
        <w:tc>
          <w:tcPr>
            <w:tcW w:w="42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Symbol(s)</w:t>
            </w:r>
          </w:p>
        </w:tc>
        <w:tc>
          <w:tcPr>
            <w:tcW w:w="120" w:type="dxa"/>
            <w:vAlign w:val="bottom"/>
          </w:tcPr>
          <w:p>
            <w:pPr>
              <w:spacing w:after="0"/>
              <w:rPr>
                <w:sz w:val="14"/>
                <w:szCs w:val="14"/>
                <w:color w:val="auto"/>
              </w:rPr>
            </w:pPr>
          </w:p>
        </w:tc>
        <w:tc>
          <w:tcPr>
            <w:tcW w:w="5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80" w:type="dxa"/>
            <w:vAlign w:val="bottom"/>
          </w:tcPr>
          <w:p>
            <w:pPr>
              <w:jc w:val="center"/>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ANTX</w:t>
            </w:r>
          </w:p>
        </w:tc>
        <w:tc>
          <w:tcPr>
            <w:tcW w:w="1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bl>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5" w:lineRule="exact"/>
        <w:rPr>
          <w:sz w:val="24"/>
          <w:szCs w:val="24"/>
          <w:color w:val="auto"/>
        </w:rPr>
      </w:pPr>
    </w:p>
    <w:p>
      <w:pPr>
        <w:ind w:right="2900"/>
        <w:spacing w:after="0" w:line="194"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right="6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01"/>
        </w:trPr>
        <w:tc>
          <w:tcPr>
            <w:tcW w:w="19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64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ind w:left="3100"/>
              <w:spacing w:after="0"/>
              <w:rPr>
                <w:sz w:val="20"/>
                <w:szCs w:val="20"/>
                <w:color w:val="auto"/>
              </w:rPr>
            </w:pPr>
            <w:r>
              <w:rPr>
                <w:rFonts w:ascii="Arial" w:cs="Arial" w:eastAsia="Arial" w:hAnsi="Arial"/>
                <w:sz w:val="15"/>
                <w:szCs w:val="15"/>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900" w:type="dxa"/>
            <w:vAlign w:val="bottom"/>
          </w:tcPr>
          <w:p>
            <w:pPr>
              <w:spacing w:after="0"/>
              <w:rPr>
                <w:sz w:val="20"/>
                <w:szCs w:val="20"/>
                <w:color w:val="auto"/>
              </w:rPr>
            </w:pPr>
            <w:r>
              <w:rPr>
                <w:rFonts w:ascii="Arial" w:cs="Arial" w:eastAsia="Arial" w:hAnsi="Arial"/>
                <w:sz w:val="15"/>
                <w:szCs w:val="15"/>
                <w:color w:val="auto"/>
              </w:rPr>
              <w:t>Non-accelerated filer</w:t>
            </w:r>
          </w:p>
        </w:tc>
        <w:tc>
          <w:tcPr>
            <w:tcW w:w="36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00"/>
              <w:spacing w:after="0"/>
              <w:rPr>
                <w:sz w:val="20"/>
                <w:szCs w:val="20"/>
                <w:color w:val="auto"/>
              </w:rPr>
            </w:pPr>
            <w:r>
              <w:rPr>
                <w:rFonts w:ascii="Arial" w:cs="Arial" w:eastAsia="Arial" w:hAnsi="Arial"/>
                <w:sz w:val="15"/>
                <w:szCs w:val="15"/>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9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5220" w:type="dxa"/>
            <w:vAlign w:val="bottom"/>
          </w:tcPr>
          <w:p>
            <w:pPr>
              <w:ind w:left="3100"/>
              <w:spacing w:after="0"/>
              <w:rPr>
                <w:sz w:val="20"/>
                <w:szCs w:val="20"/>
                <w:color w:val="auto"/>
              </w:rPr>
            </w:pPr>
            <w:r>
              <w:rPr>
                <w:rFonts w:ascii="Arial" w:cs="Arial" w:eastAsia="Arial" w:hAnsi="Arial"/>
                <w:sz w:val="15"/>
                <w:szCs w:val="15"/>
                <w:color w:val="auto"/>
              </w:rPr>
              <w:t>Emerging growth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20"/>
        <w:spacing w:after="0" w:line="18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right="62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28" w:lineRule="exact"/>
        <w:rPr>
          <w:sz w:val="24"/>
          <w:szCs w:val="24"/>
          <w:color w:val="auto"/>
        </w:rPr>
      </w:pPr>
    </w:p>
    <w:p>
      <w:pPr>
        <w:ind w:right="46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1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200"/>
        <w:spacing w:after="0" w:line="252"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Global Select Market on June 30, 2023, was $108,668,174.</w:t>
      </w:r>
    </w:p>
    <w:p>
      <w:pPr>
        <w:spacing w:after="0"/>
        <w:rPr>
          <w:sz w:val="20"/>
          <w:szCs w:val="20"/>
          <w:color w:val="auto"/>
        </w:rPr>
      </w:pPr>
      <w:r>
        <w:rPr>
          <w:rFonts w:ascii="Arial" w:cs="Arial" w:eastAsia="Arial" w:hAnsi="Arial"/>
          <w:sz w:val="14"/>
          <w:szCs w:val="14"/>
          <w:color w:val="auto"/>
        </w:rPr>
        <w:t>The number of shares of Registrant’s Common Stock outstanding as of March 22, 2024 was 29,770,375 shares of common stock, par value $0.00001, outstanding.</w:t>
      </w:r>
    </w:p>
    <w:p>
      <w:pPr>
        <w:spacing w:after="0" w:line="27"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 w:lineRule="exact"/>
        <w:rPr>
          <w:sz w:val="24"/>
          <w:szCs w:val="24"/>
          <w:color w:val="auto"/>
        </w:rPr>
      </w:pPr>
    </w:p>
    <w:p>
      <w:pPr>
        <w:ind w:right="200"/>
        <w:spacing w:after="0" w:line="264" w:lineRule="auto"/>
        <w:rPr>
          <w:sz w:val="20"/>
          <w:szCs w:val="20"/>
          <w:color w:val="auto"/>
        </w:rPr>
      </w:pPr>
      <w:r>
        <w:rPr>
          <w:rFonts w:ascii="Arial" w:cs="Arial" w:eastAsia="Arial" w:hAnsi="Arial"/>
          <w:sz w:val="14"/>
          <w:szCs w:val="14"/>
          <w:color w:val="auto"/>
        </w:rPr>
        <w:t>Portions of the Registrant’s definitive proxy statement for its 2024 annual meeting of stockholders is incorporated by reference in Item 5 of Part II and Items 10, 11, 12, 13 and 14 of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762635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80" w:type="dxa"/>
            <w:vAlign w:val="bottom"/>
            <w:gridSpan w:val="10"/>
          </w:tcPr>
          <w:p>
            <w:pPr>
              <w:ind w:left="5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4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8"/>
              </w:rPr>
              <w:t>Business</w:t>
            </w:r>
          </w:p>
        </w:tc>
        <w:tc>
          <w:tcPr>
            <w:tcW w:w="8560" w:type="dxa"/>
            <w:vAlign w:val="bottom"/>
            <w:gridSpan w:val="23"/>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Item 1A.</w:t>
            </w:r>
          </w:p>
        </w:tc>
        <w:tc>
          <w:tcPr>
            <w:tcW w:w="9300" w:type="dxa"/>
            <w:vAlign w:val="bottom"/>
            <w:gridSpan w:val="24"/>
          </w:tcPr>
          <w:p>
            <w:pPr>
              <w:spacing w:after="0" w:line="196"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rPr>
                <w:sz w:val="20"/>
                <w:szCs w:val="20"/>
                <w:color w:val="auto"/>
              </w:rPr>
            </w:pPr>
            <w:r>
              <w:rPr>
                <w:rFonts w:ascii="Arial" w:cs="Arial" w:eastAsia="Arial" w:hAnsi="Arial"/>
                <w:sz w:val="18"/>
                <w:szCs w:val="18"/>
                <w:color w:val="auto"/>
              </w:rPr>
              <w:t>Item 1B.</w:t>
            </w: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2260" w:type="dxa"/>
            <w:vAlign w:val="bottom"/>
            <w:tcBorders>
              <w:bottom w:val="single" w:sz="8" w:color="0000FF"/>
            </w:tcBorders>
            <w:gridSpan w:val="12"/>
          </w:tcPr>
          <w:p>
            <w:pPr>
              <w:spacing w:after="0" w:line="196" w:lineRule="exact"/>
              <w:rPr>
                <w:sz w:val="20"/>
                <w:szCs w:val="20"/>
                <w:color w:val="auto"/>
              </w:rPr>
            </w:pPr>
            <w:r>
              <w:rPr>
                <w:rFonts w:ascii="Arial" w:cs="Arial" w:eastAsia="Arial" w:hAnsi="Arial"/>
                <w:sz w:val="18"/>
                <w:szCs w:val="18"/>
                <w:color w:val="0000FF"/>
                <w:w w:val="99"/>
              </w:rPr>
              <w:t>Unresolved Staff Comments</w:t>
            </w:r>
          </w:p>
        </w:tc>
        <w:tc>
          <w:tcPr>
            <w:tcW w:w="7040" w:type="dxa"/>
            <w:vAlign w:val="bottom"/>
            <w:gridSpan w:val="12"/>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Item 1C.</w:t>
            </w:r>
          </w:p>
        </w:tc>
        <w:tc>
          <w:tcPr>
            <w:tcW w:w="9300" w:type="dxa"/>
            <w:vAlign w:val="bottom"/>
            <w:gridSpan w:val="24"/>
          </w:tcPr>
          <w:p>
            <w:pPr>
              <w:spacing w:after="0" w:line="196" w:lineRule="exact"/>
              <w:rPr>
                <w:sz w:val="20"/>
                <w:szCs w:val="20"/>
                <w:color w:val="auto"/>
              </w:rPr>
            </w:pPr>
            <w:r>
              <w:rPr>
                <w:rFonts w:ascii="Arial" w:cs="Arial" w:eastAsia="Arial" w:hAnsi="Arial"/>
                <w:sz w:val="18"/>
                <w:szCs w:val="18"/>
                <w:color w:val="0000FF"/>
              </w:rPr>
              <w:t>Cybersecurity</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Item 2.</w:t>
            </w:r>
          </w:p>
        </w:tc>
        <w:tc>
          <w:tcPr>
            <w:tcW w:w="1100" w:type="dxa"/>
            <w:vAlign w:val="bottom"/>
            <w:tcBorders>
              <w:top w:val="single" w:sz="8" w:color="0000FF"/>
            </w:tcBorders>
            <w:gridSpan w:val="4"/>
          </w:tcPr>
          <w:p>
            <w:pPr>
              <w:spacing w:after="0" w:line="196" w:lineRule="exact"/>
              <w:rPr>
                <w:sz w:val="20"/>
                <w:szCs w:val="20"/>
                <w:color w:val="auto"/>
              </w:rPr>
            </w:pPr>
            <w:r>
              <w:rPr>
                <w:rFonts w:ascii="Arial" w:cs="Arial" w:eastAsia="Arial" w:hAnsi="Arial"/>
                <w:sz w:val="18"/>
                <w:szCs w:val="18"/>
                <w:color w:val="0000FF"/>
              </w:rPr>
              <w:t>Properties</w:t>
            </w:r>
          </w:p>
        </w:tc>
        <w:tc>
          <w:tcPr>
            <w:tcW w:w="820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rPr>
                <w:sz w:val="20"/>
                <w:szCs w:val="20"/>
                <w:color w:val="auto"/>
              </w:rPr>
            </w:pPr>
            <w:r>
              <w:rPr>
                <w:rFonts w:ascii="Arial" w:cs="Arial" w:eastAsia="Arial" w:hAnsi="Arial"/>
                <w:sz w:val="18"/>
                <w:szCs w:val="18"/>
                <w:color w:val="auto"/>
              </w:rPr>
              <w:t>Item 3.</w:t>
            </w: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50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9"/>
              </w:rPr>
              <w:t>Legal Proceedings</w:t>
            </w:r>
          </w:p>
        </w:tc>
        <w:tc>
          <w:tcPr>
            <w:tcW w:w="20" w:type="dxa"/>
            <w:vAlign w:val="bottom"/>
            <w:tcBorders>
              <w:bottom w:val="single" w:sz="8" w:color="0000EE"/>
            </w:tcBorders>
          </w:tcPr>
          <w:p>
            <w:pPr>
              <w:spacing w:after="0"/>
              <w:rPr>
                <w:sz w:val="17"/>
                <w:szCs w:val="17"/>
                <w:color w:val="auto"/>
              </w:rPr>
            </w:pPr>
          </w:p>
        </w:tc>
        <w:tc>
          <w:tcPr>
            <w:tcW w:w="7780" w:type="dxa"/>
            <w:vAlign w:val="bottom"/>
            <w:gridSpan w:val="17"/>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Item 4.</w:t>
            </w:r>
          </w:p>
        </w:tc>
        <w:tc>
          <w:tcPr>
            <w:tcW w:w="9300" w:type="dxa"/>
            <w:vAlign w:val="bottom"/>
            <w:gridSpan w:val="24"/>
          </w:tcPr>
          <w:p>
            <w:pPr>
              <w:spacing w:after="0" w:line="196" w:lineRule="exact"/>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5.</w:t>
            </w:r>
          </w:p>
        </w:tc>
        <w:tc>
          <w:tcPr>
            <w:tcW w:w="9300" w:type="dxa"/>
            <w:vAlign w:val="bottom"/>
            <w:gridSpan w:val="24"/>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Item 6.</w:t>
            </w:r>
          </w:p>
        </w:tc>
        <w:tc>
          <w:tcPr>
            <w:tcW w:w="8880" w:type="dxa"/>
            <w:vAlign w:val="bottom"/>
            <w:tcBorders>
              <w:top w:val="single" w:sz="8" w:color="0000FF"/>
            </w:tcBorders>
            <w:gridSpan w:val="23"/>
          </w:tcPr>
          <w:p>
            <w:pPr>
              <w:spacing w:after="0" w:line="196" w:lineRule="exact"/>
              <w:rPr>
                <w:sz w:val="20"/>
                <w:szCs w:val="20"/>
                <w:color w:val="auto"/>
              </w:rPr>
            </w:pPr>
            <w:r>
              <w:rPr>
                <w:rFonts w:ascii="Arial" w:cs="Arial" w:eastAsia="Arial" w:hAnsi="Arial"/>
                <w:sz w:val="18"/>
                <w:szCs w:val="18"/>
                <w:color w:val="0000FF"/>
              </w:rPr>
              <w:t>[Reserved]</w:t>
            </w:r>
          </w:p>
        </w:tc>
        <w:tc>
          <w:tcPr>
            <w:tcW w:w="4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Arial" w:cs="Arial" w:eastAsia="Arial" w:hAnsi="Arial"/>
                <w:sz w:val="18"/>
                <w:szCs w:val="18"/>
                <w:color w:val="auto"/>
              </w:rPr>
              <w:t>Item 7.</w:t>
            </w:r>
          </w:p>
        </w:tc>
        <w:tc>
          <w:tcPr>
            <w:tcW w:w="9300" w:type="dxa"/>
            <w:vAlign w:val="bottom"/>
            <w:gridSpan w:val="2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Item 7A.</w:t>
            </w:r>
          </w:p>
        </w:tc>
        <w:tc>
          <w:tcPr>
            <w:tcW w:w="4720" w:type="dxa"/>
            <w:vAlign w:val="bottom"/>
            <w:tcBorders>
              <w:top w:val="single" w:sz="8" w:color="0000FF"/>
              <w:bottom w:val="single" w:sz="8" w:color="0000FF"/>
            </w:tcBorders>
            <w:gridSpan w:val="17"/>
          </w:tcPr>
          <w:p>
            <w:pPr>
              <w:spacing w:after="0" w:line="196"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3"/>
          </w:tcPr>
          <w:p>
            <w:pPr>
              <w:spacing w:after="0"/>
              <w:rPr>
                <w:sz w:val="17"/>
                <w:szCs w:val="17"/>
                <w:color w:val="auto"/>
              </w:rPr>
            </w:pPr>
          </w:p>
        </w:tc>
        <w:tc>
          <w:tcPr>
            <w:tcW w:w="22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Item 8.</w:t>
            </w:r>
          </w:p>
        </w:tc>
        <w:tc>
          <w:tcPr>
            <w:tcW w:w="9300" w:type="dxa"/>
            <w:vAlign w:val="bottom"/>
            <w:gridSpan w:val="24"/>
          </w:tcPr>
          <w:p>
            <w:pPr>
              <w:spacing w:after="0" w:line="196" w:lineRule="exact"/>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rPr>
                <w:sz w:val="20"/>
                <w:szCs w:val="20"/>
                <w:color w:val="auto"/>
              </w:rPr>
            </w:pPr>
            <w:r>
              <w:rPr>
                <w:rFonts w:ascii="Arial" w:cs="Arial" w:eastAsia="Arial" w:hAnsi="Arial"/>
                <w:sz w:val="18"/>
                <w:szCs w:val="18"/>
                <w:color w:val="auto"/>
              </w:rPr>
              <w:t>Item 9.</w:t>
            </w: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4"/>
          </w:tcPr>
          <w:p>
            <w:pPr>
              <w:spacing w:after="0" w:line="196"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Item 9A.</w:t>
            </w:r>
          </w:p>
        </w:tc>
        <w:tc>
          <w:tcPr>
            <w:tcW w:w="2000" w:type="dxa"/>
            <w:vAlign w:val="bottom"/>
            <w:tcBorders>
              <w:top w:val="single" w:sz="8" w:color="0000FF"/>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9"/>
              </w:rPr>
              <w:t>Controls and Procedures</w:t>
            </w:r>
          </w:p>
        </w:tc>
        <w:tc>
          <w:tcPr>
            <w:tcW w:w="5140" w:type="dxa"/>
            <w:vAlign w:val="bottom"/>
            <w:tcBorders>
              <w:top w:val="single" w:sz="8" w:color="0000FF"/>
            </w:tcBorders>
            <w:gridSpan w:val="11"/>
          </w:tcPr>
          <w:p>
            <w:pPr>
              <w:spacing w:after="0"/>
              <w:rPr>
                <w:sz w:val="17"/>
                <w:szCs w:val="17"/>
                <w:color w:val="auto"/>
              </w:rPr>
            </w:pPr>
          </w:p>
        </w:tc>
        <w:tc>
          <w:tcPr>
            <w:tcW w:w="216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Item 9B.</w:t>
            </w:r>
          </w:p>
        </w:tc>
        <w:tc>
          <w:tcPr>
            <w:tcW w:w="9300" w:type="dxa"/>
            <w:vAlign w:val="bottom"/>
            <w:gridSpan w:val="24"/>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rPr>
                <w:sz w:val="20"/>
                <w:szCs w:val="20"/>
                <w:color w:val="auto"/>
              </w:rPr>
            </w:pPr>
            <w:r>
              <w:rPr>
                <w:rFonts w:ascii="Arial" w:cs="Arial" w:eastAsia="Arial" w:hAnsi="Arial"/>
                <w:sz w:val="18"/>
                <w:szCs w:val="18"/>
                <w:color w:val="auto"/>
              </w:rPr>
              <w:t>Item 9C.</w:t>
            </w: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24"/>
          </w:tcPr>
          <w:p>
            <w:pPr>
              <w:spacing w:after="0" w:line="196"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10.</w:t>
            </w:r>
          </w:p>
        </w:tc>
        <w:tc>
          <w:tcPr>
            <w:tcW w:w="9300" w:type="dxa"/>
            <w:vAlign w:val="bottom"/>
            <w:gridSpan w:val="24"/>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Item 11.</w:t>
            </w:r>
          </w:p>
        </w:tc>
        <w:tc>
          <w:tcPr>
            <w:tcW w:w="2000" w:type="dxa"/>
            <w:vAlign w:val="bottom"/>
            <w:tcBorders>
              <w:top w:val="single" w:sz="8" w:color="0000FF"/>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480" w:type="dxa"/>
            <w:vAlign w:val="bottom"/>
            <w:tcBorders>
              <w:top w:val="single" w:sz="8" w:color="0000FF"/>
            </w:tcBorders>
            <w:gridSpan w:val="5"/>
          </w:tcPr>
          <w:p>
            <w:pPr>
              <w:spacing w:after="0"/>
              <w:rPr>
                <w:sz w:val="17"/>
                <w:szCs w:val="17"/>
                <w:color w:val="auto"/>
              </w:rPr>
            </w:pPr>
          </w:p>
        </w:tc>
        <w:tc>
          <w:tcPr>
            <w:tcW w:w="480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FF"/>
            </w:tcBorders>
            <w:gridSpan w:val="22"/>
          </w:tcPr>
          <w:p>
            <w:pPr>
              <w:spacing w:after="0" w:line="196" w:lineRule="exact"/>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128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Item 13.</w:t>
            </w:r>
          </w:p>
        </w:tc>
        <w:tc>
          <w:tcPr>
            <w:tcW w:w="9300" w:type="dxa"/>
            <w:vAlign w:val="bottom"/>
            <w:gridSpan w:val="24"/>
          </w:tcPr>
          <w:p>
            <w:pPr>
              <w:spacing w:after="0" w:line="196"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Item 14.</w:t>
            </w:r>
          </w:p>
        </w:tc>
        <w:tc>
          <w:tcPr>
            <w:tcW w:w="6080" w:type="dxa"/>
            <w:vAlign w:val="bottom"/>
            <w:tcBorders>
              <w:top w:val="single" w:sz="8" w:color="0000FF"/>
            </w:tcBorders>
            <w:gridSpan w:val="19"/>
          </w:tcPr>
          <w:p>
            <w:pPr>
              <w:spacing w:after="0" w:line="196" w:lineRule="exact"/>
              <w:rPr>
                <w:sz w:val="20"/>
                <w:szCs w:val="20"/>
                <w:color w:val="auto"/>
              </w:rPr>
            </w:pPr>
            <w:r>
              <w:rPr>
                <w:rFonts w:ascii="Arial" w:cs="Arial" w:eastAsia="Arial" w:hAnsi="Arial"/>
                <w:sz w:val="18"/>
                <w:szCs w:val="18"/>
                <w:color w:val="0000FF"/>
              </w:rPr>
              <w:t>Principal Accounting Fees and Services</w:t>
            </w:r>
          </w:p>
        </w:tc>
        <w:tc>
          <w:tcPr>
            <w:tcW w:w="322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15.</w:t>
            </w:r>
          </w:p>
        </w:tc>
        <w:tc>
          <w:tcPr>
            <w:tcW w:w="3220" w:type="dxa"/>
            <w:vAlign w:val="bottom"/>
            <w:tcBorders>
              <w:bottom w:val="single" w:sz="8" w:color="0000FF"/>
            </w:tcBorders>
            <w:gridSpan w:val="14"/>
          </w:tcPr>
          <w:p>
            <w:pPr>
              <w:spacing w:after="0" w:line="195" w:lineRule="exact"/>
              <w:rPr>
                <w:sz w:val="20"/>
                <w:szCs w:val="20"/>
                <w:color w:val="auto"/>
              </w:rPr>
            </w:pPr>
            <w:r>
              <w:rPr>
                <w:rFonts w:ascii="Arial" w:cs="Arial" w:eastAsia="Arial" w:hAnsi="Arial"/>
                <w:sz w:val="18"/>
                <w:szCs w:val="18"/>
                <w:color w:val="0000FF"/>
                <w:w w:val="99"/>
              </w:rPr>
              <w:t>Exhibits, Financial Statement Schedules</w:t>
            </w:r>
          </w:p>
        </w:tc>
        <w:tc>
          <w:tcPr>
            <w:tcW w:w="6080" w:type="dxa"/>
            <w:vAlign w:val="bottom"/>
            <w:gridSpan w:val="10"/>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Arial" w:cs="Arial" w:eastAsia="Arial" w:hAnsi="Arial"/>
                <w:sz w:val="18"/>
                <w:szCs w:val="18"/>
                <w:color w:val="auto"/>
              </w:rPr>
              <w:t>Item 16</w:t>
            </w:r>
          </w:p>
        </w:tc>
        <w:tc>
          <w:tcPr>
            <w:tcW w:w="168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9"/>
              </w:rPr>
              <w:t>Form 10-K Summary</w:t>
            </w:r>
          </w:p>
        </w:tc>
        <w:tc>
          <w:tcPr>
            <w:tcW w:w="762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4"/>
          </w:tcPr>
          <w:p>
            <w:pPr>
              <w:spacing w:after="0" w:line="196" w:lineRule="exact"/>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01"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This Annual Report on Form 10-K (“Annual Report”) contains forward-looking statements. All statements other than statements of historical facts contained in this Annual Report, including statements regarding our future results of operations and financial position, business strategy, product candidates, planned preclinical and nonclinical studies and clinical trials, results of preclinical and nonclinical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5"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Form 10-K include, but are not limited to, statements about:</w:t>
      </w:r>
    </w:p>
    <w:p>
      <w:pPr>
        <w:spacing w:after="0" w:line="61" w:lineRule="exact"/>
        <w:rPr>
          <w:sz w:val="20"/>
          <w:szCs w:val="20"/>
          <w:color w:val="auto"/>
        </w:rPr>
      </w:pPr>
    </w:p>
    <w:p>
      <w:pPr>
        <w:ind w:left="1020" w:right="36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progress, and results of our preclinical and nonclinical studies and clinical trials, and our research and development programs, including the manufacture of clinical trial material and drug product for launch;</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estimates regarding expenses, capital requirements and needs for additional financing;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use of the net proceeds from financing activities;</w:t>
      </w:r>
    </w:p>
    <w:p>
      <w:pPr>
        <w:spacing w:after="0" w:line="11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 ability of our Phase 2/3 clinical trial in treatment-refractory </w:t>
      </w:r>
      <w:r>
        <w:rPr>
          <w:rFonts w:ascii="Arial" w:cs="Arial" w:eastAsia="Arial" w:hAnsi="Arial"/>
          <w:sz w:val="18"/>
          <w:szCs w:val="18"/>
          <w:i w:val="1"/>
          <w:iCs w:val="1"/>
          <w:color w:val="auto"/>
        </w:rPr>
        <w:t>Mycobacterium avium</w:t>
      </w:r>
      <w:r>
        <w:rPr>
          <w:rFonts w:ascii="Arial" w:cs="Arial" w:eastAsia="Arial" w:hAnsi="Arial"/>
          <w:sz w:val="18"/>
          <w:szCs w:val="18"/>
          <w:color w:val="auto"/>
        </w:rPr>
        <w:t xml:space="preserve"> complex (“MAC”) lung disease or future trials to be sufficient for regulatory approval in the United States and Japan and potentially other territories;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reopen enrollment and complete our ongoing study in treatment-refractory MAC lung disease;</w:t>
      </w:r>
    </w:p>
    <w:p>
      <w:pPr>
        <w:spacing w:after="0" w:line="116" w:lineRule="exact"/>
        <w:rPr>
          <w:rFonts w:ascii="Times New Roman" w:cs="Times New Roman" w:eastAsia="Times New Roman" w:hAnsi="Times New Roman"/>
          <w:sz w:val="18"/>
          <w:szCs w:val="18"/>
          <w:color w:val="auto"/>
        </w:rPr>
      </w:pPr>
    </w:p>
    <w:p>
      <w:pPr>
        <w:ind w:left="1020" w:right="5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commence studies of epetraborole in new patient populations, which regulatory authorities may not allow or authorize or may delay allowing or authorizing;</w:t>
      </w:r>
    </w:p>
    <w:p>
      <w:pPr>
        <w:spacing w:after="0" w:line="46" w:lineRule="exact"/>
        <w:rPr>
          <w:rFonts w:ascii="Times New Roman" w:cs="Times New Roman" w:eastAsia="Times New Roman" w:hAnsi="Times New Roman"/>
          <w:sz w:val="18"/>
          <w:szCs w:val="18"/>
          <w:color w:val="auto"/>
        </w:rPr>
      </w:pPr>
    </w:p>
    <w:p>
      <w:pPr>
        <w:ind w:left="1020" w:right="5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translation of our preclinical results and data and early clinical trial results, in particular relating to safety, efficacy and durability, into future clinical trial results;</w:t>
      </w:r>
    </w:p>
    <w:p>
      <w:pPr>
        <w:spacing w:after="0" w:line="46" w:lineRule="exact"/>
        <w:rPr>
          <w:rFonts w:ascii="Times New Roman" w:cs="Times New Roman" w:eastAsia="Times New Roman" w:hAnsi="Times New Roman"/>
          <w:sz w:val="18"/>
          <w:szCs w:val="18"/>
          <w:color w:val="auto"/>
        </w:rPr>
      </w:pPr>
    </w:p>
    <w:p>
      <w:pPr>
        <w:ind w:left="1020" w:right="9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46"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advance our initial product candidate and any other product candidates we may develop into, and successfully complete, clinical trials;</w:t>
      </w:r>
    </w:p>
    <w:p>
      <w:pPr>
        <w:spacing w:after="0" w:line="46"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and maintain regulatory approvals for our initial product candidate and any other product candidates we may develop;</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commercialization of our initial product candidate and any other product candidates we may develop, if approved;</w:t>
      </w:r>
    </w:p>
    <w:p>
      <w:pPr>
        <w:spacing w:after="0" w:line="116" w:lineRule="exact"/>
        <w:rPr>
          <w:rFonts w:ascii="Times New Roman" w:cs="Times New Roman" w:eastAsia="Times New Roman" w:hAnsi="Times New Roman"/>
          <w:sz w:val="18"/>
          <w:szCs w:val="18"/>
          <w:color w:val="auto"/>
        </w:rPr>
      </w:pPr>
    </w:p>
    <w:p>
      <w:pPr>
        <w:ind w:left="1020" w:right="9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epetraborole, if approved, to successfully compete with other therapies, including therapies currently in development;</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the market opportunity for epetraborole or any other product candidates we may develop in each of the diseases we target;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coverage, and reimbursement of epetraborole, if approved;</w:t>
      </w:r>
    </w:p>
    <w:p>
      <w:pPr>
        <w:spacing w:after="0" w:line="116"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implementation of our business model, strategic plans for our business, and our initial product candidate and any other product candidates we may develop;</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epetraborole;</w:t>
      </w:r>
    </w:p>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sectPr>
      </w:pPr>
    </w:p>
    <w:bookmarkStart w:id="3" w:name="page4"/>
    <w:bookmarkEnd w:id="3"/>
    <w:p>
      <w:pPr>
        <w:ind w:left="1020" w:right="90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post-approval marketing exclusivities that may be granted to epetraborole based upon certain regulatory designations, and other non-patent exclusivities in the United States and Japan;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additional product candidates and advance them into clinical development;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116" w:lineRule="exact"/>
        <w:rPr>
          <w:rFonts w:ascii="Times New Roman" w:cs="Times New Roman" w:eastAsia="Times New Roman" w:hAnsi="Times New Roman"/>
          <w:sz w:val="18"/>
          <w:szCs w:val="18"/>
          <w:color w:val="auto"/>
        </w:rPr>
      </w:pPr>
    </w:p>
    <w:p>
      <w:pPr>
        <w:ind w:left="1020" w:right="20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impact of inflation, macroeconomic conditions and geopolitical conflicts on our business and operations, including on our manufacturing suppliers, collaborators, contract research organizations (“CROs”) and employees; and</w:t>
      </w:r>
    </w:p>
    <w:p>
      <w:pPr>
        <w:spacing w:after="0" w:line="62"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(the “JOBS Act”).</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in Part I, Item 1A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Annual Report, whether as a result of any new information, future events, or otherwise.</w:t>
      </w:r>
    </w:p>
    <w:p>
      <w:pPr>
        <w:spacing w:after="0" w:line="18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RISK FACTORS SUMMARY</w:t>
      </w:r>
    </w:p>
    <w:p>
      <w:pPr>
        <w:spacing w:after="0" w:line="104" w:lineRule="exact"/>
        <w:rPr>
          <w:sz w:val="20"/>
          <w:szCs w:val="20"/>
          <w:color w:val="auto"/>
        </w:rPr>
      </w:pPr>
    </w:p>
    <w:p>
      <w:pPr>
        <w:jc w:val="both"/>
        <w:ind w:right="120" w:firstLine="509"/>
        <w:spacing w:after="0" w:line="255" w:lineRule="auto"/>
        <w:rPr>
          <w:sz w:val="20"/>
          <w:szCs w:val="20"/>
          <w:color w:val="auto"/>
        </w:rPr>
      </w:pPr>
      <w:r>
        <w:rPr>
          <w:rFonts w:ascii="Arial" w:cs="Arial" w:eastAsia="Arial" w:hAnsi="Arial"/>
          <w:sz w:val="17"/>
          <w:szCs w:val="17"/>
          <w:color w:val="auto"/>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“Risk Factors” in Part I, Item 1A of this Annual Report.</w:t>
      </w:r>
    </w:p>
    <w:p>
      <w:pPr>
        <w:spacing w:after="0" w:line="2" w:lineRule="exact"/>
        <w:rPr>
          <w:sz w:val="20"/>
          <w:szCs w:val="20"/>
          <w:color w:val="auto"/>
        </w:rPr>
      </w:pPr>
    </w:p>
    <w:p>
      <w:pPr>
        <w:jc w:val="both"/>
        <w:ind w:right="140"/>
        <w:spacing w:after="0" w:line="242" w:lineRule="auto"/>
        <w:rPr>
          <w:sz w:val="20"/>
          <w:szCs w:val="20"/>
          <w:color w:val="auto"/>
        </w:rPr>
      </w:pPr>
      <w:r>
        <w:rPr>
          <w:rFonts w:ascii="Arial" w:cs="Arial" w:eastAsia="Arial" w:hAnsi="Arial"/>
          <w:sz w:val="18"/>
          <w:szCs w:val="18"/>
          <w:color w:val="auto"/>
        </w:rPr>
        <w:t>This summary is qualified in its entirety by that more complete discussion of such risks and uncertainties. You should carefully consider the risks and uncertainties described under “Risk Factors” in Part I, Item 1A of this Annual Report as part of your evaluation of an investment in our common stock.</w:t>
      </w:r>
    </w:p>
    <w:p>
      <w:pPr>
        <w:spacing w:after="0" w:line="71" w:lineRule="exact"/>
        <w:rPr>
          <w:sz w:val="20"/>
          <w:szCs w:val="20"/>
          <w:color w:val="auto"/>
        </w:rPr>
      </w:pPr>
    </w:p>
    <w:p>
      <w:pPr>
        <w:jc w:val="both"/>
        <w:ind w:left="1020" w:right="2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are a clinical-stage biopharmaceutical company with a limited operating history and no products approved for commercial sale. We have incurred significant losses since our inception. We expect to incur losses over the next several years and may never achieve or maintain profitability.</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w:t>
      </w:r>
    </w:p>
    <w:p>
      <w:pPr>
        <w:spacing w:after="0" w:line="62"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to a large degree on the success of epetraborole. If we do not obtain regulatory approval for and successfully commercialize epetraborole or any of our other product candidates, or if we experience further significant delays in doing so, we may never become profitable.</w:t>
      </w:r>
    </w:p>
    <w:p>
      <w:pPr>
        <w:spacing w:after="0" w:line="62" w:lineRule="exact"/>
        <w:rPr>
          <w:rFonts w:ascii="Times New Roman" w:cs="Times New Roman" w:eastAsia="Times New Roman" w:hAnsi="Times New Roman"/>
          <w:sz w:val="18"/>
          <w:szCs w:val="18"/>
          <w:color w:val="auto"/>
        </w:rPr>
      </w:pPr>
    </w:p>
    <w:p>
      <w:pPr>
        <w:ind w:left="1020" w:right="220" w:hanging="503"/>
        <w:spacing w:after="0" w:line="24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clinical trials of epetraborole or any other product candidate that we may advance to clinical trials fail to demonstrate safety, tolerability and/or efficacy to the satisfaction of the U.S. Food and Drug Administration (“FDA”), Japan’s Pharmaceuticals and Medical Devices Agency (“PMDA”), or other comparable regulatory authorities, or do not otherwise produce favorable results, we may incur additional costs or experience delays in completing, or ultimately be unable to complete, the development and commercialization of epetraborole or any other product candidate.</w:t>
      </w:r>
    </w:p>
    <w:p>
      <w:pPr>
        <w:spacing w:after="0" w:line="71" w:lineRule="exact"/>
        <w:rPr>
          <w:rFonts w:ascii="Times New Roman" w:cs="Times New Roman" w:eastAsia="Times New Roman" w:hAnsi="Times New Roman"/>
          <w:sz w:val="18"/>
          <w:szCs w:val="18"/>
          <w:color w:val="auto"/>
        </w:rPr>
      </w:pPr>
    </w:p>
    <w:p>
      <w:pPr>
        <w:ind w:left="1020" w:right="1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reopen enrollment in the Phase 3 part of our ongoing clinical trial in treatment-refractory MAC lung disease, or if we are unable to or experience delays in obtaining regulatory-authority allowance to study epetraborole in other patient populations, our receipt of necessary regulatory approvals could be delayed or prevented.</w:t>
      </w:r>
    </w:p>
    <w:p>
      <w:pPr>
        <w:spacing w:after="0" w:line="62" w:lineRule="exact"/>
        <w:rPr>
          <w:rFonts w:ascii="Times New Roman" w:cs="Times New Roman" w:eastAsia="Times New Roman" w:hAnsi="Times New Roman"/>
          <w:sz w:val="18"/>
          <w:szCs w:val="18"/>
          <w:color w:val="auto"/>
        </w:rPr>
      </w:pPr>
    </w:p>
    <w:p>
      <w:pPr>
        <w:ind w:left="1020" w:right="2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data we have collected and continue to collect in our Phase 1 programs, and from our ongoing Phase 2/3 trial, may not support continued clinical investigation or may lead to adjustments in trial design, rendering the trial not feasible to conduct or otherwise not acceptable to the FDA or to us.</w:t>
      </w:r>
    </w:p>
    <w:p>
      <w:pPr>
        <w:spacing w:after="0" w:line="62"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46" w:lineRule="exact"/>
        <w:rPr>
          <w:rFonts w:ascii="Times New Roman" w:cs="Times New Roman" w:eastAsia="Times New Roman" w:hAnsi="Times New Roman"/>
          <w:sz w:val="18"/>
          <w:szCs w:val="18"/>
          <w:color w:val="auto"/>
        </w:rPr>
      </w:pPr>
    </w:p>
    <w:p>
      <w:pPr>
        <w:ind w:left="1020" w:right="100" w:hanging="503"/>
        <w:spacing w:after="0" w:line="246"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single-sourced third parties to conduct the preclinical and nonclinical studies, clinical trials, and manufacture of our clinical trial material for epetraborole and our other product candidates, and those third parties may not perform satisfactorily, including failing to meet deadlines for the completion of such studies, trials and manufacturing services or failing to comply with applicable regulatory requirements.</w:t>
      </w:r>
    </w:p>
    <w:p>
      <w:pPr>
        <w:spacing w:after="0" w:line="68" w:lineRule="exact"/>
        <w:rPr>
          <w:rFonts w:ascii="Times New Roman" w:cs="Times New Roman" w:eastAsia="Times New Roman" w:hAnsi="Times New Roman"/>
          <w:sz w:val="18"/>
          <w:szCs w:val="18"/>
          <w:color w:val="auto"/>
        </w:rPr>
      </w:pPr>
    </w:p>
    <w:p>
      <w:pPr>
        <w:ind w:left="1020" w:right="80" w:hanging="503"/>
        <w:spacing w:after="0" w:line="24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Even if epetraborole or any of our other product candidates receives regulatory approval, they may fail to achieve the degree of market acceptance by physicians, patients, third-party payors and others in the medical community necessary for commercial success. If we are unable to establish sales, marketing, and distribution capabilities for epetraborole or our other product candidates, or enter into sales, marketing, and distribution agreements with third parties, we may not be successful in commercializing our product candidates, if and when they are approved.</w:t>
      </w:r>
    </w:p>
    <w:p>
      <w:pPr>
        <w:spacing w:after="0" w:line="71"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46"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operate with a small team and our future success depends on our ability to retain key executives and to attract, retain, and motivate qualified personnel.</w:t>
      </w:r>
    </w:p>
    <w:p>
      <w:pPr>
        <w:spacing w:after="0" w:line="46" w:lineRule="exact"/>
        <w:rPr>
          <w:rFonts w:ascii="Times New Roman" w:cs="Times New Roman" w:eastAsia="Times New Roman" w:hAnsi="Times New Roman"/>
          <w:sz w:val="18"/>
          <w:szCs w:val="18"/>
          <w:color w:val="auto"/>
        </w:rPr>
      </w:pPr>
    </w:p>
    <w:p>
      <w:pPr>
        <w:ind w:left="1020" w:right="40" w:hanging="503"/>
        <w:spacing w:after="0" w:line="246"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 w:name="page6"/>
    <w:bookmarkEnd w:id="5"/>
    <w:p>
      <w:pPr>
        <w:ind w:left="503" w:right="120" w:hanging="503"/>
        <w:spacing w:after="0" w:line="243" w:lineRule="auto"/>
        <w:tabs>
          <w:tab w:leader="none" w:pos="503"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rights to develop and commercialize our technology, epetraborole, and our other product candidates are subject, in large part, to the terms and conditions of licenses granted to us by others, including Anacor Pharmaceuticals, Inc. (a wholly owned subsidiary of Pfizer) (“Anacor”). If we fail to comply with our obligations in the agreements under which we in-license or acquire development or commercialization rights to products, technology, or data from third parties, we could lose such rights that are important to our business.</w:t>
      </w:r>
    </w:p>
    <w:p>
      <w:pPr>
        <w:spacing w:after="0" w:line="71" w:lineRule="exact"/>
        <w:rPr>
          <w:rFonts w:ascii="Times New Roman" w:cs="Times New Roman" w:eastAsia="Times New Roman" w:hAnsi="Times New Roman"/>
          <w:sz w:val="18"/>
          <w:szCs w:val="18"/>
          <w:color w:val="auto"/>
        </w:rPr>
      </w:pPr>
    </w:p>
    <w:p>
      <w:pPr>
        <w:ind w:left="503" w:hanging="503"/>
        <w:spacing w:after="0" w:line="246" w:lineRule="auto"/>
        <w:tabs>
          <w:tab w:leader="none" w:pos="503"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obtain and maintain patent and other intellectual property protection for our technology, or for epetraborole or our other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68" w:lineRule="exact"/>
        <w:rPr>
          <w:rFonts w:ascii="Times New Roman" w:cs="Times New Roman" w:eastAsia="Times New Roman" w:hAnsi="Times New Roman"/>
          <w:sz w:val="18"/>
          <w:szCs w:val="18"/>
          <w:color w:val="auto"/>
        </w:rPr>
      </w:pPr>
    </w:p>
    <w:p>
      <w:pPr>
        <w:ind w:left="503" w:right="380" w:hanging="503"/>
        <w:spacing w:after="0" w:line="300" w:lineRule="auto"/>
        <w:tabs>
          <w:tab w:leader="none" w:pos="503"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If we are not able to obtain, or if there are delays in obtaining, required regulatory approvals, we will not be able to commercialize epetraborole or our other product candidates, and our ability to generate revenue will be materially impaired.</w:t>
      </w:r>
    </w:p>
    <w:p>
      <w:pPr>
        <w:spacing w:after="0" w:line="23" w:lineRule="exact"/>
        <w:rPr>
          <w:rFonts w:ascii="Times New Roman" w:cs="Times New Roman" w:eastAsia="Times New Roman" w:hAnsi="Times New Roman"/>
          <w:sz w:val="17"/>
          <w:szCs w:val="17"/>
          <w:color w:val="auto"/>
        </w:rPr>
      </w:pPr>
    </w:p>
    <w:p>
      <w:pPr>
        <w:jc w:val="both"/>
        <w:ind w:left="503" w:right="280" w:hanging="503"/>
        <w:spacing w:after="0" w:line="270" w:lineRule="auto"/>
        <w:tabs>
          <w:tab w:leader="none" w:pos="503"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Future legislation, and/or regulations and policies adopted by the FDA, the PMDA or comparable regulatory authorities, may increase the time and cost required for us to conduct and complete clinical trials of epetraborole or other product candidates.</w:t>
      </w:r>
    </w:p>
    <w:p>
      <w:pPr>
        <w:spacing w:after="0" w:line="4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trading price of our common stock may be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093" w:right="379" w:bottom="1440" w:gutter="0" w:footer="0" w:header="0"/>
        </w:sectPr>
      </w:pPr>
    </w:p>
    <w:bookmarkStart w:id="6" w:name="page7"/>
    <w:bookmarkEnd w:id="6"/>
    <w:p>
      <w:pPr>
        <w:jc w:val="center"/>
        <w:ind w:left="500"/>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AN2 Therapeutics, Inc. (also referred to in this document as “AN2,” “we,” the “Company” or the “Registrant”) is a clinical-stage biopharmaceutical company developing treatments for rare, chronic, and serious infectious diseases with high unmet needs. Our initial candidate is epetraborole, which we are studying as a potential once-daily, oral treatment with a novel mechanism of action for patients with non-tuberculous mycobacterial (“NTM”) lung disease, a rare, chronic and progressive infectious disease caused by bacteria known as mycobacteria, which leads to irreversible lung damage and can be fatal.</w:t>
      </w:r>
    </w:p>
    <w:p>
      <w:pPr>
        <w:spacing w:after="0" w:line="68"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 February 2024, we voluntarily paused Phase 3 enrollment in the seamless Phase 2/3 clinical trial (“EBO-301”) evaluating epetraborole in treatment-refractory MAC lung disease, pending further study-data review and discussion with the FDA, due to potentially lower-than-expected efficacy results following a blinded aggregate analysis. The decision to pause enrollment was not due to safety concerns. We met with the study’s independent Data Safety Monitoring Board (“DSMB”) in March 2024 and plan to meet with the FDA in the coming months. In the meantime, patients enrolled in the study before the enrollment pause will continue to be dosed with blinded study drug and undergo all study assessments. The Phase 2 portion of the trial has completed enrollment, with topline data expected in August 2024.</w:t>
      </w:r>
    </w:p>
    <w:p>
      <w:pPr>
        <w:spacing w:after="0" w:line="71"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Epetraborole is designed to produce broad-spectrum antimycobacterial activity through inhibition of an essential and universal step in bacterial protein synthesis. Its novel mechanism of action is enabled by boron chemistry, our core technology approach. We in-licensed the exclusive worldwide development and commercialization rights for epetraborole from Anacor, acquired by Pfizer Inc. (“Pfizer”) in 2019.</w:t>
      </w:r>
    </w:p>
    <w:p>
      <w:pPr>
        <w:spacing w:after="0" w:line="61"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The FDA granted us Fast Track designation to investigate epetraborole for treatment-refractory MAC lung disease, Qualified Infectious Disease Product (“QIDP”) designation for treatment-refractory MAC lung disease, and orphan drug designation for the treatment of infections caused by NTM. We have also received orphan medicinal product designation from the European Commission for the treatment of NTM lung disease using epetraborole. Based on clinical and preclinical data generated with epetraborole, its novel mechanism of action, and the convenience associated with once-daily, oral dosing, we believe that epetraborole, if approved, has the potential to become an important component of a multi-drug treatment regimen for patients suffering from NTM lung disease.</w:t>
      </w:r>
    </w:p>
    <w:p>
      <w:pPr>
        <w:spacing w:after="0" w:line="7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 xml:space="preserve">We are also conducting Investigational New Drug Application (“IND”) enabling studies with AN2-502998 (formerly known as AN15368), an investigational, boron-based small molecule in development for the treatment of chronic Chagas disease. In October 2023, we announced an exclusive license agreement with the University of Georgia Research Foundation to advance its development. AN2-502998 was originally discovered by researchers at Anacor, in close collaboration with the University of Georgia. AN2-502998 is the only compound of which we are aware to have demonstrated curative activity in preclinical studies across multiple species, including in non-human primates with long-term, naturally acquired chronic infections of diverse </w:t>
      </w:r>
      <w:r>
        <w:rPr>
          <w:rFonts w:ascii="Arial" w:cs="Arial" w:eastAsia="Arial" w:hAnsi="Arial"/>
          <w:sz w:val="18"/>
          <w:szCs w:val="18"/>
          <w:i w:val="1"/>
          <w:iCs w:val="1"/>
          <w:color w:val="auto"/>
        </w:rPr>
        <w:t>T. cruzi</w:t>
      </w:r>
      <w:r>
        <w:rPr>
          <w:rFonts w:ascii="Arial" w:cs="Arial" w:eastAsia="Arial" w:hAnsi="Arial"/>
          <w:sz w:val="18"/>
          <w:szCs w:val="18"/>
          <w:color w:val="auto"/>
        </w:rPr>
        <w:t xml:space="preserve"> genetic types.</w:t>
      </w:r>
    </w:p>
    <w:p>
      <w:pPr>
        <w:spacing w:after="0" w:line="7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addition to these programs, we intend to pursue epetraborole and other compounds for diseases associated with global health initiatives, including melioidosis, tuberculosis and malaria, primarily using non-dilutive funding from sources such as public and private agencies and foundations. In September 2023 we announced that we received a research grant from the Bill and Melinda Gates Foundation to discover novel, boron containing small molecules for the treatment of tuberculosis and malaria. In 2022 we received a cost-reimbursement contract award from the National Institute of Allergy and Infectious Diseases (“NIAID”), part of the National Institutes of Health (“NIH”), under which we are able to receive up to $17.8 million in cost reimbursements to advance the development of epetraborole for acute systemic melioidosis and other biothreat pathogens.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status of each of our other programs is listed below:</w:t>
      </w:r>
    </w:p>
    <w:p>
      <w:pPr>
        <w:spacing w:after="0" w:line="104" w:lineRule="exact"/>
        <w:rPr>
          <w:sz w:val="20"/>
          <w:szCs w:val="20"/>
          <w:color w:val="auto"/>
        </w:rPr>
      </w:pPr>
    </w:p>
    <w:p>
      <w:pPr>
        <w:jc w:val="both"/>
        <w:ind w:left="1020" w:right="200" w:hanging="503"/>
        <w:spacing w:after="0" w:line="300" w:lineRule="auto"/>
        <w:tabs>
          <w:tab w:leader="none" w:pos="102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Frontline MAC lung disease: </w:t>
      </w:r>
      <w:r>
        <w:rPr>
          <w:rFonts w:ascii="Arial" w:cs="Arial" w:eastAsia="Arial" w:hAnsi="Arial"/>
          <w:sz w:val="17"/>
          <w:szCs w:val="17"/>
          <w:color w:val="auto"/>
        </w:rPr>
        <w:t>We plan to review Phase 2 clinical data in treatment-refractory MAC lung disease from EBO-301,</w:t>
      </w:r>
      <w:r>
        <w:rPr>
          <w:rFonts w:ascii="Arial" w:cs="Arial" w:eastAsia="Arial" w:hAnsi="Arial"/>
          <w:sz w:val="17"/>
          <w:szCs w:val="17"/>
          <w:i w:val="1"/>
          <w:iCs w:val="1"/>
          <w:color w:val="auto"/>
        </w:rPr>
        <w:t xml:space="preserve"> </w:t>
      </w:r>
      <w:r>
        <w:rPr>
          <w:rFonts w:ascii="Arial" w:cs="Arial" w:eastAsia="Arial" w:hAnsi="Arial"/>
          <w:sz w:val="17"/>
          <w:szCs w:val="17"/>
          <w:color w:val="auto"/>
        </w:rPr>
        <w:t>when available, to inform further investigation of epetraborole as part of a frontline combination regimen in MAC lung disease.</w:t>
      </w:r>
    </w:p>
    <w:p>
      <w:pPr>
        <w:spacing w:after="0" w:line="23" w:lineRule="exact"/>
        <w:rPr>
          <w:rFonts w:ascii="Times New Roman" w:cs="Times New Roman" w:eastAsia="Times New Roman" w:hAnsi="Times New Roman"/>
          <w:sz w:val="17"/>
          <w:szCs w:val="17"/>
          <w:color w:val="auto"/>
        </w:rPr>
      </w:pPr>
    </w:p>
    <w:p>
      <w:pPr>
        <w:ind w:left="1020" w:right="160" w:hanging="503"/>
        <w:spacing w:after="0" w:line="24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 abscessus lung disease</w:t>
      </w:r>
      <w:r>
        <w:rPr>
          <w:rFonts w:ascii="Arial" w:cs="Arial" w:eastAsia="Arial" w:hAnsi="Arial"/>
          <w:sz w:val="18"/>
          <w:szCs w:val="18"/>
          <w:color w:val="auto"/>
        </w:rPr>
        <w:t>: We intend to pursue development of epetraborole as a first-line therapy in M. abscessus lung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disease, which represents a smaller subset of NTM (~20% of NTM patients) but also has a high unmet need. We are currently conducting nonclinical studies as part of dose selection to support clinical development of epetraborole in this disease. Current treatments for </w:t>
      </w:r>
      <w:r>
        <w:rPr>
          <w:rFonts w:ascii="Arial" w:cs="Arial" w:eastAsia="Arial" w:hAnsi="Arial"/>
          <w:sz w:val="18"/>
          <w:szCs w:val="18"/>
          <w:i w:val="1"/>
          <w:iCs w:val="1"/>
          <w:color w:val="auto"/>
        </w:rPr>
        <w:t>M. abscessus</w:t>
      </w:r>
      <w:r>
        <w:rPr>
          <w:rFonts w:ascii="Arial" w:cs="Arial" w:eastAsia="Arial" w:hAnsi="Arial"/>
          <w:sz w:val="18"/>
          <w:szCs w:val="18"/>
          <w:color w:val="auto"/>
        </w:rPr>
        <w:t xml:space="preserve"> lung disease have poor efficacy (~50%), are often delivered by intravenous infusion and have significant tolerability and safety issues. We believe that oral epetraborole, in combination with other drugs, has the potential to treat </w:t>
      </w:r>
      <w:r>
        <w:rPr>
          <w:rFonts w:ascii="Arial" w:cs="Arial" w:eastAsia="Arial" w:hAnsi="Arial"/>
          <w:sz w:val="18"/>
          <w:szCs w:val="18"/>
          <w:i w:val="1"/>
          <w:iCs w:val="1"/>
          <w:color w:val="auto"/>
        </w:rPr>
        <w:t>M. abscessus</w:t>
      </w:r>
      <w:r>
        <w:rPr>
          <w:rFonts w:ascii="Arial" w:cs="Arial" w:eastAsia="Arial" w:hAnsi="Arial"/>
          <w:sz w:val="18"/>
          <w:szCs w:val="18"/>
          <w:color w:val="auto"/>
        </w:rPr>
        <w:t xml:space="preserve"> lung disease based on the in vitro and in vivo potency observed against multiple isolates.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ind w:left="1020" w:right="20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Melioidosis</w:t>
      </w:r>
      <w:r>
        <w:rPr>
          <w:rFonts w:ascii="Arial" w:cs="Arial" w:eastAsia="Arial" w:hAnsi="Arial"/>
          <w:sz w:val="18"/>
          <w:szCs w:val="18"/>
          <w:color w:val="auto"/>
        </w:rPr>
        <w:t>: In September 2022 we received a cost-reimbursement contract award from the NIAID under which we are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up to $17.8 million in non-dilutive funding to support preclinical, Phase 1 studies, and other activities to enable advancement of epetraborole into advanced clinical trials for acute systemic melioidosis. Following contract initiation, we have conducted nonclinical studies to support clinical development of intravenous (IV) epetraborole for acute melioidosis. We have also initiated CMC studies to manufacture a suitable IV formulation of epetraborole for planned clinical trials. In 2023, we initiated a prospective observational study in Thailand and Laos to evaluate the clinical characteristics, current practice and outcomes in adult patients with suspected or confirmed acute melioidosis.</w:t>
      </w:r>
    </w:p>
    <w:p>
      <w:pPr>
        <w:spacing w:after="0" w:line="75"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Broad spectrum MAC and M. abscessus lung disease: </w:t>
      </w:r>
      <w:r>
        <w:rPr>
          <w:rFonts w:ascii="Arial" w:cs="Arial" w:eastAsia="Arial" w:hAnsi="Arial"/>
          <w:sz w:val="18"/>
          <w:szCs w:val="18"/>
          <w:color w:val="auto"/>
        </w:rPr>
        <w:t>We are conducting research activities to develop novel targets for broad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spectrum MAC and </w:t>
      </w:r>
      <w:r>
        <w:rPr>
          <w:rFonts w:ascii="Arial" w:cs="Arial" w:eastAsia="Arial" w:hAnsi="Arial"/>
          <w:sz w:val="18"/>
          <w:szCs w:val="18"/>
          <w:i w:val="1"/>
          <w:iCs w:val="1"/>
          <w:color w:val="auto"/>
        </w:rPr>
        <w:t>M. abscessus</w:t>
      </w:r>
      <w:r>
        <w:rPr>
          <w:rFonts w:ascii="Arial" w:cs="Arial" w:eastAsia="Arial" w:hAnsi="Arial"/>
          <w:sz w:val="18"/>
          <w:szCs w:val="18"/>
          <w:color w:val="auto"/>
        </w:rPr>
        <w:t xml:space="preserve"> lung disease.</w:t>
      </w:r>
    </w:p>
    <w:p>
      <w:pPr>
        <w:spacing w:after="0" w:line="4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Tuberculosis and Malaria: </w:t>
      </w:r>
      <w:r>
        <w:rPr>
          <w:rFonts w:ascii="Arial" w:cs="Arial" w:eastAsia="Arial" w:hAnsi="Arial"/>
          <w:sz w:val="18"/>
          <w:szCs w:val="18"/>
          <w:color w:val="auto"/>
        </w:rPr>
        <w:t>In September 2023 we announced that we received a research grant from the Bill and Melinda Gates</w:t>
      </w:r>
      <w:r>
        <w:rPr>
          <w:rFonts w:ascii="Arial" w:cs="Arial" w:eastAsia="Arial" w:hAnsi="Arial"/>
          <w:sz w:val="18"/>
          <w:szCs w:val="18"/>
          <w:i w:val="1"/>
          <w:iCs w:val="1"/>
          <w:color w:val="auto"/>
        </w:rPr>
        <w:t xml:space="preserve"> </w:t>
      </w:r>
      <w:r>
        <w:rPr>
          <w:rFonts w:ascii="Arial" w:cs="Arial" w:eastAsia="Arial" w:hAnsi="Arial"/>
          <w:sz w:val="18"/>
          <w:szCs w:val="18"/>
          <w:color w:val="auto"/>
        </w:rPr>
        <w:t>Foundation to discover novel, boron containing small molecules for the treatment of tuberculosis and malaria.</w:t>
      </w:r>
    </w:p>
    <w:p>
      <w:pPr>
        <w:spacing w:after="0" w:line="14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plan to continue to invest in expanding our pipeline of product candidates. We have several research programs targeting the development of novel antimicrobial compounds based on our boron chemistry platform. We believe there is a significant need for novel NTM drugs that improve upon the currently available antibiotics that have variable efficacy, safety and tolerability profiles. We anticipate that such compounds could have the potential to be developed in combination with epetraborole and other NTM therapies for the treatment of NTM lung disease. We are also applying our boron research capabilities to discover and develop novel therapeutics for other rare or chronic infectious diseases, including tuberculosis and malaria. In addition to our internal research efforts, our strategy also includes seeking in-licensing or other acquisitions of other compounds that are complementary to our mission.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Epetraborole Key Attributes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development of epetraborole in NTM lung disease represents an attractive opportunity for the following reasons:</w:t>
      </w:r>
    </w:p>
    <w:p>
      <w:pPr>
        <w:spacing w:after="0" w:line="104" w:lineRule="exact"/>
        <w:rPr>
          <w:sz w:val="20"/>
          <w:szCs w:val="20"/>
          <w:color w:val="auto"/>
        </w:rPr>
      </w:pPr>
    </w:p>
    <w:p>
      <w:pPr>
        <w:ind w:left="1020" w:right="32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Large market opportunity. </w:t>
      </w:r>
      <w:r>
        <w:rPr>
          <w:rFonts w:ascii="Arial" w:cs="Arial" w:eastAsia="Arial" w:hAnsi="Arial"/>
          <w:sz w:val="18"/>
          <w:szCs w:val="18"/>
          <w:color w:val="auto"/>
        </w:rPr>
        <w:t>Treatment-refractory and frontline MAC lung disease requires long-term, daily antimycobacterial</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There is a high unmet need in NTM lung disease and an opportunity for a safe, tolerable, effective, and oral antibacterial drug that could significantly improve patient outcomes.</w:t>
      </w:r>
    </w:p>
    <w:p>
      <w:pPr>
        <w:spacing w:after="0" w:line="62" w:lineRule="exact"/>
        <w:rPr>
          <w:rFonts w:ascii="Times New Roman" w:cs="Times New Roman" w:eastAsia="Times New Roman" w:hAnsi="Times New Roman"/>
          <w:sz w:val="18"/>
          <w:szCs w:val="18"/>
          <w:color w:val="auto"/>
        </w:rPr>
      </w:pPr>
    </w:p>
    <w:p>
      <w:pPr>
        <w:ind w:left="1020" w:hanging="503"/>
        <w:spacing w:after="0" w:line="239"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Novel mechanism of action with a broad spectrum of antimycobacterial activity. </w:t>
      </w:r>
      <w:r>
        <w:rPr>
          <w:rFonts w:ascii="Arial" w:cs="Arial" w:eastAsia="Arial" w:hAnsi="Arial"/>
          <w:sz w:val="18"/>
          <w:szCs w:val="18"/>
          <w:color w:val="auto"/>
        </w:rPr>
        <w:t>Epetraborole has a novel mechanism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action – inhibition of bacterial leucyl-tRNA synthetase, a bacterial target for which there are no approved therapies. Epetraborole has demonstrated broad antimycobacterial activity in preclinical studies against MAC, including but not limited to </w:t>
      </w:r>
      <w:r>
        <w:rPr>
          <w:rFonts w:ascii="Arial" w:cs="Arial" w:eastAsia="Arial" w:hAnsi="Arial"/>
          <w:sz w:val="18"/>
          <w:szCs w:val="18"/>
          <w:i w:val="1"/>
          <w:iCs w:val="1"/>
          <w:color w:val="auto"/>
        </w:rPr>
        <w:t>M. avium</w:t>
      </w:r>
      <w:r>
        <w:rPr>
          <w:rFonts w:ascii="Arial" w:cs="Arial" w:eastAsia="Arial" w:hAnsi="Arial"/>
          <w:sz w:val="18"/>
          <w:szCs w:val="18"/>
          <w:color w:val="auto"/>
        </w:rPr>
        <w:t xml:space="preserve">, </w:t>
      </w:r>
      <w:r>
        <w:rPr>
          <w:rFonts w:ascii="Arial" w:cs="Arial" w:eastAsia="Arial" w:hAnsi="Arial"/>
          <w:sz w:val="18"/>
          <w:szCs w:val="18"/>
          <w:i w:val="1"/>
          <w:iCs w:val="1"/>
          <w:color w:val="auto"/>
        </w:rPr>
        <w:t>M.</w:t>
      </w:r>
      <w:r>
        <w:rPr>
          <w:rFonts w:ascii="Arial" w:cs="Arial" w:eastAsia="Arial" w:hAnsi="Arial"/>
          <w:sz w:val="18"/>
          <w:szCs w:val="18"/>
          <w:color w:val="auto"/>
        </w:rPr>
        <w:t xml:space="preserve"> </w:t>
      </w:r>
      <w:r>
        <w:rPr>
          <w:rFonts w:ascii="Arial" w:cs="Arial" w:eastAsia="Arial" w:hAnsi="Arial"/>
          <w:sz w:val="18"/>
          <w:szCs w:val="18"/>
          <w:i w:val="1"/>
          <w:iCs w:val="1"/>
          <w:color w:val="auto"/>
        </w:rPr>
        <w:t>intracellulare</w:t>
      </w:r>
      <w:r>
        <w:rPr>
          <w:rFonts w:ascii="Arial" w:cs="Arial" w:eastAsia="Arial" w:hAnsi="Arial"/>
          <w:sz w:val="18"/>
          <w:szCs w:val="18"/>
          <w:color w:val="auto"/>
        </w:rPr>
        <w:t>, and</w:t>
      </w:r>
      <w:r>
        <w:rPr>
          <w:rFonts w:ascii="Arial" w:cs="Arial" w:eastAsia="Arial" w:hAnsi="Arial"/>
          <w:sz w:val="18"/>
          <w:szCs w:val="18"/>
          <w:i w:val="1"/>
          <w:iCs w:val="1"/>
          <w:color w:val="auto"/>
        </w:rPr>
        <w:t xml:space="preserve"> M. chimaera</w:t>
      </w:r>
      <w:r>
        <w:rPr>
          <w:rFonts w:ascii="Arial" w:cs="Arial" w:eastAsia="Arial" w:hAnsi="Arial"/>
          <w:sz w:val="18"/>
          <w:szCs w:val="18"/>
          <w:color w:val="auto"/>
        </w:rPr>
        <w:t>, which is the most common group of NTM that causes human disease (~80% cases) and is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focus of epetraborole’s clinical development. Furthermore, epetraborole has also shown activity against strains that are resistant to other antibiotics currently used to treat NTM lung disease. For example, epetraborole has demonstrated potent in vitro activity as compared to M. abscessus, a rapid-growing NTM species that has a high unmet need for new effective antibiotics.</w:t>
      </w:r>
    </w:p>
    <w:p>
      <w:pPr>
        <w:spacing w:after="0" w:line="78" w:lineRule="exact"/>
        <w:rPr>
          <w:rFonts w:ascii="Times New Roman" w:cs="Times New Roman" w:eastAsia="Times New Roman" w:hAnsi="Times New Roman"/>
          <w:sz w:val="18"/>
          <w:szCs w:val="18"/>
          <w:color w:val="auto"/>
        </w:rPr>
      </w:pPr>
    </w:p>
    <w:p>
      <w:pPr>
        <w:ind w:left="1020" w:right="280" w:hanging="503"/>
        <w:spacing w:after="0" w:line="246"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Substantial data support ongoing clinical studies. </w:t>
      </w:r>
      <w:r>
        <w:rPr>
          <w:rFonts w:ascii="Arial" w:cs="Arial" w:eastAsia="Arial" w:hAnsi="Arial"/>
          <w:sz w:val="18"/>
          <w:szCs w:val="18"/>
          <w:color w:val="auto"/>
        </w:rPr>
        <w:t>Epetraborole has been investigated by AN2 in four completed Phase 1</w:t>
      </w:r>
      <w:r>
        <w:rPr>
          <w:rFonts w:ascii="Arial" w:cs="Arial" w:eastAsia="Arial" w:hAnsi="Arial"/>
          <w:sz w:val="18"/>
          <w:szCs w:val="18"/>
          <w:b w:val="1"/>
          <w:bCs w:val="1"/>
          <w:color w:val="auto"/>
        </w:rPr>
        <w:t xml:space="preserve"> </w:t>
      </w:r>
      <w:r>
        <w:rPr>
          <w:rFonts w:ascii="Arial" w:cs="Arial" w:eastAsia="Arial" w:hAnsi="Arial"/>
          <w:sz w:val="18"/>
          <w:szCs w:val="18"/>
          <w:color w:val="auto"/>
        </w:rPr>
        <w:t>studies and eight additional studies by Anacor and Anacor’s previous partner, GSK. The Anacor and GSK studies, in intravenous and oral formulations of epetraborole, included six Phase 1 and two truncated Phase 2 clinical trials in over 200 subjects at a wide range of clinical doses. In 2023, we completed a Phase 1 thorough QT study (EBO-104).</w:t>
      </w:r>
    </w:p>
    <w:p>
      <w:pPr>
        <w:spacing w:after="0" w:line="68" w:lineRule="exact"/>
        <w:rPr>
          <w:rFonts w:ascii="Times New Roman" w:cs="Times New Roman" w:eastAsia="Times New Roman" w:hAnsi="Times New Roman"/>
          <w:sz w:val="18"/>
          <w:szCs w:val="18"/>
          <w:color w:val="auto"/>
        </w:rPr>
      </w:pPr>
    </w:p>
    <w:p>
      <w:pPr>
        <w:ind w:left="1020" w:right="20" w:hanging="503"/>
        <w:spacing w:after="0" w:line="239"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Compatibility with guideline-based combination treatments. </w:t>
      </w:r>
      <w:r>
        <w:rPr>
          <w:rFonts w:ascii="Arial" w:cs="Arial" w:eastAsia="Arial" w:hAnsi="Arial"/>
          <w:sz w:val="18"/>
          <w:szCs w:val="18"/>
          <w:color w:val="auto"/>
        </w:rPr>
        <w:t>The current standard of care therapy for NTM lung disease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administration of three or more antimycobacterial agents, the combination of which improves efficacy, shortens the duration of therapy, and significantly reduces the chance that resistance to individual drugs would develop. Given epetraborole’s novel mechanism of action and low observed potential for drug-drug interactions with existing antibiotics, we believe epetraborole, if approved, has the potential to become an important component of a multi-drug treatment regimen for patients living with treatment-refractory MAC lung disease. Additionally, in nonclinical pharmacokinetic models of NTM MAC infection, epetraborole added on top of a triple-drug guideline-based regimen demonstrated significantly improved bacteria reductions vs. guideline therapy alone.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 w:name="page9"/>
    <w:bookmarkEnd w:id="8"/>
    <w:p>
      <w:pPr>
        <w:ind w:left="1020" w:right="300" w:hanging="503"/>
        <w:spacing w:after="0" w:line="246"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Potential for up to twelve years of non-patent regulatory exclusivity in the United States, if approved. </w:t>
      </w:r>
      <w:r>
        <w:rPr>
          <w:rFonts w:ascii="Arial" w:cs="Arial" w:eastAsia="Arial" w:hAnsi="Arial"/>
          <w:sz w:val="18"/>
          <w:szCs w:val="18"/>
          <w:color w:val="auto"/>
        </w:rPr>
        <w:t>In addition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and potential future patent protection in the major geographies, epetraborole, if approved for patients with treatment-refractory MAC lung disease, has the potential to receive up to 12 years of post-approval, non-patent regulatory exclusivity in the U.S. based on its existing QIDP and orphan drug designations.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Epetraborole Mechanism of Action</w:t>
      </w:r>
    </w:p>
    <w:p>
      <w:pPr>
        <w:spacing w:after="0" w:line="102" w:lineRule="exact"/>
        <w:rPr>
          <w:sz w:val="20"/>
          <w:szCs w:val="20"/>
          <w:color w:val="auto"/>
        </w:rPr>
      </w:pPr>
    </w:p>
    <w:p>
      <w:pPr>
        <w:ind w:right="20" w:firstLine="509"/>
        <w:spacing w:after="0" w:line="220" w:lineRule="auto"/>
        <w:rPr>
          <w:sz w:val="20"/>
          <w:szCs w:val="20"/>
          <w:color w:val="auto"/>
        </w:rPr>
      </w:pPr>
      <w:r>
        <w:rPr>
          <w:rFonts w:ascii="Arial" w:cs="Arial" w:eastAsia="Arial" w:hAnsi="Arial"/>
          <w:sz w:val="18"/>
          <w:szCs w:val="18"/>
          <w:color w:val="auto"/>
        </w:rPr>
        <w:t>Epetraborole is an investigational, boron-containing, orally bioavailable, small molecule inhibitor of bacterial leucyl-tRNA synthetase, or LeuRS, an enzyme that catalyzes the attachment of leucine to transfer RNA, or tRNA, molecules, an essential step in protein synthesis. As shown in Figure A below, epetraborole forms a complex with a tRNA</w:t>
      </w:r>
      <w:r>
        <w:rPr>
          <w:rFonts w:ascii="Arial" w:cs="Arial" w:eastAsia="Arial" w:hAnsi="Arial"/>
          <w:sz w:val="24"/>
          <w:szCs w:val="24"/>
          <w:color w:val="auto"/>
          <w:vertAlign w:val="superscript"/>
        </w:rPr>
        <w:t>Leu</w:t>
      </w:r>
      <w:r>
        <w:rPr>
          <w:rFonts w:ascii="Arial" w:cs="Arial" w:eastAsia="Arial" w:hAnsi="Arial"/>
          <w:sz w:val="18"/>
          <w:szCs w:val="18"/>
          <w:color w:val="auto"/>
        </w:rPr>
        <w:t xml:space="preserve"> molecule, trapping the terminal ribonucleotide of tRNA</w:t>
      </w:r>
      <w:r>
        <w:rPr>
          <w:rFonts w:ascii="Arial" w:cs="Arial" w:eastAsia="Arial" w:hAnsi="Arial"/>
          <w:sz w:val="24"/>
          <w:szCs w:val="24"/>
          <w:color w:val="auto"/>
          <w:vertAlign w:val="superscript"/>
        </w:rPr>
        <w:t>Leu</w:t>
      </w:r>
      <w:r>
        <w:rPr>
          <w:rFonts w:ascii="Arial" w:cs="Arial" w:eastAsia="Arial" w:hAnsi="Arial"/>
          <w:sz w:val="18"/>
          <w:szCs w:val="18"/>
          <w:color w:val="auto"/>
        </w:rPr>
        <w:t xml:space="preserve"> in the editing site of the enzyme, to prevent the synthetic site from attaching leucine to tRNA</w:t>
      </w:r>
      <w:r>
        <w:rPr>
          <w:rFonts w:ascii="Arial" w:cs="Arial" w:eastAsia="Arial" w:hAnsi="Arial"/>
          <w:sz w:val="24"/>
          <w:szCs w:val="24"/>
          <w:color w:val="auto"/>
          <w:vertAlign w:val="superscript"/>
        </w:rPr>
        <w:t>Leu</w:t>
      </w:r>
      <w:r>
        <w:rPr>
          <w:rFonts w:ascii="Arial" w:cs="Arial" w:eastAsia="Arial" w:hAnsi="Arial"/>
          <w:sz w:val="18"/>
          <w:szCs w:val="18"/>
          <w:color w:val="auto"/>
        </w:rPr>
        <w:t xml:space="preserve"> thus shutting down tRNA leucylation and leading to a block in protein synthesis.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126365</wp:posOffset>
            </wp:positionV>
            <wp:extent cx="3557270" cy="2657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727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0" w:right="100" w:hanging="3973"/>
        <w:spacing w:after="0" w:line="294" w:lineRule="auto"/>
        <w:rPr>
          <w:sz w:val="20"/>
          <w:szCs w:val="20"/>
          <w:color w:val="auto"/>
        </w:rPr>
      </w:pPr>
      <w:r>
        <w:rPr>
          <w:rFonts w:ascii="Arial" w:cs="Arial" w:eastAsia="Arial" w:hAnsi="Arial"/>
          <w:sz w:val="14"/>
          <w:szCs w:val="14"/>
          <w:b w:val="1"/>
          <w:bCs w:val="1"/>
          <w:color w:val="auto"/>
        </w:rPr>
        <w:t>Figure A. Epetraborole is designed to inhibit the protein synthesis enzyme leucyl-tRNA synthetase, or LeuRS, by binding to the terminal adenosine ribose of tRNALeu in the editing site.</w:t>
      </w:r>
    </w:p>
    <w:p>
      <w:pPr>
        <w:spacing w:after="0" w:line="136"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As shown in Table 1 below, epetraborole has demonstrated antimicrobial activity against a broad panel of 161 isolates of MAC, with minimum inhibitory concentrations, or MICs, of 0.25 mg/ml to 16 mg/ml. Epetraborole also maintained activity against MAC isolates that are resistant to clarithromycin, a current therapy for NTM treatment regimens.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MIC (mg/L)</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14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Epetraborole</w:t>
            </w:r>
          </w:p>
        </w:tc>
        <w:tc>
          <w:tcPr>
            <w:tcW w:w="14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Clarithromycin</w:t>
            </w:r>
          </w:p>
        </w:tc>
        <w:tc>
          <w:tcPr>
            <w:tcW w:w="140" w:type="dxa"/>
            <w:vAlign w:val="bottom"/>
          </w:tcPr>
          <w:p>
            <w:pPr>
              <w:spacing w:after="0"/>
              <w:rPr>
                <w:sz w:val="15"/>
                <w:szCs w:val="15"/>
                <w:color w:val="auto"/>
              </w:rPr>
            </w:pP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Amikacin</w:t>
            </w: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MIC Range</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0.25 - 16</w:t>
            </w:r>
          </w:p>
        </w:tc>
        <w:tc>
          <w:tcPr>
            <w:tcW w:w="15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0.125 - &gt;64</w:t>
            </w:r>
          </w:p>
        </w:tc>
        <w:tc>
          <w:tcPr>
            <w:tcW w:w="15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8"/>
              </w:rPr>
              <w:t>2 - &gt;64</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MIC</w:t>
            </w:r>
            <w:r>
              <w:rPr>
                <w:rFonts w:ascii="Arial" w:cs="Arial" w:eastAsia="Arial" w:hAnsi="Arial"/>
                <w:sz w:val="12"/>
                <w:szCs w:val="12"/>
                <w:color w:val="auto"/>
              </w:rPr>
              <w:t>50</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58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1</w:t>
            </w:r>
          </w:p>
        </w:tc>
        <w:tc>
          <w:tcPr>
            <w:tcW w:w="15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16</w:t>
            </w:r>
          </w:p>
        </w:tc>
      </w:tr>
      <w:tr>
        <w:trPr>
          <w:trHeight w:val="230"/>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MIC</w:t>
            </w:r>
            <w:r>
              <w:rPr>
                <w:rFonts w:ascii="Arial" w:cs="Arial" w:eastAsia="Arial" w:hAnsi="Arial"/>
                <w:sz w:val="12"/>
                <w:szCs w:val="12"/>
                <w:color w:val="auto"/>
              </w:rPr>
              <w:t>90</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w:t>
            </w:r>
          </w:p>
        </w:tc>
        <w:tc>
          <w:tcPr>
            <w:tcW w:w="158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4</w:t>
            </w:r>
          </w:p>
        </w:tc>
        <w:tc>
          <w:tcPr>
            <w:tcW w:w="15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32</w:t>
            </w:r>
          </w:p>
        </w:tc>
      </w:tr>
    </w:tbl>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 xml:space="preserve">Table 1. Antimicrobial activity of epetraborole, clarithromycin and amikacin against 161 isolates of MAC including </w:t>
      </w:r>
      <w:r>
        <w:rPr>
          <w:rFonts w:ascii="Arial" w:cs="Arial" w:eastAsia="Arial" w:hAnsi="Arial"/>
          <w:sz w:val="14"/>
          <w:szCs w:val="14"/>
          <w:b w:val="1"/>
          <w:bCs w:val="1"/>
          <w:i w:val="1"/>
          <w:iCs w:val="1"/>
          <w:color w:val="auto"/>
        </w:rPr>
        <w:t>M. intracellulare</w:t>
      </w:r>
      <w:r>
        <w:rPr>
          <w:rFonts w:ascii="Arial" w:cs="Arial" w:eastAsia="Arial" w:hAnsi="Arial"/>
          <w:sz w:val="14"/>
          <w:szCs w:val="14"/>
          <w:b w:val="1"/>
          <w:bCs w:val="1"/>
          <w:color w:val="auto"/>
        </w:rPr>
        <w:t xml:space="preserve"> isolates, </w:t>
      </w:r>
      <w:r>
        <w:rPr>
          <w:rFonts w:ascii="Arial" w:cs="Arial" w:eastAsia="Arial" w:hAnsi="Arial"/>
          <w:sz w:val="14"/>
          <w:szCs w:val="14"/>
          <w:b w:val="1"/>
          <w:bCs w:val="1"/>
          <w:i w:val="1"/>
          <w:iCs w:val="1"/>
          <w:color w:val="auto"/>
        </w:rPr>
        <w:t>M. avium</w:t>
      </w:r>
      <w:r>
        <w:rPr>
          <w:rFonts w:ascii="Arial" w:cs="Arial" w:eastAsia="Arial" w:hAnsi="Arial"/>
          <w:sz w:val="14"/>
          <w:szCs w:val="14"/>
          <w:b w:val="1"/>
          <w:bCs w:val="1"/>
          <w:color w:val="auto"/>
        </w:rPr>
        <w:t xml:space="preserve"> isolate, </w:t>
      </w:r>
      <w:r>
        <w:rPr>
          <w:rFonts w:ascii="Arial" w:cs="Arial" w:eastAsia="Arial" w:hAnsi="Arial"/>
          <w:sz w:val="14"/>
          <w:szCs w:val="14"/>
          <w:b w:val="1"/>
          <w:bCs w:val="1"/>
          <w:i w:val="1"/>
          <w:iCs w:val="1"/>
          <w:color w:val="auto"/>
        </w:rPr>
        <w:t>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 xml:space="preserve">avium </w:t>
      </w:r>
      <w:r>
        <w:rPr>
          <w:rFonts w:ascii="Arial" w:cs="Arial" w:eastAsia="Arial" w:hAnsi="Arial"/>
          <w:sz w:val="14"/>
          <w:szCs w:val="14"/>
          <w:b w:val="1"/>
          <w:bCs w:val="1"/>
          <w:color w:val="auto"/>
        </w:rPr>
        <w:t>complex isolates,</w:t>
      </w:r>
      <w:r>
        <w:rPr>
          <w:rFonts w:ascii="Arial" w:cs="Arial" w:eastAsia="Arial" w:hAnsi="Arial"/>
          <w:sz w:val="14"/>
          <w:szCs w:val="14"/>
          <w:b w:val="1"/>
          <w:bCs w:val="1"/>
          <w:i w:val="1"/>
          <w:iCs w:val="1"/>
          <w:color w:val="auto"/>
        </w:rPr>
        <w:t xml:space="preserve"> M. avium </w:t>
      </w:r>
      <w:r>
        <w:rPr>
          <w:rFonts w:ascii="Arial" w:cs="Arial" w:eastAsia="Arial" w:hAnsi="Arial"/>
          <w:sz w:val="14"/>
          <w:szCs w:val="14"/>
          <w:b w:val="1"/>
          <w:bCs w:val="1"/>
          <w:color w:val="auto"/>
        </w:rPr>
        <w:t>subsp.</w:t>
      </w:r>
      <w:r>
        <w:rPr>
          <w:rFonts w:ascii="Arial" w:cs="Arial" w:eastAsia="Arial" w:hAnsi="Arial"/>
          <w:sz w:val="14"/>
          <w:szCs w:val="14"/>
          <w:b w:val="1"/>
          <w:bCs w:val="1"/>
          <w:i w:val="1"/>
          <w:iCs w:val="1"/>
          <w:color w:val="auto"/>
        </w:rPr>
        <w:t xml:space="preserve"> hominissuis </w:t>
      </w:r>
      <w:r>
        <w:rPr>
          <w:rFonts w:ascii="Arial" w:cs="Arial" w:eastAsia="Arial" w:hAnsi="Arial"/>
          <w:sz w:val="14"/>
          <w:szCs w:val="14"/>
          <w:b w:val="1"/>
          <w:bCs w:val="1"/>
          <w:color w:val="auto"/>
        </w:rPr>
        <w:t>isolates, and</w:t>
      </w:r>
      <w:r>
        <w:rPr>
          <w:rFonts w:ascii="Arial" w:cs="Arial" w:eastAsia="Arial" w:hAnsi="Arial"/>
          <w:sz w:val="14"/>
          <w:szCs w:val="14"/>
          <w:b w:val="1"/>
          <w:bCs w:val="1"/>
          <w:i w:val="1"/>
          <w:iCs w:val="1"/>
          <w:color w:val="auto"/>
        </w:rPr>
        <w:t xml:space="preserve"> M. chimaera </w:t>
      </w:r>
      <w:r>
        <w:rPr>
          <w:rFonts w:ascii="Arial" w:cs="Arial" w:eastAsia="Arial" w:hAnsi="Arial"/>
          <w:sz w:val="14"/>
          <w:szCs w:val="14"/>
          <w:b w:val="1"/>
          <w:bCs w:val="1"/>
          <w:color w:val="auto"/>
        </w:rPr>
        <w:t>isolates.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Unmet Need in NTM and Market Opportunity for Epetraborole</w:t>
      </w:r>
    </w:p>
    <w:p>
      <w:pPr>
        <w:spacing w:after="0" w:line="102" w:lineRule="exact"/>
        <w:rPr>
          <w:sz w:val="20"/>
          <w:szCs w:val="20"/>
          <w:color w:val="auto"/>
        </w:rPr>
      </w:pPr>
    </w:p>
    <w:p>
      <w:pPr>
        <w:ind w:right="220" w:firstLine="509"/>
        <w:spacing w:after="0" w:line="242" w:lineRule="auto"/>
        <w:rPr>
          <w:sz w:val="20"/>
          <w:szCs w:val="20"/>
          <w:color w:val="auto"/>
        </w:rPr>
      </w:pPr>
      <w:r>
        <w:rPr>
          <w:rFonts w:ascii="Arial" w:cs="Arial" w:eastAsia="Arial" w:hAnsi="Arial"/>
          <w:sz w:val="18"/>
          <w:szCs w:val="18"/>
          <w:color w:val="auto"/>
        </w:rPr>
        <w:t>NTM lung disease is a rare, chronic, and progressive infectious disease caused by bacteria known as mycobacteria that leads to irreversible lung damage and can be fatal. Unlike most bacteria, which replicate quickly and spread outside of cells, mycobacteria replicate slowly and mostly infect alveolar (lung) macrophages and survive within them. Due to the slow growth and survival within macrophages of mycobacteria, the current standard of care for NTM lung infections requires prolonged treatments, often for 18 months or longer, with a combination of three or more antibiotics. Initially, we are focused on developing epetraborole to treat the most common type of NTM, MAC, which accounts for approximately 80% of NTM lung disease in the United States.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right="200" w:firstLine="509"/>
        <w:spacing w:after="0" w:line="244" w:lineRule="auto"/>
        <w:rPr>
          <w:sz w:val="20"/>
          <w:szCs w:val="20"/>
          <w:color w:val="auto"/>
        </w:rPr>
      </w:pPr>
      <w:r>
        <w:rPr>
          <w:rFonts w:ascii="Arial" w:cs="Arial" w:eastAsia="Arial" w:hAnsi="Arial"/>
          <w:sz w:val="18"/>
          <w:szCs w:val="18"/>
          <w:color w:val="auto"/>
        </w:rPr>
        <w:t>There are an estimated 200,000 patients with NTM lung disease in the United States. We believe that many remain underdiagnosed due to lack of clinical suspicion, nonspecific respiratory symptoms, and underlying lung diseases that are frequent in patients with this infection. The prevalence of NTM lung disease is increasing in the United States by an estimated 8% per year. Among the approximately 55,000 patients diagnosed with NTM lung disease in the United States, approximately 44,000 patients have MAC lung disease, and approximately 35% of these patients have treatment-refractory MAC lung disease.</w:t>
      </w:r>
    </w:p>
    <w:p>
      <w:pPr>
        <w:spacing w:after="0" w:line="176"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In addition, Japan has some of the highest rates of NTM lung disease in the world. It is estimated that there are 220,000 patients with NTM lung disease and 21,000 patients with treatment-refractory MAC lung disease in Japan.</w:t>
      </w:r>
    </w:p>
    <w:p>
      <w:pPr>
        <w:spacing w:after="0" w:line="15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There is only one FDA-approved therapy for treatment-refractory MAC lung disease: Arikayce, an inhaled liposomal formulation of amikacin. Arikayce is also approved in Japan and certain other countries around the world. Insmed Incorporated reported net sales of Arikayce of approximately $305.2 million in 2023 ($224.2 million in the United States, $ 65.7 million in Japan, and $15.3 million in Europe and the rest of the world), a 24% increase over 2022. We believe there is significant unmet need for new treatments, particularly in an oral dosage form with differentiated tolerability and mechanism of action. In a clinical trial, the addition of Arikayce to standard of care (SOC) combination antibiotic therapy resulted in the resolution of MAC infection in 29% of patients as compared to 9% for SOC alone (based on an intent to treat population). Arikayce has boxed warnings for risk of increased respiratory adverse reactions, and warnings and precautions including ototoxicity, a known class effect with aminoglycosides, and other safety findings. In its clinical trial, between 20.3% and 33.5% of patients treated with Arikayce discontinued treatment. Other drugs used in combination with Arikayce as a part of a standard-of-care regimen are not approved to treat MAC lung disease and carry numerous safety and tolerability liabilities of their own.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Epetraborole Development Program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EBO-301 Clinical Trial</w:t>
      </w:r>
    </w:p>
    <w:p>
      <w:pPr>
        <w:spacing w:after="0" w:line="10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2023, we initiated enrollment in a Phase 2/3 seamless-design trial to support potential marketing applications in the U.S., Japan, and other countries for epetraborole in treatment-refractory MAC lung disease. We completed enrollment of the Phase 2 portion of the trial in September 2023 and immediately began enrollment of the Phase 3 portion. In February 2024, we voluntarily paused Phase 3 enrollment after observing potentially lower-than-anticipated efficacy results in an analysis of blinded aggregate data from the Phase 2 portion, in part because we had experienced rapid enrollment of the Phase 3 portion, where we had enrolled 97 of 234 planned patients. The aggregate baseline characteristics reveal patients with complex comorbidities, prolonged NTM lung disease, and high levels of cavitary disease, as well as patients who are refractory to Arikayce, the only FDA-approved drug for refractory NTM caused by MAC, as part of their background regimen. After having met with the study’s DSMB in March 2024, we plan to continue the review of data and meet with the FDA in the coming months. Patients enrolled before the pause will continue to be dosed with blinded study drug and undergo all study assessments.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Clinical Studies</w:t>
      </w:r>
    </w:p>
    <w:p>
      <w:pPr>
        <w:spacing w:after="0" w:line="102" w:lineRule="exact"/>
        <w:rPr>
          <w:sz w:val="20"/>
          <w:szCs w:val="20"/>
          <w:color w:val="auto"/>
        </w:rPr>
      </w:pPr>
    </w:p>
    <w:p>
      <w:pPr>
        <w:ind w:left="1020" w:right="180" w:hanging="503"/>
        <w:spacing w:after="0" w:line="24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 previous development work with epetraborole conducted by Anacor and GSK, its pharmacokinetics were well characterized using substantially higher doses than we are currently evaluating in our ongoing and planned clinical trials. Results from a previous Phase 1 clinical trial showed the exposures of epetraborole in alveolar (lung) macrophages, the human cells that are infected with mycobacteria in NTM lung disease, were approximately five-fold higher than in plasma. These results suggest potentially therapeutic exposures of epetraborole could be achieved in these macrophages with orally administered doses that are substantially lower than the maximum tolerated doses and exposures identified in previous trials.</w:t>
      </w:r>
    </w:p>
    <w:p>
      <w:pPr>
        <w:spacing w:after="0" w:line="69" w:lineRule="exact"/>
        <w:rPr>
          <w:rFonts w:ascii="Times New Roman" w:cs="Times New Roman" w:eastAsia="Times New Roman" w:hAnsi="Times New Roman"/>
          <w:sz w:val="18"/>
          <w:szCs w:val="18"/>
          <w:color w:val="auto"/>
        </w:rPr>
      </w:pPr>
    </w:p>
    <w:p>
      <w:pPr>
        <w:ind w:left="1020" w:right="120" w:hanging="503"/>
        <w:spacing w:after="0" w:line="25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 2021, we completed EBO-101, a dose-ranging study in healthy volunteers, which assessed the pharmacokinetics and safety of oral epetraborole doses relevant for treatment-refractory MAC lung disease and administered for 28 days, including a food-effect cohort.</w:t>
      </w:r>
    </w:p>
    <w:p>
      <w:pPr>
        <w:spacing w:after="0" w:line="62"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 2022, we completed EBO-102, which assessed the pharmacokinetics of epetraborole in subjects with varying degrees of renal function.</w:t>
      </w:r>
    </w:p>
    <w:p>
      <w:pPr>
        <w:spacing w:after="0" w:line="46" w:lineRule="exact"/>
        <w:rPr>
          <w:rFonts w:ascii="Times New Roman" w:cs="Times New Roman" w:eastAsia="Times New Roman" w:hAnsi="Times New Roman"/>
          <w:sz w:val="18"/>
          <w:szCs w:val="18"/>
          <w:color w:val="auto"/>
        </w:rPr>
      </w:pPr>
    </w:p>
    <w:p>
      <w:pPr>
        <w:ind w:left="1020" w:right="64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 2022, we completed EBO-103, which assessed the pharmacokinetics of epetraborole in Japanese subjects to support initiation of clinical trials in Japan.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 2023, we completed EBO-104, a Phase 1 thorough QT study.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Completed Non-Clinical Studies</w:t>
      </w:r>
    </w:p>
    <w:p>
      <w:pPr>
        <w:spacing w:after="0" w:line="102"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have completed toxicology and safety pharmacology studies, including chronic toxicology studies by oral administration in both rats (for a period of six months) and non-human primates (for a period of nine months) where epetraborole was tolerated at much higher dose levels compared to the once-daily dose of 500 mg that we are evaluating in treatment-refractory MAC lung disease in our Phase 2/3 pivotal clinical trial. Additionally, we recently completed the last of the three standard reproductive toxicity studies (segment 3) that we believe are necessary to support regulatory application. No findings of material concern were identified.</w:t>
      </w:r>
    </w:p>
    <w:p>
      <w:pPr>
        <w:spacing w:after="0" w:line="17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have completed non-clinical studies to characterize the antimicrobial activity of epetraborole in vitro and in animal models. In one study, we tested the antimicrobial activity of epetraborole against 51 isolates of MAC compared to clarithromycin and amikacin resulting in an MIC90 of 8 µg/mL. Furthermore, we completed testing of epetraborole against 110 MAC clinical isolates from Japan and an MIC90 of 4 µg/mL was reported. These studies demonstrated that, preclinically, epetraborole showed broad anti-mycobacterial activity as compared to MAC isolates both regionally as well as against resistant strains of amikacin and clarithromycin. In another study, we compared epetraborole to clarithromycin in a chronic model of MAC lung disease in mice. This study indicated that epetraborole demonstrated improved antibacterial activity at all doses as compared to a 250 mg/day clarithromycin human dose equivalent. A third study in a mouse model indicated that epetraborole demonstrated a superior decrease in colony forming units as monotherapy and in combination with standard of care versus standard of care alone.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Clinical Experience with Epetraborole</w:t>
      </w:r>
    </w:p>
    <w:p>
      <w:pPr>
        <w:spacing w:after="0" w:line="102" w:lineRule="exact"/>
        <w:rPr>
          <w:sz w:val="20"/>
          <w:szCs w:val="20"/>
          <w:color w:val="auto"/>
        </w:rPr>
      </w:pPr>
    </w:p>
    <w:p>
      <w:pPr>
        <w:ind w:right="500" w:firstLine="509"/>
        <w:spacing w:after="0" w:line="244" w:lineRule="auto"/>
        <w:rPr>
          <w:sz w:val="20"/>
          <w:szCs w:val="20"/>
          <w:color w:val="auto"/>
        </w:rPr>
      </w:pPr>
      <w:r>
        <w:rPr>
          <w:rFonts w:ascii="Arial" w:cs="Arial" w:eastAsia="Arial" w:hAnsi="Arial"/>
          <w:sz w:val="18"/>
          <w:szCs w:val="18"/>
          <w:color w:val="auto"/>
        </w:rPr>
        <w:t>Prior to our clinical development program in NTM lung disease, epetraborole had been administered intravenously or orally as a monotherapy agent to over 200 subjects at a wide range of clinical doses across six Phase 1 and two truncated Phase 2 clinical trials conducted by Anacor and GSK with a focus on gram-negative infections that were unrelated to NTM lung disease, some of which were terminated prior to completion due to clinical resistance observed in a small number of patients in one of the two Phase 2 clinical trials. Epetraborole was not tested by Anacor or GSK in patients with NTM lung disease or in combination with other antimicrobial agents.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Epetraborole Regulatory Exclusivity</w:t>
      </w:r>
    </w:p>
    <w:p>
      <w:pPr>
        <w:spacing w:after="0" w:line="102"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As an orphan and QIDP-designated product, if approved in the United States for use in patients with treatment-refractory MAC lung disease, it is possible we could obtain up to 12 years of regulatory exclusivity, independent of any applicable patent protection. If approved in Japan, we believe we could obtain at least eight years of exclusivity, independent of any applicable patent protection that we may acquire.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AN2-502998 Chagas Disease</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 xml:space="preserve">Chagas disease is caused by the parasite </w:t>
      </w:r>
      <w:r>
        <w:rPr>
          <w:rFonts w:ascii="Arial" w:cs="Arial" w:eastAsia="Arial" w:hAnsi="Arial"/>
          <w:sz w:val="18"/>
          <w:szCs w:val="18"/>
          <w:i w:val="1"/>
          <w:iCs w:val="1"/>
          <w:color w:val="auto"/>
        </w:rPr>
        <w:t>Trypanosoma cruzi</w:t>
      </w:r>
      <w:r>
        <w:rPr>
          <w:rFonts w:ascii="Arial" w:cs="Arial" w:eastAsia="Arial" w:hAnsi="Arial"/>
          <w:sz w:val="18"/>
          <w:szCs w:val="18"/>
          <w:color w:val="auto"/>
        </w:rPr>
        <w:t xml:space="preserve">, which spreads via triatomine bugs (vector), a subspecies of blood-feeding insects more commonly known as “kissing bugs” because they tend to bite people on the face and lips. </w:t>
      </w:r>
      <w:r>
        <w:rPr>
          <w:rFonts w:ascii="Arial" w:cs="Arial" w:eastAsia="Arial" w:hAnsi="Arial"/>
          <w:sz w:val="18"/>
          <w:szCs w:val="18"/>
          <w:i w:val="1"/>
          <w:iCs w:val="1"/>
          <w:color w:val="auto"/>
        </w:rPr>
        <w:t>T. cruzi</w:t>
      </w:r>
      <w:r>
        <w:rPr>
          <w:rFonts w:ascii="Arial" w:cs="Arial" w:eastAsia="Arial" w:hAnsi="Arial"/>
          <w:sz w:val="18"/>
          <w:szCs w:val="18"/>
          <w:color w:val="auto"/>
        </w:rPr>
        <w:t xml:space="preserve"> is also transmitted congenitally from infected mothers to their babies, through consumption of contaminated food or beverages, and via blood transfusions and organ transplants. While the disease can progress slowly, chronic infection almost inevitably results in irreparable damage to heart and digestive system tissues. If untreated, infection is lifelong and can be life threatening. Chagas disease kills more people in Latin America than any other infectious disease–including malaria, tuberculosis, and HIV—and is one of the major causes of infection-induced myocarditis or cardiomyopathy worldwide. An estimated 30% of Chagas patients develop chronic and often severe heart disease that leads to premature death.</w:t>
      </w:r>
    </w:p>
    <w:p>
      <w:pPr>
        <w:spacing w:after="0" w:line="72"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8"/>
          <w:szCs w:val="18"/>
          <w:color w:val="auto"/>
        </w:rPr>
        <w:t xml:space="preserve">According to the World Health Organization, approximately 6-7 million people worldwide are estimated to be infected with the parasite </w:t>
      </w:r>
      <w:r>
        <w:rPr>
          <w:rFonts w:ascii="Arial" w:cs="Arial" w:eastAsia="Arial" w:hAnsi="Arial"/>
          <w:sz w:val="18"/>
          <w:szCs w:val="18"/>
          <w:i w:val="1"/>
          <w:iCs w:val="1"/>
          <w:color w:val="auto"/>
        </w:rPr>
        <w:t>T. cruzi</w:t>
      </w:r>
      <w:r>
        <w:rPr>
          <w:rFonts w:ascii="Arial" w:cs="Arial" w:eastAsia="Arial" w:hAnsi="Arial"/>
          <w:sz w:val="18"/>
          <w:szCs w:val="18"/>
          <w:color w:val="auto"/>
        </w:rPr>
        <w:t>, mostly in Latin America. An increasing number of cases of Chagas are also being documented in the United States of America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Europe. In the United States, the CDC estimates that there more than 300,000 people infected with </w:t>
      </w:r>
      <w:r>
        <w:rPr>
          <w:rFonts w:ascii="Arial" w:cs="Arial" w:eastAsia="Arial" w:hAnsi="Arial"/>
          <w:sz w:val="18"/>
          <w:szCs w:val="18"/>
          <w:i w:val="1"/>
          <w:iCs w:val="1"/>
          <w:color w:val="auto"/>
        </w:rPr>
        <w:t>T. cruzi</w:t>
      </w:r>
      <w:r>
        <w:rPr>
          <w:rFonts w:ascii="Arial" w:cs="Arial" w:eastAsia="Arial" w:hAnsi="Arial"/>
          <w:sz w:val="18"/>
          <w:szCs w:val="18"/>
          <w:color w:val="auto"/>
        </w:rPr>
        <w:t>, most of whom were infected in Chagas-endemic regions in Latin America.</w:t>
      </w:r>
    </w:p>
    <w:p>
      <w:pPr>
        <w:spacing w:after="0" w:line="66"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 xml:space="preserve">Chagas disease presents in an acute phase (~2 months after infection) and a chronic phase, where the </w:t>
      </w:r>
      <w:r>
        <w:rPr>
          <w:rFonts w:ascii="Arial" w:cs="Arial" w:eastAsia="Arial" w:hAnsi="Arial"/>
          <w:sz w:val="18"/>
          <w:szCs w:val="18"/>
          <w:i w:val="1"/>
          <w:iCs w:val="1"/>
          <w:color w:val="auto"/>
        </w:rPr>
        <w:t>T. cruzi</w:t>
      </w:r>
      <w:r>
        <w:rPr>
          <w:rFonts w:ascii="Arial" w:cs="Arial" w:eastAsia="Arial" w:hAnsi="Arial"/>
          <w:sz w:val="18"/>
          <w:szCs w:val="18"/>
          <w:color w:val="auto"/>
        </w:rPr>
        <w:t xml:space="preserve"> parasites are hidden mainly in the heart and digestive muscles. For over 50 years, two nitroheterocyclic compounds, benznidazole and nifurtimox, have been available for treatment of the infection and are FDA approved for use in children, but are rarely used due to their inconsistent efficacy and high frequency of side effects. There are currently no approved therapies to cure the disease once it reaches the chronic phase; however, benznidazole and nifurtimox may be offered to people younger than age 50 because they may help slow the progression of the disease and its most serious complications.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11" w:name="page12"/>
    <w:bookmarkEnd w:id="11"/>
    <w:p>
      <w:pPr>
        <w:ind w:right="20" w:firstLine="509"/>
        <w:spacing w:after="0"/>
        <w:rPr>
          <w:sz w:val="20"/>
          <w:szCs w:val="20"/>
          <w:color w:val="auto"/>
        </w:rPr>
      </w:pPr>
      <w:r>
        <w:rPr>
          <w:rFonts w:ascii="Arial" w:cs="Arial" w:eastAsia="Arial" w:hAnsi="Arial"/>
          <w:sz w:val="18"/>
          <w:szCs w:val="18"/>
          <w:color w:val="auto"/>
        </w:rPr>
        <w:t xml:space="preserve">In October 2023, we announced that we signed an exclusive license agreement with the University of Georgia Research Foundation to advance development of AN2-502998 (formerly known as AN15368), a boron-based small molecule therapeutic candidate under development for the treatment of Chagas disease. AN2-502998 was originally discovered by researchers at Anacor, in close collaboration with the University of Georgia, and with grant funding from Wellcome. IND-enabling studies are well underway using non-dilutive funding from The Wellcome Trust (“Wellcome”). AN2-502998, previously published under AN15368, is the only compound of which we are aware to have demonstrated curative activity in preclinical studies across multiple species, including in non-human primates with long-term, naturally acquired chronic infections of diverse </w:t>
      </w:r>
      <w:r>
        <w:rPr>
          <w:rFonts w:ascii="Arial" w:cs="Arial" w:eastAsia="Arial" w:hAnsi="Arial"/>
          <w:sz w:val="18"/>
          <w:szCs w:val="18"/>
          <w:i w:val="1"/>
          <w:iCs w:val="1"/>
          <w:color w:val="auto"/>
        </w:rPr>
        <w:t>T. cruzi</w:t>
      </w:r>
      <w:r>
        <w:rPr>
          <w:rFonts w:ascii="Arial" w:cs="Arial" w:eastAsia="Arial" w:hAnsi="Arial"/>
          <w:sz w:val="18"/>
          <w:szCs w:val="18"/>
          <w:color w:val="auto"/>
        </w:rPr>
        <w:t xml:space="preserve"> genetic types.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Melioidosis</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 xml:space="preserve">Melioidosis is an urgent unmet global health infectious disease caused by the bacterium </w:t>
      </w:r>
      <w:r>
        <w:rPr>
          <w:rFonts w:ascii="Arial" w:cs="Arial" w:eastAsia="Arial" w:hAnsi="Arial"/>
          <w:sz w:val="18"/>
          <w:szCs w:val="18"/>
          <w:i w:val="1"/>
          <w:iCs w:val="1"/>
          <w:color w:val="auto"/>
        </w:rPr>
        <w:t>Burkholderia pseudomallei</w:t>
      </w:r>
      <w:r>
        <w:rPr>
          <w:rFonts w:ascii="Arial" w:cs="Arial" w:eastAsia="Arial" w:hAnsi="Arial"/>
          <w:sz w:val="18"/>
          <w:szCs w:val="18"/>
          <w:color w:val="auto"/>
        </w:rPr>
        <w:t xml:space="preserve"> (</w:t>
      </w:r>
      <w:r>
        <w:rPr>
          <w:rFonts w:ascii="Arial" w:cs="Arial" w:eastAsia="Arial" w:hAnsi="Arial"/>
          <w:sz w:val="18"/>
          <w:szCs w:val="18"/>
          <w:i w:val="1"/>
          <w:iCs w:val="1"/>
          <w:color w:val="auto"/>
        </w:rPr>
        <w:t>B. pseudomallei</w:t>
      </w:r>
      <w:r>
        <w:rPr>
          <w:rFonts w:ascii="Arial" w:cs="Arial" w:eastAsia="Arial" w:hAnsi="Arial"/>
          <w:sz w:val="18"/>
          <w:szCs w:val="18"/>
          <w:color w:val="auto"/>
        </w:rPr>
        <w:t xml:space="preserve">). This bacterium is also documented as a high priority biothreat pathogen. </w:t>
      </w:r>
      <w:r>
        <w:rPr>
          <w:rFonts w:ascii="Arial" w:cs="Arial" w:eastAsia="Arial" w:hAnsi="Arial"/>
          <w:sz w:val="18"/>
          <w:szCs w:val="18"/>
          <w:i w:val="1"/>
          <w:iCs w:val="1"/>
          <w:color w:val="auto"/>
        </w:rPr>
        <w:t>B. pseudomallei</w:t>
      </w:r>
      <w:r>
        <w:rPr>
          <w:rFonts w:ascii="Arial" w:cs="Arial" w:eastAsia="Arial" w:hAnsi="Arial"/>
          <w:sz w:val="18"/>
          <w:szCs w:val="18"/>
          <w:color w:val="auto"/>
        </w:rPr>
        <w:t xml:space="preserve"> is endemic to tropical regions of the world with the majority of reported melioidosis cases occurring in South Asia. Melioidosis is contracted from direct contact with </w:t>
      </w:r>
      <w:r>
        <w:rPr>
          <w:rFonts w:ascii="Arial" w:cs="Arial" w:eastAsia="Arial" w:hAnsi="Arial"/>
          <w:sz w:val="18"/>
          <w:szCs w:val="18"/>
          <w:i w:val="1"/>
          <w:iCs w:val="1"/>
          <w:color w:val="auto"/>
        </w:rPr>
        <w:t>B. pseudomallei</w:t>
      </w:r>
      <w:r>
        <w:rPr>
          <w:rFonts w:ascii="Arial" w:cs="Arial" w:eastAsia="Arial" w:hAnsi="Arial"/>
          <w:sz w:val="18"/>
          <w:szCs w:val="18"/>
          <w:color w:val="auto"/>
        </w:rPr>
        <w:t xml:space="preserve"> contaminated soil and water and is not transmitted person-to-person. Similar to NTM, </w:t>
      </w:r>
      <w:r>
        <w:rPr>
          <w:rFonts w:ascii="Arial" w:cs="Arial" w:eastAsia="Arial" w:hAnsi="Arial"/>
          <w:sz w:val="18"/>
          <w:szCs w:val="18"/>
          <w:i w:val="1"/>
          <w:iCs w:val="1"/>
          <w:color w:val="auto"/>
        </w:rPr>
        <w:t>B. pseudomallei</w:t>
      </w:r>
      <w:r>
        <w:rPr>
          <w:rFonts w:ascii="Arial" w:cs="Arial" w:eastAsia="Arial" w:hAnsi="Arial"/>
          <w:sz w:val="18"/>
          <w:szCs w:val="18"/>
          <w:color w:val="auto"/>
        </w:rPr>
        <w:t xml:space="preserve"> can be an intra-cellular pathogen in macrophages, an important element in melioidosis. The disease can manifest as localized infections causing pain, swelling and ulceration; as pulmonary infections causing cough, chest pain, high fever, and headache; and as blood stream infections causing fever, headache, respiratory distress, and abdominal discomfort. Current treatment generally starts with an intense phase of intravenous antibiotic treatment for a minimum of two weeks. Even with antibiotic treatment, the mortality rate is between 20% and 40%. Without treatment, it is estimated that six to nine out of ten people die. There are an estimated 165,000 cases of melioidosis diagnosed globally each year, mostly outside the United States, although small outbreaks due to bacterial exposure have occurred in the United States and the pathogen was recently discovered in soil and water sampling from the Gulf Coast region of Mississippi. Nonclinical studies conducted by us, Anacor, the U.S. Army Medical Research Institute of Infectious Diseases and Colorado State University indicate that epetraborole has potent activity against </w:t>
      </w:r>
      <w:r>
        <w:rPr>
          <w:rFonts w:ascii="Arial" w:cs="Arial" w:eastAsia="Arial" w:hAnsi="Arial"/>
          <w:sz w:val="18"/>
          <w:szCs w:val="18"/>
          <w:i w:val="1"/>
          <w:iCs w:val="1"/>
          <w:color w:val="auto"/>
        </w:rPr>
        <w:t>B.</w:t>
      </w:r>
      <w:r>
        <w:rPr>
          <w:rFonts w:ascii="Arial" w:cs="Arial" w:eastAsia="Arial" w:hAnsi="Arial"/>
          <w:sz w:val="18"/>
          <w:szCs w:val="18"/>
          <w:color w:val="auto"/>
        </w:rPr>
        <w:t xml:space="preserve"> </w:t>
      </w:r>
      <w:r>
        <w:rPr>
          <w:rFonts w:ascii="Arial" w:cs="Arial" w:eastAsia="Arial" w:hAnsi="Arial"/>
          <w:sz w:val="18"/>
          <w:szCs w:val="18"/>
          <w:i w:val="1"/>
          <w:iCs w:val="1"/>
          <w:color w:val="auto"/>
        </w:rPr>
        <w:t>pseudomallei.</w:t>
      </w:r>
    </w:p>
    <w:p>
      <w:pPr>
        <w:spacing w:after="0" w:line="18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September 2022, we received a cost-reimbursement contract award to receive up to $17.8 million from the NIAID to advance the development of epetraborole for acute systemic melioidosis and additional bacterial biothreat pathogens. The base period contract award is $4.3 million with additional options that, if exercised, would enable us to receive up to $17.8 million in total to support preclinical, Phase 1 studies, and other activities to enable advancement of epetraborole into advanced clinical trials for acute systemic melioidosis. In July 2023, the NIAID exercised one of seven available options under the NIAID contract (No: 75N93022C00059), resulting in an increase in committed contract funding of $0.7 million, for a total of $5.0 million. The project has been funded in whole with nondilutive federal funds from the NIAID, NIH, and the Department of Health and Human Services.</w:t>
      </w:r>
    </w:p>
    <w:p>
      <w:pPr>
        <w:spacing w:after="0" w:line="185"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Our work with the NIAID on our melioidosis program has resulted in our partnering with the University of Oxford’s Mahidol Oxford Tropical Medicine Research Unit to conduct a prospective observational study in Thailand and Laos with a projected 200 melioidosis patients (NCTC 06089668). We have also partnered with Colorado State University on preclinical research for our melioidosis program. We believe these partners provide substantial technical and capital resources to advance the melioidosis program and provide scientific, technical, and material benefits to our NTM lung disease program.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do not own or operate manufacturing facilities for the production of any of our product candidates, nor do we have plans to develop our own manufacturing operations in the foreseeable future. We currently rely on a limited number of third-party contract manufacturers for all of our required raw materials, drug substance, and finished drug product for our preclinical and nonclinical studies and clinical trials. We currently employ internal resources to manage our third-party manufacturing.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Anacor Pharmaceuticals, Inc.</w:t>
      </w:r>
    </w:p>
    <w:p>
      <w:pPr>
        <w:spacing w:after="0" w:line="102"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In November 2019, we entered into a license agreement (the “Anacor Agreement”) with Anacor, pursuant to which we obtained a worldwide exclusive, sublicensable license under certain patent rights of Anacor and a non-exclusive license under certain know-how of Anacor to use, develop, manufacture, commercialize, or otherwise exploit certain compounds and products, including epetraborole, for the treatment, diagnosis, or prevention of all human diseases, and a</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right="320"/>
        <w:spacing w:after="0" w:line="271" w:lineRule="auto"/>
        <w:rPr>
          <w:sz w:val="20"/>
          <w:szCs w:val="20"/>
          <w:color w:val="auto"/>
        </w:rPr>
      </w:pPr>
      <w:r>
        <w:rPr>
          <w:rFonts w:ascii="Arial" w:cs="Arial" w:eastAsia="Arial" w:hAnsi="Arial"/>
          <w:sz w:val="18"/>
          <w:szCs w:val="18"/>
          <w:color w:val="auto"/>
        </w:rPr>
        <w:t>worldwide non-exclusive license under certain chiral synthesis intellectual property rights from GSK for the sole purpose of manufacturing such compounds and products.</w:t>
      </w:r>
    </w:p>
    <w:p>
      <w:pPr>
        <w:spacing w:after="0" w:line="154"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We granted Anacor a non-exclusive, sublicensable license to develop, manufacture or use (but not commercialize) licensed products under all intellectual property rights that are both (i) related to the licensed products and (ii) conceived or reduced to practice by us, our affiliates, or our sublicensees. We also granted Anacor a right of first refusal in the event a priority review voucher is issued for a licensed product, and we desire to sell such priority review voucher.</w:t>
      </w:r>
    </w:p>
    <w:p>
      <w:pPr>
        <w:spacing w:after="0" w:line="174"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We are obligated to use commercially reasonable efforts to develop, seek regulatory approval for, and commercialize (where such regulatory approval is received) epetraborole.</w:t>
      </w:r>
    </w:p>
    <w:p>
      <w:pPr>
        <w:spacing w:after="0" w:line="154"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connection with the execution of the Anacor Agreement, we paid Anacor a non-refundable upfront payment of $2.0 million and granted Anacor shares of Series A redeemable convertible preferred stock. Additionally, we agreed to make further payments to Anacor upon achievement of various development milestones for an aggregate maximum payment of $2.0 million, various commercial and sales threshold milestones for an aggregate maximum payment of $125.0 million, and up to 50% of royalties received under certain sublicensing arrangements. Royalties are subject to certain customary reductions, including lack of patent coverage and generic product entry. We also agreed to pay Anacor non-refundable, non-creditable sales royalties on a tiered marginal royalty rate based on the country’s status as a developing or developed country as defined in the license agreement. Sales royalties are a percentage of net sales, as specified in the Anacor Agreement, and range from mid-single digit percentages for developing countries and single to mid-teen percentages for developed countries or the China, Hong Kong, Taiwan, and Macau territories. The sales royalties are required to be paid on a product-by-product and country-by-country basis, until the latest to occur of (i) 15 years following from the date of first commercial sale of a product in such country,</w:t>
      </w:r>
    </w:p>
    <w:p>
      <w:pPr>
        <w:spacing w:after="0" w:line="8" w:lineRule="exact"/>
        <w:rPr>
          <w:sz w:val="20"/>
          <w:szCs w:val="20"/>
          <w:color w:val="auto"/>
        </w:rPr>
      </w:pPr>
    </w:p>
    <w:p>
      <w:pPr>
        <w:ind w:firstLine="8"/>
        <w:spacing w:after="0"/>
        <w:tabs>
          <w:tab w:leader="none" w:pos="2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expiration of all regulatory or data exclusivity for such product in such country, or (iii) the date of the expiration of the last to expire valid claim of a licensed patent covering such product in such country. Currently, the date of the expiration of the last to expire valid claim of a licensed patent covering epetraborole in the licensed territory is June 2028. In addition, Anacor is entitled to certain milestone payments upon a change of control of our company.</w:t>
      </w:r>
    </w:p>
    <w:p>
      <w:pPr>
        <w:spacing w:after="0" w:line="180"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On December 3, 2021, we entered into an amendment to the Anacor Agreement, pursuant to which we obtained a worldwide non-exclusive, sublicensable license under certain patent rights of Anacor for the treatment, diagnosis, or prevention of bacterial diseases caused by certain bacterial species, to support the continued manufacture of epetraborole by us.</w:t>
      </w:r>
    </w:p>
    <w:p>
      <w:pPr>
        <w:spacing w:after="0" w:line="169" w:lineRule="exact"/>
        <w:rPr>
          <w:sz w:val="20"/>
          <w:szCs w:val="20"/>
          <w:color w:val="auto"/>
        </w:rPr>
      </w:pPr>
    </w:p>
    <w:p>
      <w:pPr>
        <w:ind w:right="80" w:firstLine="559"/>
        <w:spacing w:after="0" w:line="301" w:lineRule="auto"/>
        <w:rPr>
          <w:sz w:val="20"/>
          <w:szCs w:val="20"/>
          <w:color w:val="auto"/>
        </w:rPr>
      </w:pPr>
      <w:r>
        <w:rPr>
          <w:rFonts w:ascii="Arial" w:cs="Arial" w:eastAsia="Arial" w:hAnsi="Arial"/>
          <w:sz w:val="17"/>
          <w:szCs w:val="17"/>
          <w:color w:val="auto"/>
        </w:rPr>
        <w:t>The Anacor Agreement will expire upon expiration of the last to expire royalty term. Either party may terminate the Anacor Agreement for the other party’s material breach following a cure period or immediately upon certain insolvency events relating to the other party.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Brii Biosciences Limited</w:t>
      </w:r>
    </w:p>
    <w:p>
      <w:pPr>
        <w:spacing w:after="0" w:line="102"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In November 2019, we entered into a license agreement (the “Brii Biosciences License Agreement”) pursuant to which we granted Brii Biosciences an exclusive, perpetual, sublicensable license to research, develop, manufacture, and commercialize certain compounds and products, including epetraborole, in China, Hong Kong, Taiwan, and Macau for the diagnosis, treatment, and prevention of human diseases. Under the terms of the agreement, we licensed the intellectual property rights we licensed under the Anacor Agreement, as they apply in these jurisdictions, to Brii Bioscience. Further, neither we nor Brii Biosciences can develop a competing product that is directed to the same target as a licensed compound during the term of the Brii Biosciences License Agreement.</w:t>
      </w:r>
    </w:p>
    <w:p>
      <w:pPr>
        <w:spacing w:after="0" w:line="179"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The collaboration is overseen by a joint steering committee. In the event of a dispute relating to the determination of proof of concept criteria, or licensed products in China, Hong Kong, Taiwan, and Macau for which Brii Biosciences has delivered a proof of concept acceptance notice, Brii Biosciences has the final decision-making authority, subject to certain veto rights of ours. Upon commencing development, Brii Biosciences is obligated to use commercially reasonable efforts to develop, seek regulatory approval for, and commercialize at least one licensed product in China, Hong Kong, Taiwan, and Macau.</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20" w:firstLine="509"/>
        <w:spacing w:after="0"/>
        <w:rPr>
          <w:sz w:val="20"/>
          <w:szCs w:val="20"/>
          <w:color w:val="auto"/>
        </w:rPr>
      </w:pPr>
      <w:r>
        <w:rPr>
          <w:rFonts w:ascii="Arial" w:cs="Arial" w:eastAsia="Arial" w:hAnsi="Arial"/>
          <w:sz w:val="18"/>
          <w:szCs w:val="18"/>
          <w:color w:val="auto"/>
        </w:rPr>
        <w:t>We did not receive an upfront payment, but we are eligible to receive up to $15.0 million in the aggregate for development and regulatory milestones for each licensed product and up to $150.0 million in the aggregate in commercial milestones upon achieving sales thresholds for each licensed product. We are also entitled to tiered mid-single digit percentage to high-first decile percentage sales-based royalties, subject to certain reductions, including lack of patent coverage and generic product entry. The sales royalties are required to be paid on a product-by-product and region-by-region basis, until the latest to occur of (i) 15 years following the date of first commercial sale of a product, (ii) the expiration of all regulatory or data exclusivity, or (iii) the date of the expiration of the last to expire valid claim of a licensed patent covering the composition of matter or approved use of such product in such region. The last to expire valid claim of a licensed patent covering the composition of matter or approved use of such product in the licensed territory is June 2028.</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Health Agreement with Adjuvant Global Health Technology Fund</w:t>
      </w:r>
    </w:p>
    <w:p>
      <w:pPr>
        <w:spacing w:after="0" w:line="102"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We entered into the Global Health Agreement with Adjuvant Global Health Technology Fund (“Adjuvant”) in connection with Adjuvant’s investment in November 2019 and March 2021 of an aggregate amount of $12.0 million in our Series A and Series B redeemable convertible preferred stock financings. In connection with such investment, we issued Adjuvant an aggregate of 2,430,714 shares of our redeemable convertible preferred stock in November 2019 and March 2021. Pursuant to the Global Health Agreement, we agreed to support the creation of innovative and affordable drugs to treat disease, through public health programs and private purchasers in low and low-middle income target countries.</w:t>
      </w:r>
    </w:p>
    <w:p>
      <w:pPr>
        <w:spacing w:after="0" w:line="179"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Adjuvant’s investment supports the development of epetraborole for use in target countries that are melioidosis-endemic, melioidosis at-risk, tuberculosis-endemic, and tuberculosis-at-risk. Under the Global Health Agreement, we are required to comply with certain program-related investment global access commitments. We must use reasonably diligent endeavors to develop epetraborole for melioidosis, tuberculosis, and any other mutually agreed-upon products using non-dilutive funding and we must make them accessible to people in need in target countries on commercially reasonable terms and at a reasonable volume. Upon the occurrence of certain events, including the failure by ourselves to comply with the Global Health Agreement, we must grant Adjuvant a nonexclusive, perpetual, irrevocable, non-terminable, fully-paid up, royalty free license to epetraborole for melioidosis, tuberculosis, and any other mutually agreed-upon products.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strive to protect and enhance our proprietary technology, inventions, and improvements that we consider commercially important to the development of our business, including by seeking, maintaining, and defending U.S. and foreign patent rights. As of December 31, 2023, all of the issued patents in our entire patent portfolio are in-licensed and if our current licensors are not cooperative or disagree with us as to the prosecution, maintenance, or enforcement of any such licensed patent rights, such patent rights could be compromised. The patent positions of pharmaceutical companies are generally uncertain and can involve complex legal, scientific, and factual issues. We cannot predict whether any patent applications we pursue, or any patent applications that we have in-licensed, will issue as patents in any particular jurisdiction, or whether the claims of any issued patents will provide sufficient proprietary protection from competitors.</w:t>
      </w:r>
    </w:p>
    <w:p>
      <w:pPr>
        <w:spacing w:after="0" w:line="185" w:lineRule="exact"/>
        <w:rPr>
          <w:sz w:val="20"/>
          <w:szCs w:val="20"/>
          <w:color w:val="auto"/>
        </w:rPr>
      </w:pPr>
    </w:p>
    <w:p>
      <w:pPr>
        <w:ind w:right="160" w:firstLine="559"/>
        <w:spacing w:after="0" w:line="239" w:lineRule="auto"/>
        <w:rPr>
          <w:sz w:val="20"/>
          <w:szCs w:val="20"/>
          <w:color w:val="auto"/>
        </w:rPr>
      </w:pPr>
      <w:r>
        <w:rPr>
          <w:rFonts w:ascii="Arial" w:cs="Arial" w:eastAsia="Arial" w:hAnsi="Arial"/>
          <w:sz w:val="18"/>
          <w:szCs w:val="18"/>
          <w:color w:val="auto"/>
        </w:rPr>
        <w:t>Our future commercial success depends, in part, on our ability to obtain and maintain patent and other proprietary protection for commercially important technology, inventions, and know-how related to our business, including our product candidates, to defend and enforce our intellectual property rights, in particular our patent rights, to preserve the confidentiality of our trade secrets, and to operate without infringing, misappropriating, or violating the valid and enforceable patents and other intellectual property rights of third parties. Our ability to preclude or restrict third parties from making, using, selling, offering to sell, or importing competing molecules to our products may depend on the extent to which we have rights under valid and enforceable patents and trade secrets that cover these activities. We seek to protect our proprietary technology and processes, in part, by confidentiality agreements with our employees, consultants, and contractors. We also seek to preserve the integrity and confidentiality of our data and trade secrets by maintaining physical security of our premises and physical and electronic security of our information technology systems.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40" w:firstLine="559"/>
        <w:spacing w:after="0"/>
        <w:rPr>
          <w:sz w:val="20"/>
          <w:szCs w:val="20"/>
          <w:color w:val="auto"/>
        </w:rPr>
      </w:pPr>
      <w:r>
        <w:rPr>
          <w:rFonts w:ascii="Arial" w:cs="Arial" w:eastAsia="Arial" w:hAnsi="Arial"/>
          <w:sz w:val="18"/>
          <w:szCs w:val="18"/>
          <w:color w:val="auto"/>
        </w:rPr>
        <w:t>In addition, the coverage claimed in a patent application may be significantly reduced before a patent is granted, and its scope can be reinterpreted and even challenged after issuance. As a result, we cannot guarantee that any of our products will be protected or remain protectable by enforceable patents. Moreover, any patents that we license or may own in the future may be challenged, circumvented, or invalidated by third parties. In addition, because of the extensive time required for clinical development and regulatory review of a product candidate we may develop, it is possible that, before our product candidate can be commercialized successfully, any related patents may expire or remain in force for only a short period following commercial launch, thereby limiting the protection such patent would afford the applicable product and any competitive advantage such patent may provide. For more information regarding the risks related to our intellectual property, please see the section titled “Risk Factors—Risks Related to Our Intellectual Property.”</w:t>
      </w:r>
    </w:p>
    <w:p>
      <w:pPr>
        <w:spacing w:after="0" w:line="180" w:lineRule="exact"/>
        <w:rPr>
          <w:sz w:val="20"/>
          <w:szCs w:val="20"/>
          <w:color w:val="auto"/>
        </w:rPr>
      </w:pPr>
    </w:p>
    <w:p>
      <w:pPr>
        <w:ind w:right="80" w:firstLine="509"/>
        <w:spacing w:after="0" w:line="261" w:lineRule="auto"/>
        <w:rPr>
          <w:sz w:val="20"/>
          <w:szCs w:val="20"/>
          <w:color w:val="auto"/>
        </w:rPr>
      </w:pPr>
      <w:r>
        <w:rPr>
          <w:rFonts w:ascii="Arial" w:cs="Arial" w:eastAsia="Arial" w:hAnsi="Arial"/>
          <w:sz w:val="17"/>
          <w:szCs w:val="17"/>
          <w:color w:val="auto"/>
        </w:rPr>
        <w:t>For any individual patent, the term depends on the applicable law in the country in which the patent is issued. In most countries where we have in-licensed patents and patent applications, including the United States, patents have a term of 20 years from the application filing date or earliest claimed nonprovisional priority date. In the United States, the patent term may be shortened if a patent is terminally disclaimed over another patent that expires earlier. The term of a U.S. patent may also be lengthened by a patent term adjustment that is permitted in order to address administrative delays by the U.S. Patent and Trademark Office (USPTO) in examining and granting a patent.</w:t>
      </w:r>
    </w:p>
    <w:p>
      <w:pPr>
        <w:spacing w:after="0" w:line="16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the United States, the term of a patent that covers an FDA-approved drug or biologic may be eligible for patent term extension in order to restore the period of a patent term lost during the premarket FDA regulatory review process. Specifically, the Drug Price Competition and Patent Term Restoration Act of 1984 (the “Hatch-Waxman Act”) permits a patent term extension of up to five years beyond the natural expiration of the patent (but the total patent term, including the extension period, must not exceed 14 years following FDA approval). The patent term extension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Only one patent applicable to an approved product is eligible for patent term extension, and only those claims covering the approved product, a method for using it, or a method for manufacturing it may be extended. The application for patent term extension must be submitted prior to the expiration of the patent. The USPTO reviews and approves the application for any Patent Term Extension in consultation with the FDA.</w:t>
      </w:r>
    </w:p>
    <w:p>
      <w:pPr>
        <w:spacing w:after="0" w:line="180"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patent portfolio for our epetraborole product candidate is based upon our in-licensed patent portfolio, which includes patents and patent applications directed generally to compositions of matter, pharmaceutical compositions, and methods of treatment. As of December 31, 2023, we exclusively licensed three U.S. patents, along with patents and pending patents in various foreign jurisdictions. We do not own any issued patents. We own three pending PCT patent applications, which are not eligible to become issued patents until, among other things, we file a non-provisional patent application with the USPTO or a foreign patent office. Patents and patent applications, if granted, are expected to expire beginning in 2028, without taking potential patent term extensions or patent term adjustment into account.</w:t>
      </w:r>
    </w:p>
    <w:p>
      <w:pPr>
        <w:spacing w:after="0" w:line="179"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Prosecution is a lengthy process, during which the scope of the claims initially submitted for examination by the USPTO and other patent offices may be significantly revised before issuance, if granted at all. The in-licensed patents and patent applications for epetraborole are detailed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0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also rely on trade secrets, know-how, confidential information and continuing technological innovation to develop, strengthen and maintain our proprietary position in our field and protect aspects of our business that are not amenable to, or that we do not consider appropriate for, patent protection. However, trade secrets can be difficult to protect. While we take measures to protect and preserve our trade secrets, such measures can be breached, and we may not have adequate remedies for any such breach. We seek to protect our proprietary information, in part, using confidentiality agreements and invention assignment agreements with our collaborators, employees and consultants. These agreements are designed to protect our proprietary information and, in the case of the invention assignment agreements, to grant us ownership of technologies that are developed through a relationship with a third party. We cannot guarantee, however, that we have executed such agreements with all applicable counterparties. Furthermore, these agreements may be breached, and we may not have adequate remedies for any breach. In addition, our trade secrets may otherwise become known or be independently discovered by competitors and other third parties, or misused by any collaborator to whom we disclose such information. To the extent that our collaborators, employees and consultants use intellectual property owned by others in their work for us, disputes may arise as to the rights in related or resulting know-how and inventions. For more information regarding the risks related to our intellectual property, please see the section titled “Risk Factors—Risks Related to Our Intellectual Property.”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biopharmaceutical industry is characterized by intense competition and rapid innovation. Our potential competitors include large pharmaceutical and biotechnology companies, specialty pharmaceutical companies and generic drug companies. Many of our potential competitors have greater financial and technical human resources than we do, as well as greater experience in the discovery and development of product candidates, obtaining FDA and other regulatory approvals of products, and the commercialization of those products. Accordingly, our potential competitors may be more successful than us in obtaining FDA-approved drugs and achieving widespread market acceptance. We anticipate that we will face intense and increasing competition as new drugs enter the market and advanced technologies become available. Finally, the development of new treatment methods for the diseases we are targeting could render our product candidates non-competitive or obsolete.</w:t>
      </w:r>
    </w:p>
    <w:p>
      <w:pPr>
        <w:spacing w:after="0" w:line="180" w:lineRule="exact"/>
        <w:rPr>
          <w:sz w:val="20"/>
          <w:szCs w:val="20"/>
          <w:color w:val="auto"/>
        </w:rPr>
      </w:pPr>
    </w:p>
    <w:p>
      <w:pPr>
        <w:ind w:right="500" w:firstLine="509"/>
        <w:spacing w:after="0" w:line="253" w:lineRule="auto"/>
        <w:rPr>
          <w:sz w:val="20"/>
          <w:szCs w:val="20"/>
          <w:color w:val="auto"/>
        </w:rPr>
      </w:pPr>
      <w:r>
        <w:rPr>
          <w:rFonts w:ascii="Arial" w:cs="Arial" w:eastAsia="Arial" w:hAnsi="Arial"/>
          <w:sz w:val="18"/>
          <w:szCs w:val="18"/>
          <w:color w:val="auto"/>
        </w:rPr>
        <w:t>We believe the competitive factors that will affect the development and commercial success of our initial product candidate, epetraborole, if approved, will be convenience of oral dosing, efficacy, safety, and tolerability profile, coverage of drug-resistant bacteria strains, lack of cross-resistance, price, and availability of reimbursement from governmental and other third-party payors.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If approved, epetraborole would compete with Insmed’s Arikayce, which is the only currently approved therapy for patients with treatment refractory MAC lung disease. Other drugs used to treat these patients include generic drugs such as macrolides (clarithromycin and azithromycin), ethambutol, rifabutin, and fluoroquinolones such as levofloxacin, bedaquiline, linezolid, and clofazimine. There are also a number of product candidates in clinical development by third parties that are intended to treat NTM lung disease, including mid- to late-stage product candidates such as SPR720 from Spero Therapeutics, Inc., omadacycline from Paratek Pharmaceuticals, Inc., and inhaled clofazimine from Mannkind Corporation. We also expect that epetraborole, if approved, would compete with future and current generic versions of marketed antibiotics.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0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NDA process before it may be legally marketed in the United States. We, along with any third-party contractors, will be required to navigate the various preclinical, clinical and commercial approval requirements of the governing regulatory agencies of the countries in which we wish to conduct studies or seek approval of our product candidates. The process of obtaining regulatory approvals and the subsequent compliance with applicable federal, state, local, and foreign statutes and regulations require the expenditure of substantial time and financial resources.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2"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its implementing regulations. The process of obtaining regulatory approvals and the subsequent compliance with appropriate federal, state and local statutes and regulations require the expenditure of substantial time and financial resources. The process required by the FDA before a drug may be marketed in the United States generally involves the following:</w:t>
      </w:r>
    </w:p>
    <w:p>
      <w:pPr>
        <w:spacing w:after="0" w:line="66" w:lineRule="exact"/>
        <w:rPr>
          <w:sz w:val="20"/>
          <w:szCs w:val="20"/>
          <w:color w:val="auto"/>
        </w:rPr>
      </w:pPr>
    </w:p>
    <w:p>
      <w:pPr>
        <w:ind w:left="1020" w:right="3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certain preclinical laboratory tests, animal studies and formulation studies in accordance with Good Laboratory Practice regulations and other applicable regulations;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institutional review board (“IRB”), or ethics committee at each clinical site before each trial may be initiated;</w:t>
      </w:r>
    </w:p>
    <w:p>
      <w:pPr>
        <w:spacing w:after="0" w:line="46" w:lineRule="exact"/>
        <w:rPr>
          <w:rFonts w:ascii="Times New Roman" w:cs="Times New Roman" w:eastAsia="Times New Roman" w:hAnsi="Times New Roman"/>
          <w:sz w:val="18"/>
          <w:szCs w:val="18"/>
          <w:color w:val="auto"/>
        </w:rPr>
      </w:pPr>
    </w:p>
    <w:p>
      <w:pPr>
        <w:ind w:left="1020" w:right="74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Good Clinical Practice regulations (“GCPs”) to evaluate the safety and efficacy of the product candidate for its intended use;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NDA after completion of all pivotal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w:t>
      </w:r>
    </w:p>
    <w:p>
      <w:pPr>
        <w:spacing w:after="0" w:line="116"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 requirements (“cGMPs”) to assure that the facilities, methods and controls are adequate to preserve the drug’s identity, strength, quality and purity;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potential inspection of selected clinical investigation sites to assess compliance with GCPs; and</w:t>
      </w:r>
    </w:p>
    <w:p>
      <w:pPr>
        <w:spacing w:after="0" w:line="116" w:lineRule="exact"/>
        <w:rPr>
          <w:rFonts w:ascii="Times New Roman" w:cs="Times New Roman" w:eastAsia="Times New Roman" w:hAnsi="Times New Roman"/>
          <w:sz w:val="18"/>
          <w:szCs w:val="18"/>
          <w:color w:val="auto"/>
        </w:rPr>
      </w:pPr>
    </w:p>
    <w:p>
      <w:pPr>
        <w:ind w:left="1020" w:right="50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5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Once a product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an IND. An IND is a request for authorization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spacing w:after="0" w:line="18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All clinical trials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8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Furthermore, an independent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(DSMB) or committee. Depending on its charter, this group may determine whether a trial may move forward at designated check points based on access to certain data from the trial. There are also requirements governing the reporting of ongoing clinical studies and clinical study results to public registries, including clinicaltrials.gov.</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04" w:lineRule="exact"/>
        <w:rPr>
          <w:sz w:val="20"/>
          <w:szCs w:val="20"/>
          <w:color w:val="auto"/>
        </w:rPr>
      </w:pPr>
    </w:p>
    <w:p>
      <w:pPr>
        <w:ind w:left="1020" w:right="480" w:hanging="503"/>
        <w:spacing w:after="0" w:line="300" w:lineRule="auto"/>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Phase 1: </w:t>
      </w:r>
      <w:r>
        <w:rPr>
          <w:rFonts w:ascii="Arial" w:cs="Arial" w:eastAsia="Arial" w:hAnsi="Arial"/>
          <w:sz w:val="17"/>
          <w:szCs w:val="17"/>
          <w:color w:val="auto"/>
        </w:rPr>
        <w:t>The product candidate is initially introduced into healthy human subjects and tested for safety, dosage tolerance,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absorption, metabolism, distribution and excretion and, if possible, to gain an early indication of its effectiveness.</w:t>
      </w:r>
    </w:p>
    <w:p>
      <w:pPr>
        <w:spacing w:after="0" w:line="23" w:lineRule="exact"/>
        <w:rPr>
          <w:rFonts w:ascii="Times New Roman" w:cs="Times New Roman" w:eastAsia="Times New Roman" w:hAnsi="Times New Roman"/>
          <w:sz w:val="17"/>
          <w:szCs w:val="17"/>
          <w:color w:val="auto"/>
        </w:rPr>
      </w:pPr>
    </w:p>
    <w:p>
      <w:pPr>
        <w:ind w:left="1020" w:right="220" w:hanging="503"/>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Phase 2: </w:t>
      </w:r>
      <w:r>
        <w:rPr>
          <w:rFonts w:ascii="Arial" w:cs="Arial" w:eastAsia="Arial" w:hAnsi="Arial"/>
          <w:sz w:val="18"/>
          <w:szCs w:val="18"/>
          <w:color w:val="auto"/>
        </w:rPr>
        <w:t>The product candidate is administered to a limited patient population with a specified disease or condition to identify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possible adverse effects and safety risks, to preliminarily evaluate the efficacy of the product candidate for specific targeted diseases and to determine dosage tolerance and appropriate dosage.</w:t>
      </w:r>
    </w:p>
    <w:p>
      <w:pPr>
        <w:spacing w:after="0" w:line="62" w:lineRule="exact"/>
        <w:rPr>
          <w:rFonts w:ascii="Times New Roman" w:cs="Times New Roman" w:eastAsia="Times New Roman" w:hAnsi="Times New Roman"/>
          <w:sz w:val="18"/>
          <w:szCs w:val="18"/>
          <w:color w:val="auto"/>
        </w:rPr>
      </w:pPr>
    </w:p>
    <w:p>
      <w:pPr>
        <w:ind w:left="1020" w:right="320" w:hanging="503"/>
        <w:spacing w:after="0" w:line="246"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Phase 3: </w:t>
      </w:r>
      <w:r>
        <w:rPr>
          <w:rFonts w:ascii="Arial" w:cs="Arial" w:eastAsia="Arial" w:hAnsi="Arial"/>
          <w:sz w:val="18"/>
          <w:szCs w:val="18"/>
          <w:color w:val="auto"/>
        </w:rPr>
        <w:t>The product candidate is administered to an expanded patient population to further evaluate dosage,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 evidence of efficacy and to further test for safety, generally at multiple geographically dispersed clinical trial sites. These clinical trials are intended to establish the overall risk-benefit ratio of the product candidate and provide an adequate basis for product labeling.</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7" w:name="page18"/>
    <w:bookmarkEnd w:id="17"/>
    <w:p>
      <w:pPr>
        <w:jc w:val="both"/>
        <w:ind w:right="300" w:firstLine="509"/>
        <w:spacing w:after="0" w:line="253" w:lineRule="auto"/>
        <w:rPr>
          <w:sz w:val="20"/>
          <w:szCs w:val="20"/>
          <w:color w:val="auto"/>
        </w:rPr>
      </w:pPr>
      <w:r>
        <w:rPr>
          <w:rFonts w:ascii="Arial" w:cs="Arial" w:eastAsia="Arial" w:hAnsi="Arial"/>
          <w:sz w:val="18"/>
          <w:szCs w:val="18"/>
          <w:color w:val="auto"/>
        </w:rPr>
        <w:t>Post-approval trials, sometimes referred to as Phase 4 studies, may be conducted after initial regulatory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69"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w:t>
      </w:r>
    </w:p>
    <w:p>
      <w:pPr>
        <w:spacing w:after="0" w:line="102"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spacing w:after="0" w:line="174"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6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Once an NDA has been submitted, the FDA conducts a preliminary review of the application within the first 60 days after submission, before accepting it for filing, to determine whether it is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w:t>
      </w:r>
    </w:p>
    <w:p>
      <w:pPr>
        <w:spacing w:after="0" w:line="183"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Before approving an NDA, the FDA will typically inspect the facility or facilities where the product is manufactured. Additionally, before approving an NDA, the FDA may inspect one or more clinical trial sites to assure compliance with GCPs.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ind w:firstLine="509"/>
        <w:spacing w:after="0"/>
        <w:rPr>
          <w:sz w:val="20"/>
          <w:szCs w:val="20"/>
          <w:color w:val="auto"/>
        </w:rPr>
      </w:pPr>
      <w:r>
        <w:rPr>
          <w:rFonts w:ascii="Arial" w:cs="Arial" w:eastAsia="Arial" w:hAnsi="Arial"/>
          <w:sz w:val="18"/>
          <w:szCs w:val="18"/>
          <w:color w:val="auto"/>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NDA identified by the FDA and may require additional clinical data, including additional clinical trials, or other significant and time-consuming requirements related to clinical trials, nonclinical studies or manufacturing. If a CRL is issued, the sponsor must resubmit the NDA or, addressing all of the deficiencies identified in the letter, or withdraw the application. Even if such data and information are submitted, the FDA may decide that the NDA does not satisfy the criteria for approval.</w:t>
      </w:r>
    </w:p>
    <w:p>
      <w:pPr>
        <w:spacing w:after="0" w:line="180"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refers to clinical trials designed to further assess a drug’s safety and/or effectiveness following NDA approval, and may require additional testing and surveillance programs to monitor the safety of approved products which have been commercialized. The FDA may also place other conditions on approval, including the requirement for a risk evaluation and mitigation strategy (“REMS”), to assure the safe use of the drug. If the FDA concludes a REMS is needed, the sponsor of the NDA must submit a proposed REMS, which could include medication guides, physician communication plans or elements to assure safe use, such as restricted distribution methods, patient registries and other risk minimization tools. The FDA will not approve the NDA without an approved REMS, if required. Any of these limitations on approval or marketing could restrict the commercial promotion, distribution, prescription or dispensing of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2"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The FDA has a number of programs intended to expedite the development or review of a marketing application for an investigational drug. For example, the fast track designation program is intended to expedite or facilitate the process for developing and reviewing product candidates that meet certain criteria. Specifically, investigational drugs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Any product candidate submitted to the FDA for approval, including a product candidate with a fast track designation or breakthrough designation, may also be eligible for other types of FDA programs intended to expedite development and review, such as priority review. An NDA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an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ind w:right="40" w:firstLine="509"/>
        <w:spacing w:after="0" w:line="238" w:lineRule="auto"/>
        <w:rPr>
          <w:sz w:val="20"/>
          <w:szCs w:val="20"/>
          <w:color w:val="auto"/>
        </w:rPr>
      </w:pPr>
      <w:r>
        <w:rPr>
          <w:rFonts w:ascii="Arial" w:cs="Arial" w:eastAsia="Arial" w:hAnsi="Arial"/>
          <w:sz w:val="18"/>
          <w:szCs w:val="18"/>
          <w:color w:val="auto"/>
        </w:rPr>
        <w:t>In addition, depending on the design of the applicable clinical trials, a product candidate may be eligible for accelerated approval. Specifically,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186" w:lineRule="exact"/>
        <w:rPr>
          <w:sz w:val="20"/>
          <w:szCs w:val="20"/>
          <w:color w:val="auto"/>
        </w:rPr>
      </w:pPr>
    </w:p>
    <w:p>
      <w:pPr>
        <w:jc w:val="both"/>
        <w:ind w:right="180" w:firstLine="509"/>
        <w:spacing w:after="0" w:line="247"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0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7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disease or condition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Orphan exclusivity also could block the approval of a competing product for seven years if a competitor obtains approval of the “same drug,” as defined by the FDA, or if the active moiety of the product candidate is determined to be contained within the competitor’s product for the same disease or condition. In addition, if an orphan designated product receives regulatory approval for a disease or condition broader than what is designated, it may not be entitled to orphan exclusivity.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2"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certain manufacturing changes and additional labeling claims, are subject to further FDA review and approval.</w:t>
      </w:r>
    </w:p>
    <w:p>
      <w:pPr>
        <w:spacing w:after="0" w:line="66"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cGMPs and other laws and regulations. Changes to the manufacturing process are strictly regulated, and, depending on the significance of the change, may require prior FDA approval before being implemented. Accordingly, manufacturers must continue to expend time, money and effort in the area of production and quality control to maintain compliance with cGMPs and other aspects of regulatory compliance.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0" w:name="page21"/>
    <w:bookmarkEnd w:id="20"/>
    <w:p>
      <w:pPr>
        <w:ind w:right="40" w:firstLine="509"/>
        <w:spacing w:after="0" w:line="242"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w:t>
      </w:r>
    </w:p>
    <w:p>
      <w:pPr>
        <w:spacing w:after="0" w:line="71" w:lineRule="exact"/>
        <w:rPr>
          <w:sz w:val="20"/>
          <w:szCs w:val="20"/>
          <w:color w:val="auto"/>
        </w:rPr>
      </w:pPr>
    </w:p>
    <w:p>
      <w:pPr>
        <w:ind w:left="1020" w:right="34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untitled letters;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clinical holds on ongoing or planned clinical studies;</w:t>
      </w:r>
    </w:p>
    <w:p>
      <w:pPr>
        <w:spacing w:after="0" w:line="116"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approvals;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21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Regulatory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 w:name="page22"/>
    <w:bookmarkEnd w:id="21"/>
    <w:p>
      <w:pPr>
        <w:ind w:right="260" w:firstLine="509"/>
        <w:spacing w:after="0" w:line="244"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existing exclusivity or an available patent term if a sponsor conducts clinical trials in children in response to a “written request” from the FDA. The issuance of a written request does not require the sponsor to undertake the described clinical trials, and the FDA’s grant of pediatric exclusivity does not require the FDA to approve labeling containing information on pediatric use based on the studies conducted.</w:t>
      </w:r>
    </w:p>
    <w:p>
      <w:pPr>
        <w:spacing w:after="0" w:line="17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Additionally, under the Generating Antibiotics Incentives Now (“GAIN”) Act, the FDA may designate a product as a “qualified infectious disease product,” or QIDP. In order to receive this designation, a drug must qualify as an antibacterial or antifungal drug for human use intended to treat serious or life-threatening infections, including those caused by either (1) an antibacterial or antifungal resistant pathogen, including novel or emerging infectious pathogens, or (2) a so-called “qualifying pathogen” found on a list of potentially dangerous, drug-resistant organisms established and maintained by the FDA under the law. The FDA interprets QIDP designation to apply to a specific drug product, including a specific dosage form of the product. A sponsor must request such designation before submitting a marketing application, and the FDA will respond to a request for QIDP designation within 60 days of the date the FDA receives the request. The GAIN Act permits the FDA to revoke a QIDP designation only if the request for such designation contained an untrue statement of material fact.</w:t>
      </w:r>
    </w:p>
    <w:p>
      <w:pPr>
        <w:spacing w:after="0" w:line="18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benefits of QIDP designation include potential eligibility for priority review and Fast Track designation, and an extension by an additional five years of any non-patent regulatory exclusivity period awarded, such as a five-year exclusivity period awarded for a new molecular entity. This extension is in addition to any pediatric exclusivity extension awarded, and the extension will be awarded only to a drug first approved on or after the date of enactment of the GAIN Act. The GAIN Act prohibits the grant of an exclusivity extension where the application is a supplement to an application for which an extension is in effect or has expired, is a subsequent application for a specified change to an approved product, or is an application for a product that does not meet the definition of QIDP based on the uses for which it is ultimately approved.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Tropical Disease Priority Review Voucher Program</w:t>
      </w:r>
    </w:p>
    <w:p>
      <w:pPr>
        <w:spacing w:after="0" w:line="10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2007, Congress authorized the FDA to award priority review vouchers (“PRVs”), to sponsors of certain tropical disease product applications. The FDA’s Tropical Disease Priority Review Voucher Program is designed to encourage development of new drug and biological products for the prevention and treatment of certain tropical diseases affecting millions of people throughout the world. Under this program, a sponsor who receives an approval for a drug or biologic for the prevention or treatment a tropical disease that meets certain criteria may qualify for a PRV that can be redeemed to receive priority review of a subsequent NDA or Biologics License Application (“BLA”), for a different product. The sponsor of a tropical disease drug product receiving a priority review voucher may transfer (including by sale) the voucher to another sponsor of an NDA or BLA. The FDCA does not limit the number of times a priority review voucher may be transferred before the voucher is used.</w:t>
      </w:r>
    </w:p>
    <w:p>
      <w:pPr>
        <w:spacing w:after="0" w:line="167"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For a product to qualify for a PRV, (i) the sponsor must request approval of the product for the prevention or treatment of a “tropical disease” listed in Section 524 of the FDCA, (ii) the product must otherwise qualify for priority review, and (iii) the product must contain no active ingredient (including any salt or ester of an active ingredient) that has been approved by the FDA in any other NDA or BLA. The Food and Drug Administration Reauthorization Act of 2017 made further changes to the eligibility criteria for receipt of a tropical disease PRV under this program. Specifically, applications submitted after September 30, 2017 must also contain reports of one or more new clinical investigations (other than bioavailability studies) that were essential to the approval of the application and conducted or sponsored by the sponsor. In addition, the applicant must attest that such report(s) were not submitted as part of an application for regulatory approval or licensure by a regulatory authority in India, Brazil, Thailand and certain other countries prior to September 27, 2007.</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2"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In the United States, we are subject to a number of federal and state healthcare regulatory laws that restrict business practices in the healthcare industry. These laws include, but are not limited to, federal and state anti-kickback, false claims, and other healthcare fraud and abuse laws, as follows:</w:t>
      </w:r>
    </w:p>
    <w:p>
      <w:pPr>
        <w:spacing w:after="0" w:line="169"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A person or entity does not need to have actual knowledge of the statute or specific intent to violate it in order to have committed a violation.</w:t>
      </w:r>
    </w:p>
    <w:p>
      <w:pPr>
        <w:spacing w:after="0" w:line="17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federal false claims,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Moreover, a claim including items or services resulting from a violation of the U.S. federal Anti-Kickback Statute constitutes a false or fraudulent claim for purposes of the federal civil False Claims Act.</w:t>
      </w:r>
    </w:p>
    <w:p>
      <w:pPr>
        <w:spacing w:after="0" w:line="180" w:lineRule="exact"/>
        <w:rPr>
          <w:sz w:val="20"/>
          <w:szCs w:val="20"/>
          <w:color w:val="auto"/>
        </w:rPr>
      </w:pPr>
    </w:p>
    <w:p>
      <w:pPr>
        <w:ind w:right="420" w:firstLine="509"/>
        <w:spacing w:after="0" w:line="247" w:lineRule="auto"/>
        <w:rPr>
          <w:sz w:val="20"/>
          <w:szCs w:val="20"/>
          <w:color w:val="auto"/>
        </w:rPr>
      </w:pPr>
      <w:r>
        <w:rPr>
          <w:rFonts w:ascii="Arial" w:cs="Arial" w:eastAsia="Arial" w:hAnsi="Arial"/>
          <w:sz w:val="18"/>
          <w:szCs w:val="18"/>
          <w:color w:val="auto"/>
        </w:rPr>
        <w:t>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17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Health Insurance Portability and Accountability Act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85"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HIPAA, as amended by the Health Information Technology for Economic and Clinical Health Act of 2009 (“HITECH”), and their respective implementing regulations, which impose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176"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(“CMMS”), information related to payments or other transfers of value made to physicians (defined to include doctors, dentists, optometrists, podiatrists, and chiropractors), certain other healthcare professionals including physician assistants and nurse practitioners, and teaching hospitals, and applicable manufacturers and applicable group purchasing organizations to report annually to CMMS ownership and investment interests held by physicians and their immediate family members.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23" w:name="page24"/>
    <w:bookmarkEnd w:id="23"/>
    <w:p>
      <w:pPr>
        <w:ind w:firstLine="509"/>
        <w:spacing w:after="0" w:line="239"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information and marketing expenditures or which require tracking gifts and other remuneration and items of value provided to physicians, other healthcare providers and entities; and state and local laws that require the registration of pharmaceutical sales representatives.</w:t>
      </w:r>
    </w:p>
    <w:p>
      <w:pPr>
        <w:spacing w:after="0" w:line="183"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Violations of any of these laws and other applicable healthcare fraud and abuse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no uniform policy exists for coverage and reimbursement for pharmaceutical products among third-party payors. Therefore, decisions regarding the extent of coverage and amount of reimbursement to be provided are made on a plan-by-plan basis. The process for determining whether a third-party payor will provide coverage for a product typically is separate from the process for setting the price of such product or for establishing the reimbursement rate that the payor will pay for the product once coverage is approved.</w:t>
      </w:r>
    </w:p>
    <w:p>
      <w:pPr>
        <w:spacing w:after="0" w:line="18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One third-party payor’s decision to cover a particular medical product or service does not ensure that other payors will also provide coverage for the medical product or service and the level of coverage and reimbursement can differ significantly from payor to payor. As a result, the coverage determination process will often require us to provide scientific and clinical support for the use of our products to each payor separately and can be a time-consuming process, with no assurance that coverage and adequate reimbursement will be applied consistently or obtained in the first instance. Additionally, a third-party payor’s decision to provide coverage for a product does not imply that an adequate reimbursement rate will be approved.</w:t>
      </w:r>
    </w:p>
    <w:p>
      <w:pPr>
        <w:spacing w:after="0" w:line="180"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Moreover, as a condition of participating in, and having products covered under, certain federal healthcare programs, such as Medicare and Medicaid, we are subject to federal laws and regulations that require pharmaceutical manufacturers to calculate and report certain price reporting metrics to the government, such as Medicaid Average Manufacturer Price (“AMP”), and Best Price, Medicare Average Sales Price, the 340B Ceiling Price, and Non-Federal AMP reported to the Department of Veteran Affairs, and with respect to Medicaid, pay statutory rebates on utilization of manufacturers’ products by Medicaid beneficiaries. Compliance with such laws and regulations require significant resources and any findings of non-compliance may have a material adverse effect on our revenues.</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the United States, by way of example, in March 2010, the Affordable Care Act (“ACA”) was signed into law, which substantially changed the way healthcare is financed by both governmental and private insurers in the United States and significantly affected the pharmaceutical industry. The ACA, among other things, increased the minimum level of Medicaid rebates payable by manufacturers of brand name drugs; required collection of rebates for drugs paid by Medicaid managed care organizations; required manufacturers to participate in a coverage gap discount program, under which they must agree to offer point-of-sale discounts (increased to 70 percent, effective as of January 1, 2019)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the types of entities eligible for the 340B drug discount program; expanded eligibility criteria for Medicaid programs; created a new Patient-Centered Outcomes Research Institute to oversee, identify priorities in, and conduct comparative clinical effectiveness research, along with funding for such research; and established a Center for Medicare and Medicaid Innovation at CMMS to test innovative payment and service delivery models to lower Medicare and Medicaid spending, potentially including prescription drug spending. Since its enactment, there have been judicial, administrative, executive, and Congressional legislative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w:t>
      </w:r>
    </w:p>
    <w:p>
      <w:pPr>
        <w:spacing w:after="0" w:line="18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Other legislative changes have been proposed and adopted since the ACA was enacted, including aggregate reductions of Medicare payments to providers, which was temporarily suspended from May 1, 2020 through March 31, 2022, and reduced payments to several types of Medicare providers. In addition, the American Taxpayer Relief Act of 2021, effective January 1, 2024, eliminated the statutory cap on rebate amounts owed by drug manufacturers under the Medicaid Drug Rebate Program(“MDRP”), which was previously capped at 100% of the AMP for a covered outpatient drug. Further, based on a recent executive order, the Biden administration expressed its intent to pursue certain policy initiatives to reduce drug prices.</w:t>
      </w:r>
    </w:p>
    <w:p>
      <w:pPr>
        <w:spacing w:after="0" w:line="17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Most significantly, in August 2022, the Inflation Reduction Act of 2022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our business and the pharmaceutical industry cannot yet be fully determined, it is likely to be significant.</w:t>
      </w:r>
    </w:p>
    <w:p>
      <w:pPr>
        <w:spacing w:after="0" w:line="183"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third-party payors and governmental authorities in reference pricing systems and publication of discounts and list prices.</w:t>
      </w:r>
    </w:p>
    <w:p>
      <w:pPr>
        <w:spacing w:after="0" w:line="179" w:lineRule="exact"/>
        <w:rPr>
          <w:sz w:val="20"/>
          <w:szCs w:val="20"/>
          <w:color w:val="auto"/>
        </w:rPr>
      </w:pPr>
    </w:p>
    <w:p>
      <w:pPr>
        <w:jc w:val="both"/>
        <w:ind w:right="200" w:firstLine="509"/>
        <w:spacing w:after="0" w:line="253" w:lineRule="auto"/>
        <w:rPr>
          <w:sz w:val="20"/>
          <w:szCs w:val="20"/>
          <w:color w:val="auto"/>
        </w:rPr>
      </w:pPr>
      <w:r>
        <w:rPr>
          <w:rFonts w:ascii="Arial" w:cs="Arial" w:eastAsia="Arial" w:hAnsi="Arial"/>
          <w:sz w:val="18"/>
          <w:szCs w:val="18"/>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9"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02"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As a pharmaceutical company, we are subject to state, federal and foreign laws, including consumer protection laws and regulations, governing the collection, dissemination, use, access to, confidentiality, and security of personal information, including health-related information. For example, in the United States, numerous federal and state laws and regulations, including data breach notification laws, health information privacy and security laws (e.g., the Health Insurance Portability and Accountability Act (“HIPAA”)), and federal and state consumer protection laws and regulations (e.g., Section 5 of the Federal Trade Commission Act) that govern the collection, dissemination, use, protection and other processing of health-related and other personal information currently or could in the future apply to our operations or the operations of our partners. In addition, certain state and non-U.S. laws, such as the California Consumer Privacy Act (“CCPA”), and the General Data Protection Regulation (“GDPR”), govern the privacy and security of personal information, including health-related information in certain circumstances, some of which are more stringent than HIPAA and many of which differ from each other in significant ways, thus complicating compliance efforts. Failure to comply with data privacy and security laws, where applicable, can result in the imposition of significant civil and/or criminal penalties and private litigation. Privacy and security laws, regulations, and other obligations are constantly evolving, can conflict with each other to make compliance efforts more challenging, and can result in investigations, proceedings, or actions that lead to significant penalties and restrictions on data processing.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Japanese Drug Regulation</w:t>
      </w:r>
    </w:p>
    <w:p>
      <w:pPr>
        <w:spacing w:after="0" w:line="10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Being a member of the ICH, Japan has pharmaceutical regulations fundamentally similar to those of the United States and the EU. Clinical trials of medicinal products in Japan must be conducted in accordance with Japanese regulations based on ICH guidelines governing GCP. If the sponsor of the clinical trial is not established within Japan, it must appoint an entity within the country to act as its caretaker who should be authorized to act on the sponsor’s behalf. The sponsor must take out a clinical trial insurance policy, and, according to the industry agreement, should put in place a common compensation policy for the injuries from the trial. Prior to the commencement of human clinical studies, the sponsor must complete an evaluation of the safety of the investigative product and submit a clinical trial notification and clinical trial protocol to the authorities in advance, upon agreement of the IRB of the participating institutions. When the authorities do not comment on the notification, the sponsor may proceed with the clinical trial. Any substantial changes to the trial protocol or other information submitted must be cleared by the IRB and notified to the authorities. Medicines used in clinical trials must be manufactured in accordance with GMP.</w:t>
      </w:r>
    </w:p>
    <w:p>
      <w:pPr>
        <w:spacing w:after="0" w:line="183"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To market a medicinal product in Japan, we must obtain regulatory approval. To obtain regulatory approval of an investigational medicinal product, we must submit a new drug application. If the product is designed for treating certain “difficult diseases” or those whose patient size is limited, we may be able to obtain designation as an orphan drug product if it demonstrates unique therapeutic value. Separately, the latest amendment to the law introduced separate pathways for (i) truly innovative products with a unique mode of action and (ii) those which will satisfy unmet medical needs.</w:t>
      </w:r>
    </w:p>
    <w:p>
      <w:pPr>
        <w:spacing w:after="0" w:line="176"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 evaluation of new drug applications is based on an assessment of the risk-benefit balance of the product on the basis of scientific criteria concerning its quality, safety, and efficacy. Once the review organization completes its review, the matter is considered by the advisory committee of experts, and the government grants approval upon positive recommendation from the committee.</w:t>
      </w:r>
    </w:p>
    <w:p>
      <w:pPr>
        <w:spacing w:after="0" w:line="169"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The volume and quality of the clinical data are key determinants of the approval decision. Clinical trial data generated overseas is accepted as part of the data package consistent with the ICH recommendation. Typically, a limited dose response clinical trial for Japanese subjects is required to ensure that data are extrapolatable for the Japanese population.</w:t>
      </w:r>
    </w:p>
    <w:p>
      <w:pPr>
        <w:spacing w:after="0" w:line="169"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Separate from the approval requirement, it is also mandatory to possess a distribution license of an appropriate class for the manufacturer to commercially distribute the product in Japan. Non-Japanese companies who possess only the product approval may designate an appropriate license holder in Japan to commercially distribute the product, rather than distributing it on its own. The license is valid for five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and Human Capital Resources</w:t>
      </w:r>
    </w:p>
    <w:p>
      <w:pPr>
        <w:spacing w:after="0" w:line="102" w:lineRule="exact"/>
        <w:rPr>
          <w:sz w:val="20"/>
          <w:szCs w:val="20"/>
          <w:color w:val="auto"/>
        </w:rPr>
      </w:pPr>
    </w:p>
    <w:p>
      <w:pPr>
        <w:ind w:right="800" w:firstLine="509"/>
        <w:spacing w:after="0" w:line="253" w:lineRule="auto"/>
        <w:rPr>
          <w:sz w:val="20"/>
          <w:szCs w:val="20"/>
          <w:color w:val="auto"/>
        </w:rPr>
      </w:pPr>
      <w:r>
        <w:rPr>
          <w:rFonts w:ascii="Arial" w:cs="Arial" w:eastAsia="Arial" w:hAnsi="Arial"/>
          <w:sz w:val="18"/>
          <w:szCs w:val="18"/>
          <w:color w:val="auto"/>
        </w:rPr>
        <w:t>As of February 29, 2024, we had 41 full-time employees, consisting of clinical operations, clinical development, research, manufacturing, regulatory, quality, finance, and operational personnel. None of our employees are subject to a collective bargaining agreement. We consider our relationship with our employees to be good.</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9" w:right="359" w:bottom="1440" w:gutter="0" w:footer="0" w:header="0"/>
        </w:sectPr>
      </w:pPr>
    </w:p>
    <w:bookmarkStart w:id="26" w:name="page27"/>
    <w:bookmarkEnd w:id="26"/>
    <w:p>
      <w:pPr>
        <w:ind w:right="260" w:firstLine="509"/>
        <w:spacing w:after="0" w:line="253" w:lineRule="auto"/>
        <w:rPr>
          <w:sz w:val="20"/>
          <w:szCs w:val="20"/>
          <w:color w:val="auto"/>
        </w:rPr>
      </w:pPr>
      <w:r>
        <w:rPr>
          <w:rFonts w:ascii="Arial" w:cs="Arial" w:eastAsia="Arial" w:hAnsi="Arial"/>
          <w:sz w:val="18"/>
          <w:szCs w:val="18"/>
          <w:color w:val="auto"/>
        </w:rPr>
        <w:t>We recognize that our continued ability to attract, retain and motivate exceptional employees is vital to ensuring our long-term competitive advantage. Our employees are critical to our long-term success and are essential to helping us meet our goals. Among other things, we support and incentivize our employees in the following ways:</w:t>
      </w:r>
    </w:p>
    <w:p>
      <w:pPr>
        <w:spacing w:after="0" w:line="61" w:lineRule="exact"/>
        <w:rPr>
          <w:sz w:val="20"/>
          <w:szCs w:val="20"/>
          <w:color w:val="auto"/>
        </w:rPr>
      </w:pPr>
    </w:p>
    <w:p>
      <w:pPr>
        <w:ind w:left="1020" w:right="40" w:hanging="503"/>
        <w:spacing w:after="0" w:line="246"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Talent development, compensation and retention: </w:t>
      </w:r>
      <w:r>
        <w:rPr>
          <w:rFonts w:ascii="Arial" w:cs="Arial" w:eastAsia="Arial" w:hAnsi="Arial"/>
          <w:sz w:val="18"/>
          <w:szCs w:val="18"/>
          <w:color w:val="auto"/>
        </w:rPr>
        <w:t>We strive to provide our employees with a rewarding work environment,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 opportunity for growth, success and professional development. We provide a competitive compensation and benefits package, including bonus and equity incentive plans and a 401(k) plan—all designed to attract and retain a skilled and diverse workforce.</w:t>
      </w:r>
    </w:p>
    <w:p>
      <w:pPr>
        <w:spacing w:after="0" w:line="68" w:lineRule="exact"/>
        <w:rPr>
          <w:rFonts w:ascii="Times New Roman" w:cs="Times New Roman" w:eastAsia="Times New Roman" w:hAnsi="Times New Roman"/>
          <w:sz w:val="18"/>
          <w:szCs w:val="18"/>
          <w:color w:val="auto"/>
        </w:rPr>
      </w:pPr>
    </w:p>
    <w:p>
      <w:pPr>
        <w:jc w:val="both"/>
        <w:ind w:left="1020" w:right="340" w:hanging="503"/>
        <w:spacing w:after="0" w:line="252"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Health and safety: </w:t>
      </w:r>
      <w:r>
        <w:rPr>
          <w:rFonts w:ascii="Arial" w:cs="Arial" w:eastAsia="Arial" w:hAnsi="Arial"/>
          <w:sz w:val="18"/>
          <w:szCs w:val="18"/>
          <w:color w:val="auto"/>
        </w:rPr>
        <w:t>We support the health and safety of our employees by providing comprehensive insurance benefits,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assistance program, company-paid holidays, a personal time-off program and other additional benefits which are intended to assist employees to manage their well-being.</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Inclusion and diversity: </w:t>
      </w:r>
      <w:r>
        <w:rPr>
          <w:rFonts w:ascii="Arial" w:cs="Arial" w:eastAsia="Arial" w:hAnsi="Arial"/>
          <w:sz w:val="18"/>
          <w:szCs w:val="18"/>
          <w:color w:val="auto"/>
        </w:rPr>
        <w:t>We are committed to efforts to foster an inclusive work environment that supports our workforce.</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02" w:lineRule="exact"/>
        <w:rPr>
          <w:sz w:val="20"/>
          <w:szCs w:val="20"/>
          <w:color w:val="auto"/>
        </w:rPr>
      </w:pPr>
    </w:p>
    <w:p>
      <w:pPr>
        <w:ind w:right="400" w:firstLine="509"/>
        <w:spacing w:after="0" w:line="247" w:lineRule="auto"/>
        <w:rPr>
          <w:sz w:val="20"/>
          <w:szCs w:val="20"/>
          <w:color w:val="auto"/>
        </w:rPr>
      </w:pPr>
      <w:r>
        <w:rPr>
          <w:rFonts w:ascii="Arial" w:cs="Arial" w:eastAsia="Arial" w:hAnsi="Arial"/>
          <w:sz w:val="18"/>
          <w:szCs w:val="18"/>
          <w:color w:val="auto"/>
        </w:rPr>
        <w:t>We incorporated in Delaware on February 24, 2017 and launched operations in November 2019. We completed the initial public offering (the “IPO”) of our common stock in March 2022, and our common stock is listed on the Nasdaq Global Select Market under the symbol “ANTX.” Our principal executive offices are located at 1800 El Camino Real, Suite D, Menlo Park, California, 94027, and our telephone number is (650) 331-9090.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Exchange Act Reports</w:t>
      </w:r>
    </w:p>
    <w:p>
      <w:pPr>
        <w:spacing w:after="0" w:line="102"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 Company maintains a website at the following address: https:// www.an2therapeutics.com/. The information on the Company's website is not incorporated by reference in this Annual Report on Form 10-K.</w:t>
      </w:r>
    </w:p>
    <w:p>
      <w:pPr>
        <w:spacing w:after="0" w:line="15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make available on or through our website reports and amendments to those reports that we file with or furnish to the SEC in accordance with the Securities Exchange Act of 1934, as amended. These include our Annual Reports on Form 10-K, our Quarterly Reports on Form 10-Q and our Current Reports on Form 8-K and amendments to these reports. We make this information available on our website free of charge as soon as reasonably practicable after we electronically file the information available with, or furnish it to, the SEC. The SEC also maintains a website at the following address, through which this information is available: http://www.sec.gov.</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you invest in our common stock, you should carefully consider the risks described below together with all of the other information contained in this Annual Report, including our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in these risk factors to our business being harmed will include harm to our business, reputation, financial condition, results of operations, and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0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i w:val="1"/>
          <w:iCs w:val="1"/>
          <w:color w:val="auto"/>
        </w:rPr>
        <w:t>Investing in shares of our common stock involves a high degree of risk because our business is subject to numerous risks and uncertainties, as fully described below. The principal factors and uncertainties that make investing in shares of our common stock risky include, among others:</w:t>
      </w:r>
    </w:p>
    <w:p>
      <w:pPr>
        <w:spacing w:after="0" w:line="62" w:lineRule="exact"/>
        <w:rPr>
          <w:sz w:val="20"/>
          <w:szCs w:val="20"/>
          <w:color w:val="auto"/>
        </w:rPr>
      </w:pPr>
    </w:p>
    <w:p>
      <w:pPr>
        <w:jc w:val="both"/>
        <w:ind w:left="1020" w:right="24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are a clinical-stage biopharmaceutical company with a limited operating history and no products approved for commercial sale. We have incurred significant losses since our inception. We expect to incur losses over the next several years and may never achieve or maintain profitability.</w:t>
      </w:r>
    </w:p>
    <w:p>
      <w:pPr>
        <w:spacing w:after="0" w:line="62" w:lineRule="exact"/>
        <w:rPr>
          <w:rFonts w:ascii="Times New Roman" w:cs="Times New Roman" w:eastAsia="Times New Roman" w:hAnsi="Times New Roman"/>
          <w:sz w:val="18"/>
          <w:szCs w:val="18"/>
          <w:color w:val="auto"/>
        </w:rPr>
      </w:pPr>
    </w:p>
    <w:p>
      <w:pPr>
        <w:jc w:val="both"/>
        <w:ind w:left="1020" w:right="2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w:t>
      </w:r>
    </w:p>
    <w:p>
      <w:pPr>
        <w:spacing w:after="0" w:line="62" w:lineRule="exact"/>
        <w:rPr>
          <w:rFonts w:ascii="Times New Roman" w:cs="Times New Roman" w:eastAsia="Times New Roman" w:hAnsi="Times New Roman"/>
          <w:sz w:val="18"/>
          <w:szCs w:val="18"/>
          <w:color w:val="auto"/>
        </w:rPr>
      </w:pPr>
    </w:p>
    <w:p>
      <w:pPr>
        <w:ind w:left="1020" w:right="22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to a large degree on the success of epetraborole. If we do not obtain regulatory approval for and successfully commercialize epetraborole or any of our other product candidates, or if we experience significant delays in doing so, we may never become profitable.</w:t>
      </w:r>
    </w:p>
    <w:p>
      <w:pPr>
        <w:spacing w:after="0" w:line="62" w:lineRule="exact"/>
        <w:rPr>
          <w:rFonts w:ascii="Times New Roman" w:cs="Times New Roman" w:eastAsia="Times New Roman" w:hAnsi="Times New Roman"/>
          <w:sz w:val="18"/>
          <w:szCs w:val="18"/>
          <w:color w:val="auto"/>
        </w:rPr>
      </w:pPr>
    </w:p>
    <w:p>
      <w:pPr>
        <w:ind w:left="1020" w:hanging="503"/>
        <w:spacing w:after="0" w:line="243"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If clinical trials of epetraborole or any other product candidate that we may advance to clinical trials fail to demonstrate safety, tolerability and/or efficacy to the satisfaction of the U.S. Food and Drug Administration (“FDA”), Japan's Pharmaceuticals and Medical Devices Agency (“PMDA”) or other comparable regulatory authorities, or do not otherwise produce favorable results, we may incur additional costs or experience delays in completing, or ultimately be unable to complete, the development and commercialization of epetraborole or any other product candidate.</w:t>
      </w:r>
    </w:p>
    <w:p>
      <w:pPr>
        <w:spacing w:after="0" w:line="71" w:lineRule="exact"/>
        <w:rPr>
          <w:rFonts w:ascii="Times New Roman" w:cs="Times New Roman" w:eastAsia="Times New Roman" w:hAnsi="Times New Roman"/>
          <w:sz w:val="18"/>
          <w:szCs w:val="18"/>
          <w:color w:val="auto"/>
        </w:rPr>
      </w:pPr>
    </w:p>
    <w:p>
      <w:pPr>
        <w:ind w:left="1020" w:right="260" w:hanging="503"/>
        <w:spacing w:after="0" w:line="246"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data we have collected and continue to collect in our Phase 1 programs, from our Phase 2/3 clinical trial, and from future trials in NTM, may not support continued clinical investigation due to insufficient clinical or microbiological responses or occurrence of adverse safety events or may lead to adjustments in trial design, rendering it not feasible to conduct or not acceptable to the FDA or to us.</w:t>
      </w:r>
    </w:p>
    <w:p>
      <w:pPr>
        <w:spacing w:after="0" w:line="68"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If we experience further delays or difficulties in the enrollment of patients in clinical trials, our receipt of necessary regulatory approvals could be delayed or prevented.</w:t>
      </w:r>
    </w:p>
    <w:p>
      <w:pPr>
        <w:spacing w:after="0" w:line="46" w:lineRule="exact"/>
        <w:rPr>
          <w:rFonts w:ascii="Times New Roman" w:cs="Times New Roman" w:eastAsia="Times New Roman" w:hAnsi="Times New Roman"/>
          <w:sz w:val="18"/>
          <w:szCs w:val="18"/>
          <w:color w:val="auto"/>
        </w:rPr>
      </w:pPr>
    </w:p>
    <w:p>
      <w:pPr>
        <w:ind w:left="1020" w:right="120" w:hanging="503"/>
        <w:spacing w:after="0" w:line="246"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single-sourced third parties to conduct the preclinical and nonclinical studies, clinical trials and manufacture of our clinical trial material for epetraborole and our other product candidates, and those third parties may not perform satisfactorily, including failing to meet deadlines for the completion of such studies, trials and manufacturing services or failing to comply with applicable regulatory requirements.</w:t>
      </w:r>
    </w:p>
    <w:p>
      <w:pPr>
        <w:spacing w:after="0" w:line="68" w:lineRule="exact"/>
        <w:rPr>
          <w:rFonts w:ascii="Times New Roman" w:cs="Times New Roman" w:eastAsia="Times New Roman" w:hAnsi="Times New Roman"/>
          <w:sz w:val="18"/>
          <w:szCs w:val="18"/>
          <w:color w:val="auto"/>
        </w:rPr>
      </w:pPr>
    </w:p>
    <w:p>
      <w:pPr>
        <w:ind w:left="1020" w:right="100" w:hanging="503"/>
        <w:spacing w:after="0" w:line="243"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Even if epetraborole or any of our other product candidates receives regulatory approval, they may fail to achieve the degree of market acceptance by physicians, patients, third-party payors and others in the medical community necessary for commercial success. If we are unable to establish sales, marketing and distribution capabilities for epetraborole or our other product candidates, or enter into sales, marketing and distribution agreements with third parties, we may not be successful in commercializing our product candidates, if and when they are approved.</w:t>
      </w:r>
    </w:p>
    <w:p>
      <w:pPr>
        <w:spacing w:after="0" w:line="71"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4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operate with a small team and our future success depends on our ability to retain key executives and to attract, retain, and motivate qualified personnel.</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8" w:name="page29"/>
    <w:bookmarkEnd w:id="28"/>
    <w:p>
      <w:pPr>
        <w:ind w:left="1020" w:right="80" w:hanging="503"/>
        <w:spacing w:after="0" w:line="246"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68" w:lineRule="exact"/>
        <w:rPr>
          <w:rFonts w:ascii="Times New Roman" w:cs="Times New Roman" w:eastAsia="Times New Roman" w:hAnsi="Times New Roman"/>
          <w:sz w:val="18"/>
          <w:szCs w:val="18"/>
          <w:color w:val="auto"/>
        </w:rPr>
      </w:pPr>
    </w:p>
    <w:p>
      <w:pPr>
        <w:ind w:left="1020" w:right="80" w:hanging="503"/>
        <w:spacing w:after="0" w:line="246"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rights to develop and commercialize our technology, epetraborole and our other product candidates are subject, in large part, to the terms and conditions of licenses granted to us by others, including Anacor. If we fail to comply with our obligations in the agreements under which we in-license or acquire development or commercialization rights to products, technology or data from third parties, we could lose such rights that are important to our business.</w:t>
      </w:r>
    </w:p>
    <w:p>
      <w:pPr>
        <w:spacing w:after="0" w:line="68" w:lineRule="exact"/>
        <w:rPr>
          <w:rFonts w:ascii="Times New Roman" w:cs="Times New Roman" w:eastAsia="Times New Roman" w:hAnsi="Times New Roman"/>
          <w:sz w:val="18"/>
          <w:szCs w:val="18"/>
          <w:color w:val="auto"/>
        </w:rPr>
      </w:pPr>
    </w:p>
    <w:p>
      <w:pPr>
        <w:ind w:left="1020" w:right="40" w:hanging="503"/>
        <w:spacing w:after="0" w:line="246"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obtain and maintain patent and other intellectual property protection for our technology, or for epetraborole or our other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68" w:lineRule="exact"/>
        <w:rPr>
          <w:rFonts w:ascii="Times New Roman" w:cs="Times New Roman" w:eastAsia="Times New Roman" w:hAnsi="Times New Roman"/>
          <w:sz w:val="18"/>
          <w:szCs w:val="18"/>
          <w:color w:val="auto"/>
        </w:rPr>
      </w:pPr>
    </w:p>
    <w:p>
      <w:pPr>
        <w:ind w:left="1020" w:right="420" w:hanging="503"/>
        <w:spacing w:after="0" w:line="300"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If we are not able to obtain, or if there are delays in obtaining, required regulatory approvals, we will not be able to commercialize epetraborole or our other product candidates, and our ability to generate revenue will be materially impaired.</w:t>
      </w:r>
    </w:p>
    <w:p>
      <w:pPr>
        <w:spacing w:after="0" w:line="23" w:lineRule="exact"/>
        <w:rPr>
          <w:rFonts w:ascii="Times New Roman" w:cs="Times New Roman" w:eastAsia="Times New Roman" w:hAnsi="Times New Roman"/>
          <w:sz w:val="17"/>
          <w:szCs w:val="17"/>
          <w:color w:val="auto"/>
        </w:rPr>
      </w:pPr>
    </w:p>
    <w:p>
      <w:pPr>
        <w:jc w:val="both"/>
        <w:ind w:left="1020" w:right="3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Future legislation, and/or regulations and policies adopted by the FDA, the PMDA or comparable regulatory authorities, may increase the time and cost required for us to conduct and complete clinical trials of epetraborole or other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trading price of our common stock may be volatile.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0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no products approved for commercial sale. We have incurred significant losses since our inception. We expect to incur losses over the next several years and may never achieve or maintain profitability.</w:t>
      </w:r>
    </w:p>
    <w:p>
      <w:pPr>
        <w:spacing w:after="0" w:line="5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We are a clinical-stage biopharmaceutical company with a limited operating history upon which you can evaluate our business and prospects. We currently have no products approved for commercial sale, have not generated any revenue from the sale of products and have incurred losses in each year since our inception in 2017. In addition, we have limited experience as a company and have not yet demonstrated an ability to successfully overcome many of the risks and uncertainties frequently encountered by companies in new and rapidly evolving fields, particularly in the biopharmaceutical industry. Our initial product candidate, epetraborole, is currently in clinical development. Our net loss was $64.7 million and $41.0 million for the year ended December 31, 2023 and 2022, respectively. As of December 31, 2023, we had an accumulated deficit of $ 154.5 million. We have funded our operations to date primarily with proceeds from our underwritten offering (the "Underwritten Offering), our “at-the-market” equity offering program (“ATM Offering”), our IPO and the sale of our redeemable convertible preferred stock. We have devoted substantially all of our financial resources and efforts to research and development, including preclinical and nonclinical studies, manufacturing, clinical trials and general and administrative costs associated with our operations. We expect to continue to incur significant expenses and operating losses over the next several years. Our net losses may fluctuate significantly from quarter to quarter and year to year.</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anticipate that our expenses will increase substantially as we:</w:t>
      </w:r>
    </w:p>
    <w:p>
      <w:pPr>
        <w:spacing w:after="0" w:line="185" w:lineRule="exact"/>
        <w:rPr>
          <w:sz w:val="20"/>
          <w:szCs w:val="20"/>
          <w:color w:val="auto"/>
        </w:rPr>
      </w:pPr>
    </w:p>
    <w:p>
      <w:pPr>
        <w:ind w:left="1020" w:right="66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continue our ongoing and planned preclinical, nonclinical and clinical development of epetraborole and our other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initiate preclinical and nonclinical studies and clinical trials for product candidates that we may pursue in the future;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seek to discover and develop future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epetraborole and any of our other product candidates that successfully complete clinical trials;</w:t>
      </w:r>
    </w:p>
    <w:p>
      <w:pPr>
        <w:spacing w:after="0" w:line="14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left="1020" w:right="6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ultimately establish sales, marketing and distribution infrastructure and scale up external manufacturing capabilities as we move into later-stage clinical trials for epetraborole and look to commercialize any product candidate for which we may obtain regulatory approval and intend to commercialize on our own;</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and protect our intellectual property portfolio;</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hire additional clinical, scientific, chemistry, manufacturing and controls personnel;</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add operational, financial, management and compliance information systems and personnel, including personnel to support our product development and any future commercialization efforts;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incur legal, accounting, information systems and other expenses associated with operating as a public company.</w:t>
      </w:r>
    </w:p>
    <w:p>
      <w:pPr>
        <w:spacing w:after="0" w:line="22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To become and remain profitable, we must succeed in developing and eventually commercializing drugs that generate significant revenue. This will require us to be successful in a range of challenging activities, including completing preclinical and nonclinical studies and clinical trials of epetraborole and any other product candidates, obtaining regulatory approval, manufacturing, marketing and selling any products for which we may obtain regulatory approval, as well as discovering and developing additional product candidates. We are only in the preliminary stages of most of these activities. We may never succeed in these activities and, even if we do, may never generate revenues that are significant enough to achieve profitability.</w:t>
      </w:r>
    </w:p>
    <w:p>
      <w:pPr>
        <w:spacing w:after="0" w:line="179"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further delays in the initiation and completion of our clinical trials or the development of epetraborole and any of our other product candidates, our expenses could increase.</w:t>
      </w:r>
    </w:p>
    <w:p>
      <w:pPr>
        <w:spacing w:after="0" w:line="174"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common stock and could impair our ability to raise capital, expand our business, maintain our research and development efforts, or continue our operations. A decline in the value of our common stock could also cause you to lose all or part of your investment.</w:t>
      </w:r>
    </w:p>
    <w:p>
      <w:pPr>
        <w:spacing w:after="0" w:line="28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31"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We commenced active operations in November 2019, and our operations to date have been largely focused on raising capital, developing epetraborole, broadening our expertise in the development of epetraborole, undertaking preclinical and nonclinical studies, manufacturing clinical trial material, preparing for and initiating clinical trials, and general and administrative operations. As a company, we have not yet demonstrated an ability to successfully complete pivotal clinical trials, obtain regulatory approvals, manufacture a commercial product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w:t>
      </w:r>
    </w:p>
    <w:p>
      <w:pPr>
        <w:spacing w:after="0" w:line="18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have and may encounter unforeseen expenses, difficulties, complications, delays and other known or unknown factors in achieving our business objectives. We will need to transition successfully at some point from a company with a research and development focus to a company capable of supporting commercial activities. We may not be successful in such a transition.</w:t>
      </w:r>
    </w:p>
    <w:p>
      <w:pPr>
        <w:spacing w:after="0" w:line="169"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ind w:right="260"/>
        <w:spacing w:after="0" w:line="256" w:lineRule="auto"/>
        <w:rPr>
          <w:sz w:val="20"/>
          <w:szCs w:val="20"/>
          <w:color w:val="auto"/>
        </w:rPr>
      </w:pPr>
      <w:r>
        <w:rPr>
          <w:rFonts w:ascii="Arial" w:cs="Arial" w:eastAsia="Arial" w:hAnsi="Arial"/>
          <w:sz w:val="18"/>
          <w:szCs w:val="18"/>
          <w:b w:val="1"/>
          <w:bCs w:val="1"/>
          <w:i w:val="1"/>
          <w:iCs w:val="1"/>
          <w:color w:val="auto"/>
        </w:rPr>
        <w:t>We require substantial additional funding to meet our financial needs and to pursue our business objectives. If we are unable to raise capital when needed, we could be forced to delay, reduce or altogether cease our current and future product development programs or future commercialization efforts.</w:t>
      </w:r>
    </w:p>
    <w:p>
      <w:pPr>
        <w:spacing w:after="0" w:line="51"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We believe that our existing cash, cash equivalents and investments will enable us to fund our operating expenses and capital expenditure requirements for at least the next 12 months. However, we will need to obtain substantial additional funding in connection with our continuing operations and planned activities. Our future capital requirements will depend on many factors, including:</w:t>
      </w:r>
    </w:p>
    <w:p>
      <w:pPr>
        <w:spacing w:after="0" w:line="61"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progress and results of our ongoing and future clinical trials of epetraborole and our other product candidates;</w:t>
      </w:r>
    </w:p>
    <w:p>
      <w:pPr>
        <w:spacing w:after="0" w:line="11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epetraborole and any of our other product candidates that may complete clinical development;</w:t>
      </w:r>
    </w:p>
    <w:p>
      <w:pPr>
        <w:spacing w:after="0" w:line="4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identifying, obtaining and conducting preclinical development, laboratory testing and clinical trials of future product candidates that we may pursue;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timetable of manufacturing processes for development, clinical trials and potential commercial use;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development requirements of future product candidates that we may pursue;</w:t>
      </w:r>
    </w:p>
    <w:p>
      <w:pPr>
        <w:spacing w:after="0" w:line="11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of funding that we receive under our non-dilutive funding opportunities, including government awards that we may apply for;</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epetraborole and any other product candidates that receive regulatory approval, if any;</w:t>
      </w:r>
    </w:p>
    <w:p>
      <w:pPr>
        <w:spacing w:after="0" w:line="46"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revenue, if any, received from commercial sales of epetraborole or any other product candidates that receive regulatory approval;</w:t>
      </w:r>
    </w:p>
    <w:p>
      <w:pPr>
        <w:spacing w:after="0" w:line="46"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epetraborole and any of our other product candidates, if approved, may not achieve commercial success. Our commercial revenues, if any, will be derived from sales of drugs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any future commercialization efforts.</w:t>
      </w:r>
    </w:p>
    <w:p>
      <w:pPr>
        <w:spacing w:after="0" w:line="293"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to epetraborole or any of our other product candidates.</w:t>
      </w:r>
    </w:p>
    <w:p>
      <w:pPr>
        <w:spacing w:after="0" w:line="31"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and debt financings. To the extent that we raise additional capital through the sale of equity or convertible debt securities, your ownership interest will be diluted, and the terms of these securities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1" w:right="379" w:bottom="1440" w:gutter="0" w:footer="0" w:header="0"/>
        </w:sectPr>
      </w:pPr>
    </w:p>
    <w:bookmarkStart w:id="31" w:name="page32"/>
    <w:bookmarkEnd w:id="31"/>
    <w:p>
      <w:pPr>
        <w:ind w:right="20" w:firstLine="509"/>
        <w:spacing w:after="0" w:line="242"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epetraborole or any other product candidates, or to grant licenses on terms that may not be favorable to us. If we are unable to raise additional funds through equity or debt financings when needed, we may be required to delay, limit, reduce or terminate our development of epetraborole or any other product candidate or future commercialization efforts or grant rights to a third party to develop and market product candidates that we would otherwise prefer to develop and market ourselves.</w:t>
      </w:r>
    </w:p>
    <w:p>
      <w:pPr>
        <w:spacing w:after="0" w:line="2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have a contractual commitment to develop epetraborole for global health initiatives, which may affect our ability to develop and commercialize epetraborole in certain countries and may impact our intellectual property rights. Our strategy for our global health initiatives depends on receiving non-dilutive funding, and we as a company have limited experience with this strategy.</w:t>
      </w:r>
    </w:p>
    <w:p>
      <w:pPr>
        <w:spacing w:after="0" w:line="11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Under our Global Health Agreement with Adjuvant, we have a contractual commitment to use reasonably diligent endeavors to develop epetraborole and any other mutually agreed-upon products for melioidosis, tuberculosis and other indications for at-risk developing countries at accessible pricing and at reasonable volume, including selling epetraborole and any other mutually agreed-upon products in certain target countries at or slightly above the cost of sales, so long as we do not sell products at a loss. Under the Global Health Agreement, we made certain commitments to develop epetraborole and any other mutually agreed-upon products and to pursue regulatory strategies and product registrations. If we do not maintain compliance with these and other program-related global access commitments under the Global Health Agreement, Adjuvant may be entitled to repayment for any portion of its investment that is not used for the purposes outlined in the Global Health Agreement. Our obligations under the Global Health Agreement may affect our ability to commercialize epetraborole in certain countries.</w:t>
      </w:r>
    </w:p>
    <w:p>
      <w:pPr>
        <w:spacing w:after="0" w:line="18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strategy for developing epetraborole for global health initiatives depends on receiving non-dilutive funding from sources such as public and private agencies and foundations. In September 2022, we received a cost-reimbursement contract award under which we are able to receive up to $ 17.8 million from the NIAID to support preclinical, Phase 1 studies and other activities to enable advancement of epetraborole into late-stage development for acute systemic melioidosis and other biothreat pathogens. In addition, in September 2023, we entered into two cost-reimbursement contract awards with the University of Georgia Research Foundation (“UGARF”) and the Bill and Melinda Gates Foundation (“BMGF”) for the development of boron-containing small molecules for Chagas disease, and tuberculosis and malaria, respectively. We, as a company, have limited experience with non-dilutive funding, and we may not be able to obtain additional non-dilutive funding to support our needs to fund our global health initiatives. For example, we cannot be certain that there will be additional awards, contracts, grants or funding sources or solicitations available to support our development efforts, that our other grant applications and funding proposals will be successful, or that we will be able to continue satisfying the award criteria of the NIAID contract award or any grants or funding awarded to us. If we fail to receive additional non-dilutive funding, progress in our global health initiatives may be impaired or delayed.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the Development of Our Current and Future Product Candidates</w:t>
      </w:r>
    </w:p>
    <w:p>
      <w:pPr>
        <w:spacing w:after="0" w:line="106"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b w:val="1"/>
          <w:bCs w:val="1"/>
          <w:i w:val="1"/>
          <w:iCs w:val="1"/>
          <w:color w:val="auto"/>
        </w:rPr>
        <w:t>We depend to a large degree on the success of epetraborole, which is in clinical development, and for which we recently paused enrollment in the Phase 3 part of the Phase 2/3 study of treatment-refractory MAC lung disease. If we do not obtain regulatory approval for and successfully commercialize epetraborole or any of our other product candidates, or if we experience significant delays in doing so, we may never become profitable.</w:t>
      </w:r>
    </w:p>
    <w:p>
      <w:pPr>
        <w:spacing w:after="0" w:line="57"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currently have no products approved for sale and have invested a significant portion of our efforts and financial resources on the development of our initial product candidate, epetraborole, as a treatment for NTM lung disease caused by MAC bacteria. We expect that a substantial portion of our efforts and expenses over the next few years will be devoted to the development of epetraborole. As a result, our business currently depends heavily on the successful development, regulatory approval, and, if approved, commercialization of epetraborole or any of our other product candidates. We cannot be certain that any product candidate will receive regulatory approval or will be successfully commercialized even if it receives regulatory approval. The research, development, manufacturing, safety, efficacy, labeling, approval, sale, marketing and distribution of epetraborole or any of our other product candidates are, and will remain, subject to comprehensive regulation by the FDA, the PMDA and other comparable foreign regulatory authorities. Before obtaining regulatory approvals for the commercial sale of epetraborole and any other product candidates, we must demonstrate through preclinical and nonclinical studies and clinical trials that the product candidate is safe and effective for use in each target indication. Drug development is a long, expensive and uncertain process, and delay or failure can occur at any stage during our nonclinical studies, clinical trials or drug product manufacturing process. These delays or failures could be caused by a variety of factors, including but not limited to, toxicity, safety, tolerability, efficacy, problems with clinical trial enrollment, drug product availability, stability, and impurity issues related to drug product manufacturing. For example, in February 2024, we voluntarily paused enrollment of the Phase 3 portion of our ongoing Phase 2/3 clinical trial evaluating epetraborole in patients with treatment-refractory MAC lung disease after a blinded aggregate analysis of data from the Phase 2 portion of the trial suggested lower-than-anticipated efficacy results. There is no guarantee that we will be able to successfully resume enrollment and complete the study in the manner or on the timing that we expect. Even if we are able to complete our Phase 2/3 study, there is no guarantee that the study data will be sufficient to support an application seeking regulatory approval of epetraborole in treatment-refractory MAC lung disease.</w:t>
      </w:r>
    </w:p>
    <w:p>
      <w:pPr>
        <w:spacing w:after="0" w:line="72"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Failure to obtain regulatory approval for epetraborole and our other product candidates in the United States or other territories will prevent us from commercializing and marketing such product candidates. The success of epetraborole and our other product candidates will depend on several additional factors, including:</w:t>
      </w:r>
    </w:p>
    <w:p>
      <w:pPr>
        <w:spacing w:after="0" w:line="61"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preclinical and nonclinical studies and requisite clinical trials;</w:t>
      </w:r>
    </w:p>
    <w:p>
      <w:pPr>
        <w:spacing w:after="0" w:line="11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performing preclinical studies and clinical trials in compliance with the FDA, the PMDA or any comparable regulatory authority requirements;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regulatory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manufacture sufficient quantity of product for development, clinical trials or potential commercialization;</w:t>
      </w:r>
    </w:p>
    <w:p>
      <w:pPr>
        <w:spacing w:after="0" w:line="116" w:lineRule="exact"/>
        <w:rPr>
          <w:rFonts w:ascii="Times New Roman" w:cs="Times New Roman" w:eastAsia="Times New Roman" w:hAnsi="Times New Roman"/>
          <w:sz w:val="18"/>
          <w:szCs w:val="18"/>
          <w:color w:val="auto"/>
        </w:rPr>
      </w:pPr>
    </w:p>
    <w:p>
      <w:pPr>
        <w:jc w:val="both"/>
        <w:ind w:left="1020" w:right="180" w:hanging="503"/>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approvals with labeling for sufficiently broad patient populations and indications, without unduly restrictive distribution limitations or safety warnings, such as black box warnings or a Risk Evaluation and Mitigation Strategies (“REMS”) program;</w:t>
      </w:r>
    </w:p>
    <w:p>
      <w:pPr>
        <w:spacing w:after="0" w:line="62"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trademark and trade secret protection, and regulatory exclusivity for epetraborole and any other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making and retaining sufficient and reliable arrangements with third parties for manufacturing capabilities;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launching commercial sales of products, if and when approved;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acceptance of our therapies, if and when approved, by physicians, patients and third-party payors;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effectively with other therapies;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116"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protecting and expanding our portfolio of intellectual property rights, including patents, trademarks, trade secrets and know-how;</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avoiding and defending against third-party infringement, misappropriation or other violation of intellectual property claims;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3" w:name="page34"/>
    <w:bookmarkEnd w:id="33"/>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 continued acceptable safety and tolerability profile of our drugs following approval; and</w:t>
      </w:r>
    </w:p>
    <w:p>
      <w:pPr>
        <w:spacing w:after="0" w:line="116" w:lineRule="exact"/>
        <w:rPr>
          <w:rFonts w:ascii="Times New Roman" w:cs="Times New Roman" w:eastAsia="Times New Roman" w:hAnsi="Times New Roman"/>
          <w:sz w:val="18"/>
          <w:szCs w:val="18"/>
          <w:color w:val="auto"/>
        </w:rPr>
      </w:pPr>
    </w:p>
    <w:p>
      <w:pPr>
        <w:ind w:left="1020" w:right="66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allowance to proceed with clinical trials under future investigational new drug applications (“INDs”), or under comparable applications submitted outside the United States.</w:t>
      </w:r>
    </w:p>
    <w:p>
      <w:pPr>
        <w:spacing w:after="0" w:line="154"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If we do not achieve these factors in a timely manner or at all, we could experience significant delays or an inability to successfully commercialize epetraborole or any of our other product candidates, which would harm our business.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product candidates.</w:t>
      </w:r>
    </w:p>
    <w:p>
      <w:pPr>
        <w:spacing w:after="0" w:line="10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 key element of our strategy is to develop our AN2 drug discovery platform, build a pipeline of product candidates and progress these product candidates through clinical development for the treatment of serious infections (including different forms of NTM lung disease). We may not be able to develop product candidates that are safe and effective for any proposed use. Even if we are successful in continuing to build our pipeline, the potential product candidates that we identify may not be suitable for clinical development, as a result of significant safety, tolerability and other negative characteristics or limitations that may prevent successful regulatory approval or limit market acceptance or reimbursements from third-party payors. If we do not successfully develop and commercialize epetraborole and/or any other product candidates, we will not be able to obtain product revenue in future periods, which could significantly harm our financial position and adversely affect the trading price of our common stock.</w:t>
      </w:r>
    </w:p>
    <w:p>
      <w:pPr>
        <w:spacing w:after="0" w:line="290"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b w:val="1"/>
          <w:bCs w:val="1"/>
          <w:i w:val="1"/>
          <w:iCs w:val="1"/>
          <w:color w:val="auto"/>
        </w:rPr>
        <w:t>Success in preclinical or nonclinical studies or initial clinical trials may not be indicative of results in future clinical trials. To support our clinical development strategy for epetraborole, we are relying, in part, on clinical data from prior clinical trials conducted by Anacor and GlaxoSmithKline plc which were not conducted in patients with NTM. Differences with these prior clinical trials evaluating epetraborole will limit our use of prior clinical data for epetraborole and our ability to support our clinical trial plan for epetraborole with the FDA, PMDA and other comparable foreign regulatory authorities.</w:t>
      </w:r>
    </w:p>
    <w:p>
      <w:pPr>
        <w:spacing w:after="0" w:line="62"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Success in preclinical or nonclinical studies or initial clinical trials does not ensure that later clinical trials will generate the same results or otherwise provide adequate data to demonstrate the safety, tolerability, and efficacy of a product candidate. For example, certain prior clinical trials of epetraborole were not conducted in patients with NTM lung disease nor were they conducted over durations greater than 14 days, shorter than the typical treatment of patients with NTM lung disease. Epetraborole and our other product candidates may fail to show the desired safety, tolerability, and efficacy in clinical development despite promising results in preclinical studies or having successfully advanced through initial clinical trials in healthy volunteers. For instance, with respect to epetraborole, we cannot guarantee that the dose used in our ongoing clinical trial will be safe, tolerable, or effective. We cannot guarantee that the dose selected will be successful in our ongoing clinical trial in patients with treatment-refractory MAC lung disease. The ongoing clinical trial is the first evaluation of epetraborole in patients with MAC lung disease and specifically in treatment-refractory patients. In February 2024, we voluntarily paused enrollment of the Phase 3 portion of our ongoing Phase 2/3 clinical trial after a blinded aggregate analysis of data from the Phase 2 portion suggested lower-than-anticipated efficacy results. There is no guarantee that we will be able to successfully resume enrollment and complete the study in the manner or on the timing that we expect. Even if we are able to complete our Phase 2/3 study, there is no guarantee that the study will produce results sufficient to demonstrate the safety or efficacy of epetraborole to the satisfaction of the FDA, PMDA or other regulatory authorities.</w:t>
      </w:r>
    </w:p>
    <w:p>
      <w:pPr>
        <w:spacing w:after="0" w:line="189" w:lineRule="exact"/>
        <w:rPr>
          <w:sz w:val="20"/>
          <w:szCs w:val="20"/>
          <w:color w:val="auto"/>
        </w:rPr>
      </w:pPr>
    </w:p>
    <w:p>
      <w:pPr>
        <w:ind w:right="280" w:firstLine="509"/>
        <w:spacing w:after="0"/>
        <w:rPr>
          <w:sz w:val="20"/>
          <w:szCs w:val="20"/>
          <w:color w:val="auto"/>
        </w:rPr>
      </w:pPr>
      <w:r>
        <w:rPr>
          <w:rFonts w:ascii="Arial" w:cs="Arial" w:eastAsia="Arial" w:hAnsi="Arial"/>
          <w:sz w:val="18"/>
          <w:szCs w:val="18"/>
          <w:color w:val="auto"/>
        </w:rPr>
        <w:t>In addition, safety, tolerability and pharmacokinetic observations of epetraborole, used as monotherapy, in previous clinical trials conducted by Anacor and GSK, including penetration into alveolar (lung) macrophages and the long-term effects on red blood cell-related hematological parameters, such as hemoglobin and reticulocytes, may not be predictive of safety or efficacy results in our ongoing clinical trial. There are significant differences in the epetraborole Phase 1 clinical trial conducted by Anacor and the five Phase 1 clinical trials and two Phase 2 clinical trials conducted by GSK compared to the clinical trial design of our ongoing clinical trial. Other differences with these prior clinical trials, including differences in patient population, targeted indication, drug product formulation, duration of dosing and trial design, will limit our use of prior clinical data for epetraborole and our ability to support our clinical trial plan for epetraborole with the FDA, PMDA and other comparable foreign regulatory authorities.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There can be no assurance that the clinical trials we conduct will be sufficient for product approval.</w:t>
      </w:r>
    </w:p>
    <w:p>
      <w:pPr>
        <w:spacing w:after="0" w:line="102"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Prior to marketing any product candidate in the United States, including epetraborole, we must demonstrate that such product candidate is safe and provide substantial evidence of effectiveness for its intended uses. The FDA has generally interpreted the “substantial evidence” requirements as requiring sponsors to conduct two adequate and well-controlled Phase 3 clinical trials. However, in some circumstances, the FDA may conclude that substantial evidence of efficacy has been demonstrated through the conduct of one adequate and well-controlled clinical trial, plus confirmatory evidence (whether obtained prior to or after such trial). We plan to rely on a single pivotal clinical trial to support approval of epetraborole in treatment-refractory MAC lung disease, but there can be no assurance that the FDA will not require additional clinical trials for approval of epetraborole beyond the trials that we currently plan to conduct, even if we successfully complete the trial and believe the results are sufficiently positive.</w:t>
      </w:r>
    </w:p>
    <w:p>
      <w:pPr>
        <w:spacing w:after="0" w:line="180"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data we have collected and continue to collect in our Phase 1 programs, and from our ongoing Phase 2/3 clinical trial, may not support continued clinical investigation due to insufficient clinical or microbiological responses or occurrence of adverse safety events or may lead to adjustments in trial design, rendering it not feasible to conduct or not acceptable to the FDA or to us, including adjustments to clinical trial endpoints and sample size. For example, we recently voluntarily paused enrollment in the Phase 3 portion of our ongoing Phase 2/3 clinical trial evaluating epetraborole in patients with treatment-refractory MAC lung disease after a blinded aggregate analysis data from the Phase 2 portion of the trial suggested potentially lower-than-anticipated efficacy results. There is no guarantee that we will be able to successfully resume enrollment and complete the study in the manner or on the timing that we expect. Even if we are able to complete our Phase 2/3 study, there is no guarantee that the study data will be sufficient to support an application seeking regulatory approval of epetraborole in treatment-refractory MAC lung disease.</w:t>
      </w:r>
    </w:p>
    <w:p>
      <w:pPr>
        <w:spacing w:after="0" w:line="18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FDA can recommend study design element changes at any time, including, for example, change of endpoints, eligibility criteria, or statistical analyses. For example, Arikayce was approved based on the primary endpoint of microbiological culture conversion, whereas we may be required to demonstrate efficacy based on clinical response endpoints. Specifically, based on the feedback we have received from the FDA, our ongoing Phase 2/3 trial includes a novel patient-reported outcome measure (“PRO”), as a primary endpoint to assess certain changes in patient symptoms. However, to our knowledge, no treatment for NTM lung disease has been approved by the FDA on the basis of improvements demonstrated through a PRO endpoint. In addition, we remain in ongoing discussions with the FDA regarding the design of our novel PRO, and any changes to the PRO that we may make create the risk that patients enrolled prior to implementing such changes will have completed treatment or will otherwise not be able to be assessed using the modified PRO. In such an event, we may be required to gather additional clinical data before we are able to seek approval of epetraborole, if ever. Even if we believe we have reached alignment with the FDA regarding the design of our Phase 2/3 trial, including our novel PRO endpoint, there is no guarantee that the data from such trial will be sufficient to support approval.</w:t>
      </w:r>
    </w:p>
    <w:p>
      <w:pPr>
        <w:spacing w:after="0" w:line="186"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As a company, we have limited experience designing NTM clinical trials and have no prior experience conducting clinical trials in the United States or other geographies and may be unable to design and execute a clinical trial to support regulatory approval. In addition, the design and results of our clinical trials may not be sufficient to support approval, since factors such as an inappropriate dosage or flaws in the design of a clinical trial may not become apparent until the clinical trial is in progress or data are available.</w:t>
      </w:r>
    </w:p>
    <w:p>
      <w:pPr>
        <w:spacing w:after="0" w:line="17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There is a high failure rate for drug and biologic products proceeding through clinical trials. Many companies in the pharmaceutical and biotechnology industries have suffered significant setbacks in later-stage clinical trials even after achieving promising results in preclinical testing and earlier-stage clinical trials. For example, a Phase 2 clinical trial conducted by GSK to evaluate epetraborole in patients with complicated urinary tract infections was terminated early due to microbiological findings of resistance to epetraborole, which caused GSK to discontinue its epetraborole development program. In addition, data obtained from preclinical and clinical activities are subject to varying interpretations, which may delay, limit, or prevent regulatory approval. Furthermore, the dosing duration for administering epetraborole in humans has been limited to a maximum of 28 days in previous clinical trials. The study drug dosing duration in our Phase 2/3 clinical trial is up to 16 months total. The longer dosing duration in our clinical trial, as well as the use of epetraborole in patients with NTM lung disease, may increase the risk of hematological abnormalities or the potential for the emergence of new, unknown treatment-emergent adverse events.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growth prospects.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5" w:name="page36"/>
    <w:bookmarkEnd w:id="35"/>
    <w:p>
      <w:pPr>
        <w:spacing w:after="0" w:line="249" w:lineRule="auto"/>
        <w:rPr>
          <w:sz w:val="20"/>
          <w:szCs w:val="20"/>
          <w:color w:val="auto"/>
        </w:rPr>
      </w:pPr>
      <w:r>
        <w:rPr>
          <w:rFonts w:ascii="Arial" w:cs="Arial" w:eastAsia="Arial" w:hAnsi="Arial"/>
          <w:sz w:val="18"/>
          <w:szCs w:val="18"/>
          <w:b w:val="1"/>
          <w:bCs w:val="1"/>
          <w:i w:val="1"/>
          <w:iCs w:val="1"/>
          <w:color w:val="auto"/>
        </w:rPr>
        <w:t>If clinical trials of epetraborole or any other product candidate that we may advance to clinical trials fail to demonstrate safety, tolerability, and/or efficacy to the satisfaction of the FDA, the PMDA or other comparable regulatory authorities, or do not otherwise produce favorable results, we may incur additional costs or experience delays in completing, or ultimately be unable to complete, the development and commercialization of epetraborole or any other product candidate.</w:t>
      </w:r>
    </w:p>
    <w:p>
      <w:pPr>
        <w:spacing w:after="0" w:line="57"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may not commercialize, market, promote, or sell any product candidate without obtaining regulatory approval from the FDA, the PMDA or other comparable regulatory authorities, and we may never receive such approvals. It is impossible to predict when or if epetraborole or any other product candidates will prove effective or safe in humans and will receive regulatory approval. Before obtaining regulatory approval from regulatory authorities for the sale of epetraborole or any other product candidates, we must complete preclinical and nonclinical development and conduct extensive clinical trials to demonstrate the safety and efficacy of such product candidates in humans. Clinical testing is expensive, difficult to design and implement, can take many years to complete, and is uncertain as to outcome. A failure of one or more clinical trials can occur at any stage of testing. Moreover, preclinical, nonclinical and clinical data are often susceptible to varying interpretations and analyses, and many companies that have believed their product candidates performed satisfactorily in preclinical and nonclinical studies and clinical trials have nonetheless failed to obtain regulatory approval of their products. In addition,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w:t>
      </w:r>
    </w:p>
    <w:p>
      <w:pPr>
        <w:spacing w:after="0" w:line="189"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We may experience numerous unforeseen events prior to, during, or as a result of, clinical trials that could delay or prevent our ability to receive regulatory approval or commercialize epetraborole or any of our other product candidates, including, but not limited to:</w:t>
      </w:r>
    </w:p>
    <w:p>
      <w:pPr>
        <w:spacing w:after="0" w:line="46" w:lineRule="exact"/>
        <w:rPr>
          <w:sz w:val="20"/>
          <w:szCs w:val="20"/>
          <w:color w:val="auto"/>
        </w:rPr>
      </w:pPr>
    </w:p>
    <w:p>
      <w:pPr>
        <w:ind w:left="1020" w:right="80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generate sufficient preclinical, toxicology or other in vivo or in vitro data to support the initiation or continuation of clinical trials;</w:t>
      </w:r>
    </w:p>
    <w:p>
      <w:pPr>
        <w:spacing w:after="0" w:line="4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FDA, the PMDA or other comparable regulatory authorities may disagree as to the design or implementation of our clinical trials, which may result in changes to our planned clinical trial design and potential target clinical outcomes;</w:t>
      </w:r>
    </w:p>
    <w:p>
      <w:pPr>
        <w:spacing w:after="0" w:line="46" w:lineRule="exact"/>
        <w:rPr>
          <w:rFonts w:ascii="Times New Roman" w:cs="Times New Roman" w:eastAsia="Times New Roman" w:hAnsi="Times New Roman"/>
          <w:sz w:val="18"/>
          <w:szCs w:val="18"/>
          <w:color w:val="auto"/>
        </w:rPr>
      </w:pPr>
    </w:p>
    <w:p>
      <w:pPr>
        <w:ind w:left="1020" w:right="64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institutional review boards (“IRBs”), or ethics committees may not allow or authorize us or our investigators to commence a clinical trial or conduct a clinical trial at a prospective trial site;</w:t>
      </w:r>
    </w:p>
    <w:p>
      <w:pPr>
        <w:spacing w:after="0" w:line="46" w:lineRule="exact"/>
        <w:rPr>
          <w:rFonts w:ascii="Times New Roman" w:cs="Times New Roman" w:eastAsia="Times New Roman" w:hAnsi="Times New Roman"/>
          <w:sz w:val="18"/>
          <w:szCs w:val="18"/>
          <w:color w:val="auto"/>
        </w:rPr>
      </w:pPr>
    </w:p>
    <w:p>
      <w:pPr>
        <w:jc w:val="both"/>
        <w:ind w:left="1020" w:right="20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reach agreement on acceptable terms with prospective contract research organizations (“CROs”), and clinical trial sites, the terms of which can be subject to extensive negotiation and may vary significantly among different CROs and clinical trial sites;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delays in identifying, recruiting and training suitable clinical investigators;</w:t>
      </w:r>
    </w:p>
    <w:p>
      <w:pPr>
        <w:spacing w:after="0" w:line="116" w:lineRule="exact"/>
        <w:rPr>
          <w:rFonts w:ascii="Times New Roman" w:cs="Times New Roman" w:eastAsia="Times New Roman" w:hAnsi="Times New Roman"/>
          <w:sz w:val="18"/>
          <w:szCs w:val="18"/>
          <w:color w:val="auto"/>
        </w:rPr>
      </w:pPr>
    </w:p>
    <w:p>
      <w:pPr>
        <w:ind w:left="1020" w:right="4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make changes or amendments to a trial protocol;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select endpoints that require prolonged periods of clinical observation or require extended analysis of the resulting data;</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sites may deviate from the trial protocol or drop out of a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trials for epetraborole or any of our other product candidates may produce negative or inconclusive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116" w:lineRule="exact"/>
        <w:rPr>
          <w:rFonts w:ascii="Times New Roman" w:cs="Times New Roman" w:eastAsia="Times New Roman" w:hAnsi="Times New Roman"/>
          <w:sz w:val="18"/>
          <w:szCs w:val="18"/>
          <w:color w:val="auto"/>
        </w:rPr>
      </w:pPr>
    </w:p>
    <w:p>
      <w:pPr>
        <w:ind w:left="1020" w:right="24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enrollment in clinical trials may be slower than we anticipate, participants may drop out of these clinical trials at a higher rate than we anticipate, we may fail to recruit suitable patients to participate in a trial, or the number of patients required for clinical trials of epetraborole and any of our other product candidates may be larger than we anticipate;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6" w:name="page37"/>
    <w:bookmarkEnd w:id="36"/>
    <w:p>
      <w:pPr>
        <w:ind w:left="1020" w:right="1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46"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62"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may lack adequate funding to complete a clinical trial, or the cost of clinical trials of epetraborole or any of our other product candidates may be greater than we anticipate;</w:t>
      </w:r>
    </w:p>
    <w:p>
      <w:pPr>
        <w:spacing w:after="0" w:line="4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FDA, the PMDA or other comparable regulatory authorities may fail to approve the manufacturing processes or facilities of third-party manufacturers with whom we enter into agreements for clinical and commercial supplies;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supply or quality of epetraborole or any of our other product candidates or other materials necessary to conduct clinical trials of such product candidates may be insufficient or inadequate;</w:t>
      </w:r>
    </w:p>
    <w:p>
      <w:pPr>
        <w:spacing w:after="0" w:line="4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serious adverse events may occur in trials of the same class of agents conducted by other companies that could be considered similar to our product candidates;</w:t>
      </w:r>
    </w:p>
    <w:p>
      <w:pPr>
        <w:spacing w:after="0" w:line="4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epetraborole or our other product candidates may have undesirable side effects or other unexpected characteristics, causing us or our investigators, regulators or IRBs to suspend or terminate the clinical trials;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the PMDA or other comparable regulatory authorities may significantly change in a manner rendering our clinical data insufficient for approval.</w:t>
      </w:r>
    </w:p>
    <w:p>
      <w:pPr>
        <w:spacing w:after="0" w:line="154" w:lineRule="exact"/>
        <w:rPr>
          <w:sz w:val="20"/>
          <w:szCs w:val="20"/>
          <w:color w:val="auto"/>
        </w:rPr>
      </w:pPr>
    </w:p>
    <w:p>
      <w:pPr>
        <w:jc w:val="both"/>
        <w:ind w:right="40" w:firstLine="509"/>
        <w:spacing w:after="0" w:line="247" w:lineRule="auto"/>
        <w:rPr>
          <w:sz w:val="20"/>
          <w:szCs w:val="20"/>
          <w:color w:val="auto"/>
        </w:rPr>
      </w:pPr>
      <w:r>
        <w:rPr>
          <w:rFonts w:ascii="Arial" w:cs="Arial" w:eastAsia="Arial" w:hAnsi="Arial"/>
          <w:sz w:val="18"/>
          <w:szCs w:val="18"/>
          <w:color w:val="auto"/>
        </w:rPr>
        <w:t>If we are required to conduct additional clinical trials or other testing of epetraborole or any of our other product candidates beyond the studies that we currently contemplate, such as our ongoing pivotal Phase 2/3 trial of epetraborole, if we are unable to successfully complete clinical trials or other testing of epetraborole or any of our other product candidates, or if the results of these trials or tests are not positive or are only modestly positive or if there are safety concerns observed in these trials or tests, we may:</w:t>
      </w:r>
    </w:p>
    <w:p>
      <w:pPr>
        <w:spacing w:after="0" w:line="6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be delayed in obtaining regulatory approval for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not obtain regulatory approval at all;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6" w:lineRule="exact"/>
        <w:rPr>
          <w:rFonts w:ascii="Times New Roman" w:cs="Times New Roman" w:eastAsia="Times New Roman" w:hAnsi="Times New Roman"/>
          <w:sz w:val="18"/>
          <w:szCs w:val="18"/>
          <w:color w:val="auto"/>
        </w:rPr>
      </w:pPr>
    </w:p>
    <w:p>
      <w:pPr>
        <w:ind w:left="1020" w:right="58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with labeling that includes significant use or distribution restrictions or safety warnings, such as black box warnings or a REMS program;</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additional post-marketing testing requirements;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remove the product from the market after obtaining regulatory approval.</w:t>
      </w:r>
    </w:p>
    <w:p>
      <w:pPr>
        <w:spacing w:after="0" w:line="224"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We do not know whether any of our preclinical and nonclinical studies or clinical trials will begin as planned, will need to be restructured, or will be completed on schedule or at all. Significant preclinical and nonclinical study or clinical trial delays also could shorten any periods during which we may have the exclusive right to commercialize epetraborole or our other product candidates or allow our competitors to bring products to market before we do and impair our ability to successfully commercialize epetraborole or our other product candidates. In addition, many of the factors that cause, or lead to, delays of clinical trials may ultimately lead to the denial of regulatory approval of epetraborole or any of our other product candidates.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ind w:right="40"/>
        <w:spacing w:after="0" w:line="278" w:lineRule="auto"/>
        <w:rPr>
          <w:sz w:val="20"/>
          <w:szCs w:val="20"/>
          <w:color w:val="auto"/>
        </w:rPr>
      </w:pPr>
      <w:r>
        <w:rPr>
          <w:rFonts w:ascii="Arial" w:cs="Arial" w:eastAsia="Arial" w:hAnsi="Arial"/>
          <w:sz w:val="18"/>
          <w:szCs w:val="18"/>
          <w:b w:val="1"/>
          <w:bCs w:val="1"/>
          <w:i w:val="1"/>
          <w:iCs w:val="1"/>
          <w:color w:val="auto"/>
        </w:rPr>
        <w:t>We cannot predict whether or when bacteria may develop resistance to epetraborole or any of our other product candidates, which could affect the revenue potential of our product candidates.</w:t>
      </w:r>
    </w:p>
    <w:p>
      <w:pPr>
        <w:spacing w:after="0" w:line="31" w:lineRule="exact"/>
        <w:rPr>
          <w:sz w:val="20"/>
          <w:szCs w:val="20"/>
          <w:color w:val="auto"/>
        </w:rPr>
      </w:pPr>
    </w:p>
    <w:p>
      <w:pPr>
        <w:ind w:right="120" w:firstLine="749"/>
        <w:spacing w:after="0" w:line="238" w:lineRule="auto"/>
        <w:rPr>
          <w:sz w:val="20"/>
          <w:szCs w:val="20"/>
          <w:color w:val="auto"/>
        </w:rPr>
      </w:pPr>
      <w:r>
        <w:rPr>
          <w:rFonts w:ascii="Arial" w:cs="Arial" w:eastAsia="Arial" w:hAnsi="Arial"/>
          <w:sz w:val="18"/>
          <w:szCs w:val="18"/>
          <w:color w:val="auto"/>
        </w:rPr>
        <w:t>We are developing epetraborole to treat bacterial infections. The bacteria responsible for these infections evolve quickly and may develop antibiotic resistance caused by spontaneous mutations in the genes encoding the cellular target of the antibiotic. In some cases, resistance mechanisms can be transferred within and between bacterial species. Prescription or use of epetraborole or our other product candidates, if approved, may depend on the type and rate of resistance of the targeted bacteria. Although we do analyze the potential of emergence of resistance to epetraborole and any other product candidates and only select those that we believe have low resistance potential, we cannot predict whether or when bacterial resistance to epetraborole or other product candidates may develop. Such bacterial resistances, if and when identified, could adversely affect the conduct or results of our clinical trials, and could adversely affect the market potential of the product candidate, if approved. For example, clinical resistance to epetraborole as a monotherapy was observed in certain bacteria by GSK in its Phase 2 trial for the treatment of complicated urinary tract infection, and we cannot guarantee that clinical resistance will not be observed in any of our future clinical trials with epetraborole in other types of bacterial infections. The growth of drug-resistant infections in community settings or in countries with poor public health infrastructures, or the potential use of any product candidates outside of controlled hospital settings, could contribute to the rise of resistance.</w:t>
      </w:r>
    </w:p>
    <w:p>
      <w:pPr>
        <w:spacing w:after="0" w:line="2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Epetraborole or any of our other product candidates may cause undesirable side effects or have other properties that could delay or prevent their regulatory approval, limit the commercial potential, or result in significant negative consequences following any potential regulatory approval.</w:t>
      </w:r>
    </w:p>
    <w:p>
      <w:pPr>
        <w:spacing w:after="0" w:line="5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Results of our clinical trials could reveal a high and unacceptable severity and prevalence of side effects or unexpected characteristics. Undesirable side effects caused by our product candidates, whether used alone on in combination with other therapies, could cause us or regulatory authorities to interrupt, delay or halt clinical trials or the delay or denial of regulatory approval by the FDA or comparable foreign regulatory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results of operations and growth prospects significantly.</w:t>
      </w:r>
    </w:p>
    <w:p>
      <w:pPr>
        <w:spacing w:after="0" w:line="77"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particular, epetraborole is not yet approved by the FDA, the PMDA or any other regulatory agency and has not yet been tested extensively in patients. In previous development programs evaluating epetraborole, which largely used higher doses administered intravenously and orally, subjects and patients receiving epetraborole experienced drug-related side effects. For example, the most common drug-related adverse events observed in oral administration of epetraborole in humans were gastrointestinal in nature. Further, in a 26-week study conducted with epetraborole in rats and in a 39-week study conducted with epetraborole in non-human primates, safety observations of reduced hematocrit, hemoglobin, and other associated red blood cell-related parameters (red cell distribution width, mean corpuscular volume, mean corpuscular hemoglobin concentration, mean corpuscular hemoglobin) levels were observed, which remained below normal during the recovery period of the study while other blood cell parameters returned to normal levels. In a Fertility and Embryo-Fetal Development study of epetraborole in rats, there were no external fetal malformations or variations, no soft-tissue (visceral or fixed-head) fetal malformations or variations, and no skeletal fetal malformations attributed to administration of epetraborole at any dose level evaluated in the study. However, there were multiple maternal and fetal adverse events, including reduced mean maternal body weight during gestation, reduced mean fetal weight, increased mean total resorptions per litter and higher mean post-implantation loss at the highest dose level tested, which was 1,000 mg/kg, compared to a control group. Decreased fetal body weights and increased incomplete fetal ossification was observed at all epetraborole dose levels. The significance of these observations with respect to humans is still unknown. Based on the observed maternal and fetal adverse events in rats, epetraborole could be harmful to human fetuses when taken during pregnancy.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8" w:name="page39"/>
    <w:bookmarkEnd w:id="38"/>
    <w:p>
      <w:pPr>
        <w:ind w:right="60" w:firstLine="509"/>
        <w:spacing w:after="0" w:line="238" w:lineRule="auto"/>
        <w:rPr>
          <w:sz w:val="20"/>
          <w:szCs w:val="20"/>
          <w:color w:val="auto"/>
        </w:rPr>
      </w:pPr>
      <w:r>
        <w:rPr>
          <w:rFonts w:ascii="Arial" w:cs="Arial" w:eastAsia="Arial" w:hAnsi="Arial"/>
          <w:sz w:val="18"/>
          <w:szCs w:val="18"/>
          <w:color w:val="auto"/>
        </w:rPr>
        <w:t>Amongst the patients enrolled in the first six cohorts of our Phase 1b dose-ranging study of epetraborole in healthy volunteers, the most common treatment emergent adverse events (“TEAEs”), were gastrointestinal events, such as nausea, abdominal discomfort and diarrhea, and headache and vascular site access pain. Most TEAEs observed in the Phase 1b dose-ranging study were mild or moderate in severity and no severe or serious TEAEs were observed in the study. Two subjects in the study experienced TEAEs that caused premature discontinuation from epetraborole: one epetraborole subject at the 250 mg q24h dose level had mild aminotransferase increases during a concomitant upper respiratory tract infection and one epetraborole subject at the 1,000 mg q48h dose level had mild nausea. These TEAEs were both considered possibly or probably related to epetraborole. Consistent with observations in chronic toxicology studies in non-human primates and rats, dose-dependent effects on red blood cell-related hematological parameters, such as hemoglobin and reticulocytes, were observed in the Phase 1b dose-ranging study. The observed effects on hematological parameters were mild and most RBC values remained within normal limits with a slight downward trend, and the hematological parameters recovered following completion of dosing of epetraborole. No subjects discontinued therapy as a result of the hematological effects that were observed.</w:t>
      </w:r>
    </w:p>
    <w:p>
      <w:pPr>
        <w:spacing w:after="0" w:line="18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Additional adverse events may emerge (along with additional data further defining previously identified risks) in any ongoing or subsequent clinical trials and there may be unforeseen serious adverse events or side effects that differ from those seen in studies completed to date. For example, the dosing duration for administering epetraborole in humans has been limited to a maximum of 28 days in previous clinical trials, and in our Phase 2/3 clinical trial involves dosing up to 16 months. Future trials may involve the same or longer dosing duration. The longer dosing duration in the Phase 2/3 clinical trial, as well as the use of epetraborole in patients with NTM lung disease, may increase the risk of hematological abnormalities, as well as the potential for the emergence of new, unknown treatment-emergent adverse events.</w:t>
      </w:r>
    </w:p>
    <w:p>
      <w:pPr>
        <w:spacing w:after="0" w:line="18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addition, with respect to our Phase 2/3 trial of epetraborole, we have included an independent data and safety monitoring board ("DSMB") to review safety as we increase dosing duration up to 16 months and transition from clinical investigations in healthy volunteers to patients. It is possible that as we test epetraborole and our other product candidates in larger, longer and more extensive clinical programs, or as use of such product candidates becomes more widespread, if they receive regulatory approval, subjects will report illnesses, injuries, discomforts and other adverse events that were not observed in earlier trials, as well as conditions that did not occur or went undetected in previous trials. Many times, side effects are only detectable after investigational drugs are tested in large-scale, Phase 3 clinical trials or, in some cases, after they are made available to patients on a commercial scale after approval. If additional clinical experience indicates that epetraborole or any other product candidate has unexpected side effects or causes serious or life-threatening side effects, the development of the product candidate may fail or be delayed, or, if the product candidate has received regulatory approval, such approval may be revoked, which would harm our business.</w:t>
      </w:r>
    </w:p>
    <w:p>
      <w:pPr>
        <w:spacing w:after="0" w:line="18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Furthermore, epetraborole is being developed for use in the treatment of treatment-refractory MAC lung disease as an add-on therapy to an optimized background regimen, which would include current standard of care drugs as outlined in the NTM treatment guidelines. Even if our product candidates demonstrate clinical efficacy, any unacceptable adverse side effects or toxicities, when administered in the presence of other pharmaceutical products, which can arise at any stage of development, may outweigh potential benefits. We may observe adverse or significant adverse events or drug-drug interactions in future preclinical studies or clinical trial candidates, which could result in the delay or termination of development, prevent regulatory approval or limit market acceptance if ultimately approved.</w:t>
      </w:r>
    </w:p>
    <w:p>
      <w:pPr>
        <w:spacing w:after="0" w:line="179"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Moreover, if we elect, or are required, to delay, suspend or terminate any clinical trial of epetraborole or any other product candidates, the commercial prospects of such product candidate may be harmed and our ability to generate revenue through its sale may be delayed or eliminated. Any of these occurrences may significantly harm our business.</w:t>
      </w:r>
    </w:p>
    <w:p>
      <w:pPr>
        <w:spacing w:after="0" w:line="169"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Additionally, if epetraborole or any of our other product candidates receive regulatory approval, regulatory authorities may require the addition of labeling statements, such as a “black box” warning or a contraindication, or the adoption of a REMS program to ensure that the benefits outweigh its risks, which may include, among other things, a medication guide outlining the risks of the drug for distribution to patients and a communication plan to health care practitioners. Furthermore, if we or others later identify undesirable side effects caused by any product candidates, several potentially significant negative consequences could result, including:</w:t>
      </w:r>
    </w:p>
    <w:p>
      <w:pPr>
        <w:spacing w:after="0" w:line="68" w:lineRule="exact"/>
        <w:rPr>
          <w:sz w:val="20"/>
          <w:szCs w:val="20"/>
          <w:color w:val="auto"/>
        </w:rPr>
      </w:pPr>
    </w:p>
    <w:p>
      <w:pPr>
        <w:ind w:left="1020" w:right="2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suspend or withdraw approvals of such product candidate, or we may decide to suspend marketing or remove a product from the marketplace;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6"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change the way a product candidate is administered or conduct additional clinical trials, including one or more post-marketing research studies;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sued and held liable for harm caused to patients;</w:t>
      </w:r>
    </w:p>
    <w:p>
      <w:pPr>
        <w:spacing w:after="0" w:line="116"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implement REMS, including the creation of a medication guide outlining the risks of such side effects for distribution to patients;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subject to fines, injunctions or the imposition of criminal or civil penalties;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may need to conduct a recall or comparable post-marketing action;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24"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if approved, or could substantially increase commercialization costs and expenses, which could delay or prevent us from generating revenue from the sale of our product candidates and harm our business and results of operations.</w:t>
      </w:r>
    </w:p>
    <w:p>
      <w:pPr>
        <w:spacing w:after="0" w:line="279"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If we are not successful in discovering, developing and commercializing additional product candidates, our ability to expand our business and achieve our strategic objectives would be impaired.</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Although a substantial amount of our effort will focus on the continued clinical testing and potential regulatory approval of epetraborole, an element of our strategy is to discover, develop and commercialize a portfolio of product candidates to treat rare chronic lung infections including NTM lung disease and chronic Chagas disease. We are seeking to do so by utilizing our targeted-design AN2 drug discovery platform, which uses bacterial genomics and state-of-the-art molecular and dynamic models to design active new compounds that target known mechanisms. We focus our clinical development on pathogens and patients with high, unmet medical needs to leverage the development and regulatory paths available for first-in-class or best-in-class anti-infectives. Research efforts to identify and develop product candidates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spacing w:after="0" w:line="75"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6"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 product candidate may not be accepted as safe, tolerable and effective by patients, the medical community or third-party payors, if applicable;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FDA, the PMDA or other regulatory authorities may not approve or agree with the intended use of a new product candidate.</w:t>
      </w:r>
    </w:p>
    <w:p>
      <w:pPr>
        <w:spacing w:after="0" w:line="224"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If we fail to develop and successfully commercialize epetraborole or our other product candidates, our business and future prospects may be harmed and our business will be more vulnerable to any problems that we encounter in developing and commercializing epetraborole.</w:t>
      </w:r>
    </w:p>
    <w:p>
      <w:pPr>
        <w:spacing w:after="0" w:line="279"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clinical development activities and receipt of necessary regulatory approvals could be delayed or prevented.</w:t>
      </w:r>
    </w:p>
    <w:p>
      <w:pPr>
        <w:spacing w:after="0" w:line="31"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will depend, in part, on the speed at which we can recruit patients to participate in our trials, as well as completion of required follow-up periods. We may not be able to initiate, continue or complete clinical trials of epetraborole or any other product candidates that we develop if we are unable to locate and enroll a sufficient number of eligible patients to participate in these trials, as required by the FDA, the PMDA or other comparable regulatory authorities. We have limited experience enrolling patients in our clinical trials and cannot predict how successful we will be in enrolling patients in future clinical trials.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10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nature of the targeted patient population;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severity of the disease under investigation;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eligibility criteria for participation in the clinical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design of the clinical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perceived risks and benefits of the product candidate under study;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recruit clinical trial investigators with appropriate experience;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efforts to facility timely enrollment in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and efficacy of drugs approved to treat the diseases under study;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patient referral practices of physicians;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patient consents;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monitor patients adequately during and after treatment;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2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particular, we may face delays and difficulties in enrollment in our current trials of epetraborole because NTM lung disease caused by MAC is considered a rare disease (i.e., the size of the targeted patient population is small) and patients are generally managed in the outpatient setting by specialized clinics and caregivers. Patients with this disease may also be reluctant to participate in a clinical trial with an investigational drug. Additionally, most patients with NTM lung disease have pre-existing co-morbidities, including underlying structural lung disease. Because of this, we expect difficulties in determining clinical responses in some patients in our clinical trials of epetraborole, which could result in a failure to meet prespecified clinical trial endpoints, or otherwise increase the challenges associated with trial enrollment. For example, even if epetraborole has a beneficial effect on culture conversion, patient-reported symptom-based outcomes may not correlate with microbiological responses. Moreover, in February 2024, we decided to voluntarily pause enrollment in the Phase 3 portion of our ongoing Phase 2/3 clinical trial, and there is no guarantee that if and when we resume patient enrollment, that we will not encounter further delays or difficulties in enrolling the trial, including due to our announcement of having observed lower-than-anticipated efficacy rates in a blinded aggregate analysis of available data. In addition, pending further data review and discussions with FDA, we may decide to modify the protocol for our ongoing Phase 2/3 clinical trial, and any such modifications may require us to expand patient enrollment, which could result in additional expenses and further trial delays.</w:t>
      </w:r>
    </w:p>
    <w:p>
      <w:pPr>
        <w:spacing w:after="0" w:line="18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Additionally, other pharmaceutical companies and research institutions targeting these same diseases are recruiting clinical trial patients from these patient populations, which may make it more difficult to fully enroll any clinical trials.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clinical trials would result in significant delays and could require us to abandon one or more clinical trials altogether. We have experienced enrollment delays in the past. Enrollment delays in these clinical trials may result in further increased development costs for our product candidates, which would reduce the capital we have available to support our current and future product candidates and may result in our need to raise additional capital earlier than planned and could cause the value of our common stock to decline and limit our ability to obtain additional financing.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ind w:right="620"/>
        <w:spacing w:after="0" w:line="27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have a greater likelihood of success.</w:t>
      </w:r>
    </w:p>
    <w:p>
      <w:pPr>
        <w:spacing w:after="0" w:line="3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75"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spacing w:after="0" w:line="6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operating results, growth prospects.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2" w:name="page43"/>
    <w:bookmarkEnd w:id="42"/>
    <w:p>
      <w:pPr>
        <w:spacing w:after="0" w:line="278" w:lineRule="auto"/>
        <w:rPr>
          <w:sz w:val="20"/>
          <w:szCs w:val="20"/>
          <w:color w:val="auto"/>
        </w:rPr>
      </w:pPr>
      <w:r>
        <w:rPr>
          <w:rFonts w:ascii="Arial" w:cs="Arial" w:eastAsia="Arial" w:hAnsi="Arial"/>
          <w:sz w:val="18"/>
          <w:szCs w:val="18"/>
          <w:b w:val="1"/>
          <w:bCs w:val="1"/>
          <w:i w:val="1"/>
          <w:iCs w:val="1"/>
          <w:color w:val="auto"/>
        </w:rPr>
        <w:t>We may conduct clinical trials for our product candidates outside of the United States, and the FDA may not accept data from such trials, in which case our development plans may be delayed, which could materially harm our business.</w:t>
      </w:r>
    </w:p>
    <w:p>
      <w:pPr>
        <w:spacing w:after="0" w:line="3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conduct and may in the future conduct one or more of our clinical trials or a portion of our clinical trials for our product candidates outside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relevant jurisdiction. If the FDA or any comparable foreign regulatory authority does not accept such data, it may result in the need for additional trials, which could be costly and time-consuming, and which may result in current or future product candidates that we may develop not receiving approval for commercialization in the applicable jurisdiction.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6"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b w:val="1"/>
          <w:bCs w:val="1"/>
          <w:i w:val="1"/>
          <w:iCs w:val="1"/>
          <w:color w:val="auto"/>
        </w:rPr>
        <w:t>We rely on third parties to conduct the preclinical and nonclinical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w:t>
      </w:r>
    </w:p>
    <w:p>
      <w:pPr>
        <w:spacing w:after="0" w:line="5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are dependent on third parties to conduct our clinical trials and preclinical studies. Specifically, we have engaged CROs and consultants to conduct our ongoing and planned preclinical and nonclinical studies and clinical trials, in each case in accordance with trial protocols and regulatory requirements.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 preclinical and nonclinical studies, clinical trials, and manufacture of our clinical trial material. Currently, we rely on single source third-party research institutions, laboratories, clinical research and manufacturing organizations for research and development. Agreements with such third parties might terminate for a variety of reasons, including a failure to perform by the third parties. If we need to enter into alternative arrangements, or fail to enter into alternative arrangements in a timely manner, our product development activities would be delayed.</w:t>
      </w:r>
    </w:p>
    <w:p>
      <w:pPr>
        <w:spacing w:after="0" w:line="183"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we and our CROs are required to comply with regulations and comply with good laboratory practice requirements for the conduct of certain preclinical studies and GCP requirements for clinical trials, which are regulations and guidelines enforced by the FDA, for conducting, recording and reporting the results of clinical trials to assure that data and reported results are credible and accurate and that the rights, integrity and confidentiality of trial participants are protected. Similar regulatory requirements apply outside the United States, including the International Council for Harmonisation of Technical Requirements for the Registration of Pharmaceuticals for Human Use. . Regulatory authorities enforce GCPs through periodic inspections of trial sponsors, principal investigators and trial sites. Failure to comply with these requirements by us or by third parties can result in FDA refusal to approve applications based on the clinical data, enforcement actions, adverse publicity and civil and criminal sanctions.</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5" w:right="379" w:bottom="1440" w:gutter="0" w:footer="0" w:header="0"/>
        </w:sectPr>
      </w:pPr>
    </w:p>
    <w:bookmarkStart w:id="43" w:name="page44"/>
    <w:bookmarkEnd w:id="43"/>
    <w:p>
      <w:pPr>
        <w:ind w:firstLine="509"/>
        <w:spacing w:after="0"/>
        <w:rPr>
          <w:sz w:val="20"/>
          <w:szCs w:val="20"/>
          <w:color w:val="auto"/>
        </w:rPr>
      </w:pPr>
      <w:r>
        <w:rPr>
          <w:rFonts w:ascii="Arial" w:cs="Arial" w:eastAsia="Arial" w:hAnsi="Arial"/>
          <w:sz w:val="18"/>
          <w:szCs w:val="18"/>
          <w:color w:val="auto"/>
        </w:rPr>
        <w:t>There is no guarantee that any of our CROs, investigators or other third parties will devote adequate time and resources to such trials or studies or perform as contractually required. If any of these third parties fails to meet expected deadlines, adhere to our clinical protocols or meet regulatory requirements, or otherwise perform in a substandard manner, our clinical trials may be extended, delayed or terminated. 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approvals for epetraborole and our other product candidates and will not be able to, or may be delayed in our efforts to, successfully commercialize such product candidates.</w:t>
      </w:r>
    </w:p>
    <w:p>
      <w:pPr>
        <w:spacing w:after="0" w:line="185"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epetraborole or any other product candidates.</w:t>
      </w:r>
    </w:p>
    <w:p>
      <w:pPr>
        <w:spacing w:after="0" w:line="179"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We also expect to rely on other third parties to store and distribute product supplies for our clinical trials. Any performance failure or regulatory noncompliance on the part of our distributors could delay clinical development or regulatory approval of epetraborole or any other product candidates or commercialization of such product candidates, resulting in additional losses and depriving us of potential product revenue.</w:t>
      </w:r>
    </w:p>
    <w:p>
      <w:pPr>
        <w:spacing w:after="0" w:line="2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Our reliance on single-sourced third parties to manufacture our product candidates increases the risk that we will not have sufficient quantities of our product candidates or products or such quantities at an acceptable cost, which could delay, prevent or impair our development or commercialization efforts.</w:t>
      </w:r>
    </w:p>
    <w:p>
      <w:pPr>
        <w:spacing w:after="0" w:line="51"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We do not own or operate manufacturing facilities for the production of clinical or commercial supplies of the product candidates that we are developing or evaluating, nor are we contemplating plans to do so. We have limited personnel with experience in drug manufacturing and lack the resources and the capabilities to manufacture any of our product candidates on a clinical or commercial scale. We currently rely on third parties, such as Esteve Química, S.A. and Catalent Pharma Solutions, for drug substance and drug product manufacturing, respectively, of our current product candidate, and our strategy is to continue to outsource all manufacturing of our product candidates and approved products, if any, to third parties.</w:t>
      </w:r>
    </w:p>
    <w:p>
      <w:pPr>
        <w:spacing w:after="0" w:line="17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order to conduct clinical trials of our product candidates and prepare for commercialization, we will need to identify suitable manufacturers with the capabilities to manufacture our compounds in large quantities in a manner consistent with existing regulations. Our future plans include identifying, qualifying, and contracting with a second manufacturing site to manufacture epetraborole, assuming we have adequate financial resources to pursue contingency manufacturing plans. Our current and future third-party manufacturers may be unable to successfully increase the manufacturing capacity for any of our product candidates in a timely or cost-effective manner, or at all. In addition, quality issues may arise during scale-up activities at any other time. If our manufacturers are unable to successfully scale up the manufacture of our current or future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83"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do not currently have any agreements with third-party manufacturers for the long-term commercial supply of epetraborole or any of our other product candidates. In the future, we may be unable to enter into agreements with third-party manufacturers for commercial supplies of such product candidates or may be unable to do so on acceptable terms.</w:t>
      </w:r>
    </w:p>
    <w:p>
      <w:pPr>
        <w:spacing w:after="0" w:line="169"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Even if we are able to establish and maintain arrangements with third-party manufacturers, reliance on third-party manufacturers entails risks, including:</w:t>
      </w:r>
    </w:p>
    <w:p>
      <w:pPr>
        <w:spacing w:after="0" w:line="46"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reliance on the third party for regulatory compliance and quality assurance;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breach of the manufacturing agreement by the third party;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such parties to manufacture product candidates according to our specifications or on schedule;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facilities used by our third-party manufacturers must be approved for the manufacture of our product candidates by the FDA, or any comparable foreign regulatory authority, pursuant to inspections that will be conducted after we submit an NDA to the FDA, or submit a comparable marketing application to a foreign regulatory authority. We do not control the manufacturing process of, and are completely dependent on, third-party manufacturers for compliance with cGMP requirements for manufacture of our product candidates.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 use of their manufacturing facilities.</w:t>
      </w:r>
    </w:p>
    <w:p>
      <w:pPr>
        <w:spacing w:after="0" w:line="185"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In addition, we have no control over the ability of third-party manufacturers to maintain adequate quality control, quality assurance and qualified personnel.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w:t>
      </w:r>
    </w:p>
    <w:p>
      <w:pPr>
        <w:spacing w:after="0" w:line="176"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Epetraborole and our other products and product candidates may compete with other product candidates and products for access to manufacturing facilities. There are a limited number of manufacturers that operate under cGMP regulations and that might be capable of manufacturing for us.</w:t>
      </w:r>
    </w:p>
    <w:p>
      <w:pPr>
        <w:spacing w:after="0" w:line="16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If the third parties that we engage to supply any materials or manufacture product for our preclinical and nonclinical studies and clinical trials should cease to continue to do so for any reason, we likely would experience delays in advancing these studies and trials while we identify and qualify replacement suppliers, and we may be unable to obtain replacement supplies on terms that are favorable to us. In addition, if we are not able to obtain adequate supplies of epetraborole or any other product candidates or the substances used to manufacture them, it will be more difficult for us to develop such product candidates and compete effectively.</w:t>
      </w:r>
    </w:p>
    <w:p>
      <w:pPr>
        <w:spacing w:after="0" w:line="176"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may adversely affect our future profit margins and our ability to develop product candidates and commercialize any products that receive regulatory approval on a timely and competitive basis.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Epetraborole and Our Other Product Candidates</w:t>
      </w:r>
    </w:p>
    <w:p>
      <w:pPr>
        <w:spacing w:after="0" w:line="10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b w:val="1"/>
          <w:bCs w:val="1"/>
          <w:i w:val="1"/>
          <w:iCs w:val="1"/>
          <w:color w:val="auto"/>
        </w:rPr>
        <w:t>Even if epetraborole or any of our other product candidates receives regulatory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Even if we obtain approvals from the FDA, the PMDA or other comparable regulatory agencies and are able to initiate commercialization of epetraborole or any other product candidates we develop, the product candidate may not achieve market acceptance among physicians, patients and third-party payors and, ultimately, may not be commercially successful. The degree of market acceptance of our product candidates, if approved for commercial sale, will depend on a number of factors, including:</w:t>
      </w:r>
    </w:p>
    <w:p>
      <w:pPr>
        <w:spacing w:after="0" w:line="66" w:lineRule="exact"/>
        <w:rPr>
          <w:sz w:val="20"/>
          <w:szCs w:val="20"/>
          <w:color w:val="auto"/>
        </w:rPr>
      </w:pPr>
    </w:p>
    <w:p>
      <w:pPr>
        <w:ind w:left="1020" w:right="86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tolerability, efficacy and ease of use of a once-a-day oral dose and other potential advantages compared to alternative treatments;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and perceived advantages and disadvantages of the product candidates, including cost and clinical benefit relative to alternative treatments;</w:t>
      </w:r>
    </w:p>
    <w:p>
      <w:pPr>
        <w:spacing w:after="0" w:line="46" w:lineRule="exact"/>
        <w:rPr>
          <w:rFonts w:ascii="Times New Roman" w:cs="Times New Roman" w:eastAsia="Times New Roman" w:hAnsi="Times New Roman"/>
          <w:sz w:val="18"/>
          <w:szCs w:val="18"/>
          <w:color w:val="auto"/>
        </w:rPr>
      </w:pPr>
    </w:p>
    <w:p>
      <w:pPr>
        <w:ind w:left="1020" w:right="46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convenience and ease of once-a-day oral administration compared to alternative treatments (e.g., inhaled drug through nebulizer);</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1020" w:right="78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acceptance by physicians, patients, payor-formularies and treatment facilities and parties responsible for coverage and reimbursement of the product;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manufacture the product candidates in sufficient quantities and yields;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and effectiveness of marketing and distribution support;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any side effects;</w:t>
      </w:r>
    </w:p>
    <w:p>
      <w:pPr>
        <w:spacing w:after="0" w:line="116"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or warnings, including distribution or use restrictions, contained in the product’s approved labeling or an approved REMS;</w:t>
      </w:r>
    </w:p>
    <w:p>
      <w:pPr>
        <w:spacing w:after="0" w:line="46" w:lineRule="exact"/>
        <w:rPr>
          <w:rFonts w:ascii="Times New Roman" w:cs="Times New Roman" w:eastAsia="Times New Roman" w:hAnsi="Times New Roman"/>
          <w:sz w:val="18"/>
          <w:szCs w:val="18"/>
          <w:color w:val="auto"/>
        </w:rPr>
      </w:pPr>
    </w:p>
    <w:p>
      <w:pPr>
        <w:ind w:left="1020" w:right="54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the product is designated under physician treatment guidelines as a first-line therapy or as a second- or third-line therapy for particular infections;</w:t>
      </w:r>
    </w:p>
    <w:p>
      <w:pPr>
        <w:spacing w:after="0" w:line="46"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the product is safe, tolerable and efficacious when used in combination therapy with the current multi-drug standard of care regimen;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products for the same indications;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the approved product as well as competitive products;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emergence of bacterial resistance to the product.</w:t>
      </w:r>
    </w:p>
    <w:p>
      <w:pPr>
        <w:spacing w:after="0" w:line="22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If the market size of any product candidate that obtains regulatory approval is significantly smaller than we anticipate, it may not achieve market acceptance or commercial success. This could significantly and negatively impact our business, financial condition, results of operations and growth prospects.</w:t>
      </w:r>
    </w:p>
    <w:p>
      <w:pPr>
        <w:spacing w:after="0" w:line="279"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from major multi-national pharmaceutical companies, biotechnology companies, specialty pharmaceutical companies and generic drug companies with respect to epetraborole and other product candidates that we may develop and commercialize in the future. There are a number of large pharmaceutical and biotechnology companies that currently market and sell products or are pursuing the development of product candidates for the treatment of NTM lung infections. Potential competitors also include academic institutions, government agencies and other public and private research organizations. If our competitors obtain regulatory approval from the FDA, the PMDA or other comparable regulatory authorities for their product candidates more rapidly than we do, it could result in our competitors establishing a strong market position before we are able to enter the market. Our competitors may also succeed in developing, acquiring or licensing technologies and drug products that are more effective, more effectively marketed and sold, or less costly than epetraborole or any other product candidates that we may develop, which could render our product candidate non-competitive and obsolete.</w:t>
      </w:r>
    </w:p>
    <w:p>
      <w:pPr>
        <w:spacing w:after="0" w:line="18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initial product candidate, epetraborole, is being developed for the treatment of patients with treatment-refractory MAC lung disease. Insmed’s Arikayce is the only currently approved therapy for the treatment of MAC lung disease as part of a combination antibacterial drug regimen in patients who do not achieve negative sputum cultures after a minimum of six consecutive months of a multidrug background regimen therapy. Other drugs used to treat these patients include generic drugs such as macrolides (clarithromycin and azithromycin), ethambutol, rifabutin and fluoroquinolones such as levofloxacin, bedaquiline, linezolid and clofazimine. There are also a number of product candidates in clinical development by third parties that are intended to treat NTM lung disease. Some mid- to late-stage product candidates include SPR720 from Spero Therapeutics, Inc., inhaled clofazimine from MannKind Corporation, and omadacycline from Paratek Pharmaceuticals, Inc. In addition, there may also be unexpected or unknown competitors that we are not presently aware of.</w:t>
      </w:r>
    </w:p>
    <w:p>
      <w:pPr>
        <w:spacing w:after="0" w:line="18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Many of our competitors have significantly greater financial resources and expertise in research and development, manufacturing, preclinical and nonclinical testing, conducting clinical trials, obtaining regulatory approvals, and marketing approved products than we do as an organization.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6" w:name="page47"/>
    <w:bookmarkEnd w:id="46"/>
    <w:p>
      <w:pPr>
        <w:ind w:right="40" w:firstLine="509"/>
        <w:spacing w:after="0" w:line="23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approval from the FDA, the PMDA or other comparable regulatory agencies for their product candidates more rapidly than we may obtain approval for ours, which could result in product approval delays if a competitor obtains market exclusivity from the FDA, the PMDA or any comparable regulatory agencies or our competitors establish a strong market position before we are able to enter the market. In addition, our ability to compete may be affected in many cases by insurers or other third-party payors seeking to encourage the use of generic drugs. Additional drugs may become available on a generic basis over the coming years. If epetraborole or any other product candidates achieve regulatory approval, we expect that they will be priced at a significant premium over competitive generic drugs.</w:t>
      </w:r>
    </w:p>
    <w:p>
      <w:pPr>
        <w:spacing w:after="0" w:line="293"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for epetraborole or our other product candidates, or enter into sales, marketing and distribution agreements with third parties, we may not be successful in commercializing our product candidates, if and when they are approved.</w:t>
      </w:r>
    </w:p>
    <w:p>
      <w:pPr>
        <w:spacing w:after="0" w:line="51"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We do not have a sales or marketing infrastructure and have limited experience in the sale, marketing, or distribution of pharmaceutical products. To achieve commercial success for any product candidate for which we may obtain regulatory approval, we will need to establish a sales and marketing organization or enter into collaboration, distribution and other marketing arrangements with one or more third parties to commercialize such product candidate. In the United States and other key markets, we intend to build a commercial organization to target areas with the greatest incidence of NTM lung infections and recruit experienced sales, marketing and distribution professionals. The development of sales, marketing and distribution capabilities will require substantial resources, will be time-consuming and could delay any product launch. We may decide to work with regional specialty pharmacies, distributors, and/or multi-national pharmaceutical companies to leverage their commercialization capabilities to commercialize any product candidate for which we may obtain regulatory approval outside of the United States.</w:t>
      </w:r>
    </w:p>
    <w:p>
      <w:pPr>
        <w:spacing w:after="0" w:line="183"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If the commercial launch of a product candidate for which we recruit a sales force and establish marketing and distribution capabilities is delayed or does not occur for any reason, we would have prematurely or unnecessarily incurred these commercialization costs. This may be costly, and our investment would be lost if we cannot retain or reposition our sales and marketing personnel. In addition, we may not be able to hire a sales force in the United States that is sufficient in size or has adequate expertise to target the areas that we intend to target. If we are unable to establish a sales force and marketing and distribution capabilities, our operating results may be adversely affected.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drugs on our own include:</w:t>
      </w:r>
    </w:p>
    <w:p>
      <w:pPr>
        <w:spacing w:after="0" w:line="10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6" w:lineRule="exact"/>
        <w:rPr>
          <w:rFonts w:ascii="Times New Roman" w:cs="Times New Roman" w:eastAsia="Times New Roman" w:hAnsi="Times New Roman"/>
          <w:sz w:val="18"/>
          <w:szCs w:val="18"/>
          <w:color w:val="auto"/>
        </w:rPr>
      </w:pPr>
    </w:p>
    <w:p>
      <w:pPr>
        <w:ind w:left="1020" w:right="38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products;</w:t>
      </w:r>
    </w:p>
    <w:p>
      <w:pPr>
        <w:spacing w:after="0" w:line="46" w:lineRule="exact"/>
        <w:rPr>
          <w:rFonts w:ascii="Times New Roman" w:cs="Times New Roman" w:eastAsia="Times New Roman" w:hAnsi="Times New Roman"/>
          <w:sz w:val="18"/>
          <w:szCs w:val="18"/>
          <w:color w:val="auto"/>
        </w:rPr>
      </w:pPr>
    </w:p>
    <w:p>
      <w:pPr>
        <w:ind w:left="1020" w:right="84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complementary products to be offered by sales personnel, which may put us at a competitive disadvantage compared to companies with more extensive product lines;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costs and limitations with regard to setting up a distribution network.</w:t>
      </w:r>
    </w:p>
    <w:p>
      <w:pPr>
        <w:spacing w:after="0" w:line="22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If we are unable to establish our own sales, marketing and distribution capabilities in the United States and other jurisdictions in which epetraborole or any other product candidates are approved and, instead, enter into arrangements with third parties to perform these services, our revenues and profitability, if any, are likely to be lower than if we were to sell, market and distribute any product candidates that we develop ourselves. We may not be successful in entering into arrangements with third parties to sell, market and distribute our product candidates or may be unable to do so on terms that are favorable to us. We likely will have limited control over such third parties, and any of them may fail to devote the necessary resources and attention to sell and market our product candidates effectively. If we do not establish sales, marketing and distribution capabilities successfully, either on our own or in collaboration with third parties, we will not be successful in commercializing any product candidates.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spacing w:after="0" w:line="278"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epetraborole or any other product candidates, which could make it difficult for us to sell profitably, if approved.</w:t>
      </w:r>
    </w:p>
    <w:p>
      <w:pPr>
        <w:spacing w:after="0" w:line="31"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and providers are unlikely to prescribe our drugs, unless coverage is provided and reimbursement is adequate to cover a significant portion of the cost of our drugs and their administration.</w:t>
      </w:r>
    </w:p>
    <w:p>
      <w:pPr>
        <w:spacing w:after="0" w:line="189"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regulatory approval. If coverage and adequate reimbursement are not available, or are available only to limited levels, we may not be able to successfully commercialize epetraborole and any other product candidates that we develop.</w:t>
      </w:r>
    </w:p>
    <w:p>
      <w:pPr>
        <w:spacing w:after="0" w:line="289"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31"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We face an inherent risk of product liability exposure related to the testing of epetraborole and any other product candidates in human clinical trials and will face an even greater risk if we commercially sell any drugs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reduced resources of our management to pursue our business strategy;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any product candidates or products that we may develop;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the resulting litigation;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paid to clinical trial participants or patients;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drugs that we may develop;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share price.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8" w:name="page49"/>
    <w:bookmarkEnd w:id="48"/>
    <w:p>
      <w:pPr>
        <w:ind w:right="140" w:firstLine="509"/>
        <w:spacing w:after="0"/>
        <w:rPr>
          <w:sz w:val="20"/>
          <w:szCs w:val="20"/>
          <w:color w:val="auto"/>
        </w:rPr>
      </w:pPr>
      <w:r>
        <w:rPr>
          <w:rFonts w:ascii="Arial" w:cs="Arial" w:eastAsia="Arial" w:hAnsi="Arial"/>
          <w:sz w:val="18"/>
          <w:szCs w:val="18"/>
          <w:color w:val="auto"/>
        </w:rPr>
        <w:t>Our product liability insurance coverage may not be adequate to cover all liabilities that we may incur. We may need to increase our insurance coverage as we expand our clinical trials or if we commence commercialization of any product candidates. Insurance coverage is increasingly expensive. We may not be able to maintain insurance coverage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290"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There are a variety of risks associated with marketing epetraborole or any other product candidates internationally, which could affect our business.</w:t>
      </w:r>
    </w:p>
    <w:p>
      <w:pPr>
        <w:spacing w:after="0" w:line="31"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We may seek regulatory approval for epetraborole or other product candidates outside of the United States and, accordingly, we expect that we will be subject to additional risks related to operating in foreign countries if we obtain the necessary approvals, including:</w:t>
      </w:r>
    </w:p>
    <w:p>
      <w:pPr>
        <w:spacing w:after="0" w:line="46"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regulatory requirements and reimbursement landscapes in foreign countries;</w:t>
      </w:r>
    </w:p>
    <w:p>
      <w:pPr>
        <w:spacing w:after="0" w:line="116"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foreign taxes, including withholding of payroll taxes;</w:t>
      </w:r>
    </w:p>
    <w:p>
      <w:pPr>
        <w:spacing w:after="0" w:line="11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staffing and managing foreign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6" w:lineRule="exact"/>
        <w:rPr>
          <w:rFonts w:ascii="Times New Roman" w:cs="Times New Roman" w:eastAsia="Times New Roman" w:hAnsi="Times New Roman"/>
          <w:sz w:val="18"/>
          <w:szCs w:val="18"/>
          <w:color w:val="auto"/>
        </w:rPr>
      </w:pPr>
    </w:p>
    <w:p>
      <w:pPr>
        <w:ind w:left="1020" w:right="68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liability under the U.S. Foreign Corrupt Practices Act of 1977, as amended (the “FCPA”), or comparable foreign regulations;</w:t>
      </w:r>
    </w:p>
    <w:p>
      <w:pPr>
        <w:spacing w:after="0" w:line="46"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These and other risks associated with our international operations may compromise our ability to achieve or maintain profitability.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Managing Our Growth</w:t>
      </w:r>
    </w:p>
    <w:p>
      <w:pPr>
        <w:spacing w:after="0" w:line="106"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b w:val="1"/>
          <w:bCs w:val="1"/>
          <w:i w:val="1"/>
          <w:iCs w:val="1"/>
          <w:color w:val="auto"/>
        </w:rPr>
        <w:t>We operate with a small team and our future success depends on our ability to retain key executives and to attract, retain and motivate qualified personnel.</w:t>
      </w:r>
    </w:p>
    <w:p>
      <w:pPr>
        <w:spacing w:after="0" w:line="3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are highly dependent on the management, research and development, clinical, financial and business development expertise of Eric Easom, our co-founder, president, and chief executive officer, Paul Eckburg, M.D., our chief medical officer, Sanjay Chanda, Ph.D., our chief development officer, Lucy Day, our chief financial officer, Josh Eizen, J.D., our chief legal officer, Kevin Krause, our chief strategy officer, and Michael R.K. (Dickon) Alley, Ph.D., our co-founder and head of biology, as well as the other members of our research, development and business teams. Each may terminate employment with us at any time. We do not maintain “key person” insurance for any of our executives or employees.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ind w:firstLine="509"/>
        <w:spacing w:after="0" w:line="237" w:lineRule="auto"/>
        <w:rPr>
          <w:sz w:val="20"/>
          <w:szCs w:val="20"/>
          <w:color w:val="auto"/>
        </w:rPr>
      </w:pPr>
      <w:r>
        <w:rPr>
          <w:rFonts w:ascii="Arial" w:cs="Arial" w:eastAsia="Arial" w:hAnsi="Arial"/>
          <w:sz w:val="18"/>
          <w:szCs w:val="18"/>
          <w:color w:val="auto"/>
        </w:rPr>
        <w:t>Our limited personnel and resources may result in greater workloads for our employees compared to those at companies with which we compete for personnel, which may lead to higher levels of employee dissatisfaction and turnover. Recruiting and retaining qualified research, development and business personnel and, if we progress the development of epetraborole or any other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research and development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99"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Macroeconomic uncertainties have in the past and may continue to adversely impact our business, financial condition, results of operations and growth prospects.</w:t>
      </w:r>
    </w:p>
    <w:p>
      <w:pPr>
        <w:spacing w:after="0" w:line="3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Higher interest rates, coupled with reduced government spending and volatility in financial markets may increase economic uncertainty and affect consumer spending. Similarly, volatility and disruptions in global markets and supply chains and global conflicts may adversely affect our business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To the extent that macroeconomic uncertainties continue to harm our business, financial condition, results of operations and growth prospects, many of the other risks described in this “Risk Factors” section will be exacerbated.</w:t>
      </w:r>
    </w:p>
    <w:p>
      <w:pPr>
        <w:spacing w:after="0" w:line="290"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57"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Prior to the completion of the IPO, we had been a private company with limited accounting personnel to adequately execute our accounting processes and other supervisory resources with which to address our internal control over financial reporting. In connection with the preparation of our financial statements,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spacing w:after="0" w:line="71"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p>
      <w:pPr>
        <w:spacing w:after="0" w:line="75" w:lineRule="exact"/>
        <w:rPr>
          <w:rFonts w:ascii="Times New Roman" w:cs="Times New Roman" w:eastAsia="Times New Roman" w:hAnsi="Times New Roman"/>
          <w:sz w:val="18"/>
          <w:szCs w:val="18"/>
          <w:color w:val="auto"/>
        </w:rPr>
      </w:pPr>
    </w:p>
    <w:p>
      <w:pPr>
        <w:ind w:left="1020" w:right="160" w:hanging="503"/>
        <w:spacing w:after="0" w:line="246"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left="1020" w:right="46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effective controls related to the accounting for certain non-routine or complex transactions, including the proper application of U.S. GAAP to such transactions.</w:t>
      </w:r>
    </w:p>
    <w:p>
      <w:pPr>
        <w:spacing w:after="0" w:line="46" w:lineRule="exact"/>
        <w:rPr>
          <w:rFonts w:ascii="Times New Roman" w:cs="Times New Roman" w:eastAsia="Times New Roman" w:hAnsi="Times New Roman"/>
          <w:sz w:val="18"/>
          <w:szCs w:val="18"/>
          <w:color w:val="auto"/>
        </w:rPr>
      </w:pPr>
    </w:p>
    <w:p>
      <w:pPr>
        <w:ind w:left="1020" w:hanging="503"/>
        <w:spacing w:after="0" w:line="239"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effective controls over information technology (“IT”) general controls for information systems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86"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spacing w:after="0" w:line="17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To address our material weaknesses, we implemented measures designed to improve our internal control over financial reporting and remediate the control deficiencies that led to the material weaknesses. These measures include (i) the ongoing hiring of additional accounting personnel; (ii) the design and implementation of our financial control environment, including the establishment of formal accounting policies and procedures, financial reporting controls and controls to account for and disclose complex transactions; and (iii) implementation of an upgraded accounting system with IT controls to insure appropriate and restricted access to our accounting applications, programs and data. As of December 31, 2023, we validated the effectiveness of controls to account for and disclose complex transactions, and the material weakness associated with the accounting for certain non-routine or complex transactions, including the proper application of U.S. GAAP, was remediated as of December 31, 2023.</w:t>
      </w:r>
    </w:p>
    <w:p>
      <w:pPr>
        <w:spacing w:after="0" w:line="180"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We are working to remediate the material weaknesses as efficiently and effectively as possible and expect full remediation to go beyond December 31, 2024. We cannot assure you that there will not be future material weaknesses in our internal control over financial reporting in the future. Any failure to maintain effective internal control over financial reporting could severely inhibit our ability to accurately report our financial condition, results of operations, or cash flows. If we fail to remediate our identified material weaknesses, or identify additional material weaknesses, in our internal control over financial reporting investors may lose confidence in the accuracy and completeness of our financial reports, the market price of our common stock could decline, and we could be subject to sanctions or investigations by Nasdaq Stock Market LLC, the Securities and Exchange Commission, or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3"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b w:val="1"/>
          <w:bCs w:val="1"/>
          <w:i w:val="1"/>
          <w:iCs w:val="1"/>
          <w:color w:val="auto"/>
        </w:rPr>
        <w:t>We expect to expand our research, development, and business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As the clinical development of epetraborole and any of our other product candidates progresses, we also expect to experience significant growth in the number of our employees and the scope of our operations, particularly in the areas of research, drug development, regulatory affairs and, if epetraborole or any other product candidate receives regulatory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research and development resources. Any inability to manage growth could delay the execution of our business plans or disrupt our operations.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spacing w:after="0" w:line="278" w:lineRule="auto"/>
        <w:rPr>
          <w:sz w:val="20"/>
          <w:szCs w:val="20"/>
          <w:color w:val="auto"/>
        </w:rPr>
      </w:pPr>
      <w:r>
        <w:rPr>
          <w:rFonts w:ascii="Arial" w:cs="Arial" w:eastAsia="Arial" w:hAnsi="Arial"/>
          <w:sz w:val="18"/>
          <w:szCs w:val="18"/>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31"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From time to time, we may evaluate various acquisitions and strategic collaborations, including licensing or acquiring complementary drug products, intellectual property rights, technologies or businesses, as deemed appropriate to carry out our business plan. Any potential acquisition or strategic collaboration may entail numerous risks, including:</w:t>
      </w:r>
    </w:p>
    <w:p>
      <w:pPr>
        <w:spacing w:after="0" w:line="128"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additional indebtedness or contingent liabilities;</w:t>
      </w:r>
    </w:p>
    <w:p>
      <w:pPr>
        <w:spacing w:after="0" w:line="11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and drug products of an acquired company, including difficulties associated with integrating new personnel;</w:t>
      </w:r>
    </w:p>
    <w:p>
      <w:pPr>
        <w:spacing w:after="0" w:line="46"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drug development programs and initiatives in pursuing such a strategic partnership, merger, or acquisition;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6" w:lineRule="exact"/>
        <w:rPr>
          <w:rFonts w:ascii="Times New Roman" w:cs="Times New Roman" w:eastAsia="Times New Roman" w:hAnsi="Times New Roman"/>
          <w:sz w:val="18"/>
          <w:szCs w:val="18"/>
          <w:color w:val="auto"/>
        </w:rPr>
      </w:pPr>
    </w:p>
    <w:p>
      <w:pPr>
        <w:ind w:left="1020" w:right="46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drugs or drug candidates and regulatory approvals; and</w:t>
      </w:r>
    </w:p>
    <w:p>
      <w:pPr>
        <w:spacing w:after="0" w:line="46" w:lineRule="exact"/>
        <w:rPr>
          <w:rFonts w:ascii="Times New Roman" w:cs="Times New Roman" w:eastAsia="Times New Roman" w:hAnsi="Times New Roman"/>
          <w:sz w:val="18"/>
          <w:szCs w:val="18"/>
          <w:color w:val="auto"/>
        </w:rPr>
      </w:pPr>
    </w:p>
    <w:p>
      <w:pPr>
        <w:ind w:left="1020" w:right="38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technology and/or drugs sufficient to meet our objectives in undertaking the acquisition or even to offset the associated acquisition and maintenance costs.</w:t>
      </w:r>
    </w:p>
    <w:p>
      <w:pPr>
        <w:spacing w:after="0" w:line="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11" w:right="41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6"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i w:val="1"/>
          <w:iCs w:val="1"/>
          <w:color w:val="auto"/>
        </w:rPr>
        <w:t>If we are unable to obtain and maintain patent and other intellectual property protection for our technology, or for epetraborole or our other product candidates, or if the scope of the patent and other intellectual property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57"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do not own any issued patents and we in-license patents and patent applications for epetraborole, our lead drug compound, and our success depends in large part on our ability to obtain and maintain patent protection in the United States and other countries with respect to epetraborole and any of our other product candidates. We seek to protect our proprietary position by in-licensing intellectual property relating to our product candidates including patent applications in the United States and abroad related to our technology and product candidates that are important to our business. If we or our licensors do not adequately protect the intellectual property we in-license or own, competitors may be able to use our technologies and erode or negate any competitive advantage that we may have, which could harm our business and ability to achieve profitability. To protect our proprietary positions, we and our licensors file patent applications in the United States and abroad related to our novel technologies and product candidates that are important to our business. The patent application and prosecution process is expensive and time-consuming. We and our current licensors and licensees, or any future licensors and licensees, may not be able to file and prosecute all necessary or desirable patent applications at a reasonable cost or in a timely manner. We or our current licensors and licensees, or any future licensors or licensees may also fail to identify patentable aspects of our research and development before it is too late to obtain patent protection, or fail to continue to prosecute patents relating to our product candidates. Therefore, these and any of our in-licensed patents and patent applications may not be prosecuted and enforced in a manner consistent with the best interests of our business. It is possible that defects of form in the preparation or filing of our licensors’ patents or our patent applications may exist, or may arise in the future, such as with respect to proper priority claims, inventorship, claim scope or patent term adjustments. If our current licensors and licensees, or any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We cannot predict whether the patent applications we and our licensors or licensees are currently pursuing will issue as patents in any particular jurisdiction or whether the claims of any issued patents will provide sufficient protection from competitors. If there are material defects in the form or preparation of our or our licensors’ patents or patent applications, such patents or applications may be invalid and unenforceable. Moreover, our competitors may independently develop equivalent knowledge, methods, and know-how, and we may not be able to prevent such competitors from commercializing such equivalent knowledge, methods, and know-how. Any of these outcomes could impair our ability to prevent competition from third parties and could have a material adverse effect on our business, financial condition, results of operations and growth prospects. The patent position of biotechnology and pharmaceutical companies generally is highly uncertain and has been the subject of much litigation in recent years.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United States, including the America Invents Act of 2011, and future changes in patent laws in or outside the United States may affect the scope, strength and enforceability of our patent rights or the nature of proceedings that may be brought by us related to our patent rights.</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3" w:name="page54"/>
    <w:bookmarkEnd w:id="53"/>
    <w:p>
      <w:pPr>
        <w:ind w:right="20" w:firstLine="509"/>
        <w:spacing w:after="0" w:line="238" w:lineRule="auto"/>
        <w:rPr>
          <w:sz w:val="20"/>
          <w:szCs w:val="20"/>
          <w:color w:val="auto"/>
        </w:rPr>
      </w:pPr>
      <w:r>
        <w:rPr>
          <w:rFonts w:ascii="Arial" w:cs="Arial" w:eastAsia="Arial" w:hAnsi="Arial"/>
          <w:sz w:val="18"/>
          <w:szCs w:val="18"/>
          <w:color w:val="auto"/>
        </w:rPr>
        <w:t>We may not be aware of all third-party intellectual property rights potentially relating to epetraborole or our other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patents or pending patent applications that we in-license or own, or that we or our licensors were the first to file for patent protection of such inventions. As a result, the issuance, scope, validity and commercial value of our patent rights cannot be predicted with any certainty. Moreover, we or our licensors may be subject to a third-party pre-issuance submission of prior art to the U.S. Patent and Trademark Office (“USPTO”), or become involved in opposition, derivation, reexamination,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w:t>
      </w:r>
    </w:p>
    <w:p>
      <w:pPr>
        <w:spacing w:after="0" w:line="186"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licensors’ pending and future patent applications and our own pending and future patent applications may not result in patents being issued that protect our technology or product candidates, in whole or in part, or which effectively prevent others from commercializing competitive technologies and products. Even if our or our licensors’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in-licensed patents or any patents we may own in the future by developing similar or alternative technologies or products in a non-infringing manner. Our competitors may seek to market generic versions of any approved products by submitting abbreviated NDAs to the FDA in which they claim that patents licensed by us or may be owned by us in the future are invalid, unenforceable, and/or not infringed. Alternatively, our competitors may seek approval to market their own products similar to or otherwise competitive with our product candidates. In these circumstances, we may need to defend and/or assert our in-licensed or owned patents, including by filing lawsuits alleging patent infringement. In any of these types of proceedings, a court, or other agency with jurisdiction may find our in-licensed patents or any owned patents, should such patents issue in the future, invalid and/or unenforceable.</w:t>
      </w:r>
    </w:p>
    <w:p>
      <w:pPr>
        <w:spacing w:after="0" w:line="18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in-licensed patents or patents we may own in the future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In addition, given the amount of time required for the development, testing, and regulatory review of new product candidates, patents protecting such candidates might expire before or shortly after such candidates are commercialized. Any impairment of our intellectual property rights, or our failure to protect our intellectual property rights adequately, could give third parties access to our technology and product candidates and could materially and adversely impact our business, financial condition, results of operations and growth prospects.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right="80"/>
        <w:spacing w:after="0" w:line="249" w:lineRule="auto"/>
        <w:rPr>
          <w:sz w:val="20"/>
          <w:szCs w:val="20"/>
          <w:color w:val="auto"/>
        </w:rPr>
      </w:pPr>
      <w:r>
        <w:rPr>
          <w:rFonts w:ascii="Arial" w:cs="Arial" w:eastAsia="Arial" w:hAnsi="Arial"/>
          <w:sz w:val="18"/>
          <w:szCs w:val="18"/>
          <w:b w:val="1"/>
          <w:bCs w:val="1"/>
          <w:i w:val="1"/>
          <w:iCs w:val="1"/>
          <w:color w:val="auto"/>
        </w:rPr>
        <w:t>Our rights to develop and commercialize our technology, epetraborole, and our other product candidates are subject, in large part, to the terms and conditions of licenses granted to us by others, such as Anacor. If we fail to comply with our obligations in the agreements under which we in-license or acquire development or commercialization rights to products, technology, or data from third parties, we could lose such rights that are important to our business.</w:t>
      </w:r>
    </w:p>
    <w:p>
      <w:pPr>
        <w:spacing w:after="0" w:line="57"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We are heavily reliant upon licenses to certain patent rights and other intellectual property that are important or necessary to the development of epetraborole or our other product candidates. For example, we depend on a license agreement from Anacor, a biopharmaceutical company that originally developed epetraborole and is currently a wholly-owned subsidiary of Pfizer. Additionally, we have licensed our rights under the Anacor agreement in China, Hong Kong, Taiwan and Macau to Brii Biosciences.</w:t>
      </w:r>
    </w:p>
    <w:p>
      <w:pPr>
        <w:spacing w:after="0" w:line="174"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Anacor has relied upon, and any future licensors may have relied upon, third-party companies, consultants or collaborators, or on funds from third parties such that our licensors are not the sole and exclusive owners of the patents we in-licensed. We have sublicensed certain patents from Anacor that are owned, maintained and prosecuted by GSK. If third-party companies such as GSK fail to prosecute, maintain, enforce and defend such patents, or lose rights to those patents, the rights we have licensed may be reduced or eliminated, and our right to develop and commercialize epetraborole or our other product candidates that are the subject of such licensed rights could be adversely affected. Further, we rely upon Anacor’s compliance with its license agreement with GSK to maintain our sublicense to such patents owned by GSK, and any termination of Anacor’s license agreement with GSK could result in us losing our license to epetraborole. Further development and commercialization of epetraborole, and development of any other product candidates may require us to enter into additional license or collaboration agreements. For example, our licensors or other third parties may develop intellectual property covering epetraborole which we have not licensed. Our future licenses may not provide us with exclusive rights to use the licensed patent rights and other intellectual property, or may not provide us with exclusive rights to use such patent rights and intellectual property in all relevant fields of use and in all territories in which we wish to develop or commercialize epetraborole or our other product candidates in the future.</w:t>
      </w:r>
    </w:p>
    <w:p>
      <w:pPr>
        <w:spacing w:after="0" w:line="18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license agreement with Anacor, and other intellectual property-related agreements we may enter into in the future may impose diligence and other obligations, including payment of milestones and royalties. For example, our license agreement from Anacor requires us to satisfy diligence requirements, including using commercially reasonable efforts to develop and commercialize products. If we fail to comply with our obligations to Anacor or any future licensors, those counterparties may have the right to terminate the license agreements, in which event we might not be able to develop, manufacture, or market any product candidate licensed under the agreements, which could materially adversely affect the value of the product candidate being developed under any such agreement and further involve termination of our rights to important intellectual property or technology.</w:t>
      </w:r>
    </w:p>
    <w:p>
      <w:pPr>
        <w:spacing w:after="0" w:line="18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spite of our efforts, Anacor imposes or any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business, financial condition, results of operations and growth prospects.</w:t>
      </w:r>
    </w:p>
    <w:p>
      <w:pPr>
        <w:spacing w:after="0" w:line="180"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Under our license agreement with Anacor, and any future license agreements, disputes may arise regarding intellectual property subject to a licensing agreement, including:</w:t>
      </w:r>
    </w:p>
    <w:p>
      <w:pPr>
        <w:spacing w:after="0" w:line="46"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1020" w:right="640" w:hanging="503"/>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55" w:name="page56"/>
    <w:bookmarkEnd w:id="55"/>
    <w:p>
      <w:pPr>
        <w:ind w:left="10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priority of invention of patented technology.</w:t>
      </w:r>
    </w:p>
    <w:p>
      <w:pPr>
        <w:spacing w:after="0" w:line="22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addition, the license agreements involving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 results of operations and growth prospects.</w:t>
      </w:r>
    </w:p>
    <w:p>
      <w:pPr>
        <w:spacing w:after="0" w:line="290"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necessary rights to any product candidates we may develop through acquisitions and in-licenses.</w:t>
      </w:r>
    </w:p>
    <w:p>
      <w:pPr>
        <w:spacing w:after="0" w:line="3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currently have rights to intellectual property, through licenses from third parties, to identify and develop product candidates. We may find it necessary or prudent to obtain licenses from such third-party intellectual property holders in order to avoid infringing these third-party patents. For example, many pharmaceutical companies, biotechnology companies and academic institutions compete with us and may be filing patent applications potentially relevant to our business.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6" w:name="page57"/>
    <w:bookmarkEnd w:id="56"/>
    <w:p>
      <w:pPr>
        <w:ind w:right="280"/>
        <w:spacing w:after="0" w:line="27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owned or in-licensed patents or other intellectual property, which could be expensive, time-consuming and unsuccessful.</w:t>
      </w:r>
    </w:p>
    <w:p>
      <w:pPr>
        <w:spacing w:after="0" w:line="31" w:lineRule="exact"/>
        <w:rPr>
          <w:sz w:val="20"/>
          <w:szCs w:val="20"/>
          <w:color w:val="auto"/>
        </w:rPr>
      </w:pPr>
    </w:p>
    <w:p>
      <w:pPr>
        <w:ind w:firstLine="584"/>
        <w:spacing w:after="0" w:line="236" w:lineRule="auto"/>
        <w:rPr>
          <w:sz w:val="20"/>
          <w:szCs w:val="20"/>
          <w:color w:val="auto"/>
        </w:rPr>
      </w:pPr>
      <w:r>
        <w:rPr>
          <w:rFonts w:ascii="Arial" w:cs="Arial" w:eastAsia="Arial" w:hAnsi="Arial"/>
          <w:sz w:val="18"/>
          <w:szCs w:val="18"/>
          <w:color w:val="auto"/>
        </w:rPr>
        <w:t>Competitors or other third parties may infringe, misappropriate or otherwise violate our in-licensed issued patents or other intellectual property we may own. To counter such infringement, misappropriation or other unauthorized use, we may be required to file infringement claims, which can be expensive and time-consuming and divert the time and attention of our management and scientific personnel. Any claims we assert against third parties could provoke these parties to assert counterclaims against us alleging that we infringe, misappropriate or otherwise violate their patents, trademarks, copyrights or other intellectual property. In addition, our in-licensed patents may become involved in inventorship or priority disputes. Third parties may raise challenges to the validity of certain of our in-licensed patent claims and may in the future raise similar claims before administrative bodies in the United States or abroad, even outside the context of litigation. For example, we may be subject to a third-party pre-issuance submission of prior art to the USPTO, or become involved in derivation, revocation, reexamination, post-grant review (“PGR”), inter partes review (“IPR”), interference proceedings and equivalent proceedings in foreign jurisdictions, such as opposition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invalidate, or render unenforceable, our potential future owned patents or licensed patent rights, allow third parties to commercialize epetraborole or our other product candidates and compete directly with us, without payment to us, or result in our inability to manufacture or commercialize products without infringing third-party patent rights In a patent infringement proceeding, there is a risk that a court will decide that a patent we in-license is invalid or unenforceable, in whole or in part, and that we do not have the right to stop the other party from using the invention at issue. There is also a risk that, even if the validity of such patents are upheld, the court will construe the patent’s claims narrowly or decide that we do not have the right to stop the other party from using the invention at issue on the grounds that our in-licensed patents do not cover the invention. An adverse outcome in a litigation or proceeding involving our in-licensed patents could limit our ability to assert our in-licensed patents against those parties or other competitors and may curtail or preclude our ability to exclude third parties from making and selling similar or competitive products. Similarly, in the future, we expect to rely on trademarks to distinguish epetraborole and any of our other product candidates that are approved for marketing, and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81" w:lineRule="exact"/>
        <w:rPr>
          <w:sz w:val="20"/>
          <w:szCs w:val="20"/>
          <w:color w:val="auto"/>
        </w:rPr>
      </w:pPr>
    </w:p>
    <w:p>
      <w:pPr>
        <w:ind w:firstLine="584"/>
        <w:spacing w:after="0" w:line="238" w:lineRule="auto"/>
        <w:rPr>
          <w:sz w:val="20"/>
          <w:szCs w:val="20"/>
          <w:color w:val="auto"/>
        </w:rPr>
      </w:pPr>
      <w:r>
        <w:rPr>
          <w:rFonts w:ascii="Arial" w:cs="Arial" w:eastAsia="Arial" w:hAnsi="Arial"/>
          <w:sz w:val="18"/>
          <w:szCs w:val="18"/>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there can be no assurance that we will have sufficient financial or other resources to adequately file and pursue such infringement claims, which typically last for years before they are concluded. Some of our competitors and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 which could have a material adverse effect on our business, financial condition, results of operations and growth prospects.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57" w:name="page58"/>
    <w:bookmarkEnd w:id="57"/>
    <w:p>
      <w:pPr>
        <w:spacing w:after="0" w:line="278"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significantly harm our business.</w:t>
      </w:r>
    </w:p>
    <w:p>
      <w:pPr>
        <w:spacing w:after="0" w:line="31"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commercial success depends, in part, on our ability to develop, manufacture, market and sell epetraborole or other product candidates and use our proprietary chemistry technology without infringing, misappropriating or otherwise violating the intellectual property of third parties. Numerous third-party U.S. and non-U.S. issued patents exist in the area of antibacterial treatment, including compounds, formulations, treatment methods, and synthetic processes that may be applied towards the synthesis of antibiotics. If any such patents of third parties cover our product candidates or technologies, we may not be free to manufacture or market our product candidates as planned.</w:t>
      </w:r>
    </w:p>
    <w:p>
      <w:pPr>
        <w:spacing w:after="0" w:line="176"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Third parties may assert claims against us based on existing or future intellectual property rights. The outcome of intellectual property litigation is subject to uncertainties that cannot be adequately quantified in advance.</w:t>
      </w:r>
    </w:p>
    <w:p>
      <w:pPr>
        <w:spacing w:after="0" w:line="176"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If we are found to have infringed, misappropriated, or otherwise violated any third party’s intellectual property rights, we could be forced, including by court order, to cease developing, manufacturing, or commercializing epetraborole or other product candidates. Alternatively, we may be required to obtain a license from such third party in order to use technology and continue developing, manufacturing or marketing product candidates that infringe or violate such third party’s intellectual property. However, we may not be able to obtain any such required license on commercially reasonable terms or at all. Even if we were able to obtain a license, it could be non-exclusive, thereby giving our competitors access to the same technologies licensed to us. We may also be required to pay substantial ongoing royalty or license payments or fees or comply with other unfavorable terms. In addition, we could be found liable for monetary damages, including treble damages and attorneys’ fees if we are found to have willfully infringed a patent or other intellectual property right. A finding of infringement could prevent us from commercializing epetraborole or other product candidates or force us to cease some of our business operations. Claims that we have misappropriated the confidential information or trade secrets of third parties could have a similar negative effect on our business. Even if we were to prevail in such a dispute, any litigation regarding our intellectual property could be costly and time-consuming and divert the attention of our management and key personnel from our business operations. Furthermore, because of the substantial amount of discovery required in connection with intellectual property litigation, there is a risk that some of our confidential information could be compromised by disclosure during this type of litigation. During the course of litigation, there could be public announcements or the results of hearings, motions or other interim proceedings or developments. If securities analysts or investors perceive these results to be negative, it could have a substantial adverse effect on the price of our common stock. Negative publicity related to a decision by us to initiate such enforcement actions against a customer or former customer, regardless of its accuracy, may adversely impact our other customer relationships or prospective customer relationships, harm our brand and business and could cause the market price of our common stock to decline. Any of the foregoing arising from uncertainty in legal proceedings could materially and adversely impact our business, financial condition, results of operations and growth prospects.</w:t>
      </w:r>
    </w:p>
    <w:p>
      <w:pPr>
        <w:spacing w:after="0" w:line="305"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consultants, and advisors have misappropriated their intellectual property or claiming ownership of what we regard as our own intellectual property.</w:t>
      </w:r>
    </w:p>
    <w:p>
      <w:pPr>
        <w:spacing w:after="0" w:line="31"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Many of our employees, consultants and advisors were previously employed at universities or other biotechnology or pharmaceutical companies, including our competitors or potential competitors. Although we try to ensure that our employees, consultants and advisors do not use the proprietary information or know-how of third parties in their work for us, we may be subject to claims that we or such employees, consultants and advisors have inadvertently or otherwise used or disclosed intellectual property, including trade secrets or other proprietary information, of any such individual’s former employer. We may also in the future be subject to claims that we have caused an employee to breach the terms of his or her non-competition or non-solicitation agreement. Litigation may be necessary to defend against these potential claims.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58" w:name="page59"/>
    <w:bookmarkEnd w:id="58"/>
    <w:p>
      <w:pPr>
        <w:ind w:right="60" w:firstLine="509"/>
        <w:spacing w:after="0" w:line="242"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such employees and contractors may breach the agreement and claim the developed intellectual property as their own. Further, we may be unsuccessful in executing such agreements with each party who, in fact, conceives, or develops intellectual property that we regard as our own. The assignment of intellectual property rights may not be self-executing and we may be forced to bring claims against third parties, or defend claims that they may bring against us, to determine the ownership of what we regard as our intellectual property.</w:t>
      </w:r>
    </w:p>
    <w:p>
      <w:pPr>
        <w:spacing w:after="0" w:line="17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court could prohibit us from using technologies or features that are essential to epetraborole or other product candidates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 candidates. Any of the foregoing could have a material adverse impact on our business, financial condition, results of operations and growth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0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product candidates. Once we select trademarks and apply to register them, our trademark applications may not be approved. Third parties who have prior rights to our trademarks or third parties who have prior rights to similar trademarks may oppose our trademark applications, or otherwise challenge our use of the trademarks. In the event that our trademarks are successfully challenged, we could be forced to rebrand our product candidates, which could result in loss of brand recognition and could require us to devote resources to advertising and marketing new brands. At times, competitors may adopt trade names or trademarks similar to ours, thereby diluting or impeding our ability to build brand identity and possibly leading to market confusion. Our competitors may infringe our trademarks and we may not have adequate resources to enforce our trademarks and may not be able to prevent such third parties from using and marketing any such trademarks.</w:t>
      </w:r>
    </w:p>
    <w:p>
      <w:pPr>
        <w:spacing w:after="0" w:line="180"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addition, any proprietary name we propose to use with epetraborole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If we are unable to establish name recognition based on our trademarks, we may not be able to compete effectively and our business, financial condition, results of operations and growth prospects may be adversely affected.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9" w:name="page60"/>
    <w:bookmarkEnd w:id="59"/>
    <w:p>
      <w:pPr>
        <w:ind w:right="60"/>
        <w:spacing w:after="0" w:line="309" w:lineRule="auto"/>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know-how and trade secrets, the value of epetraborole or other product candidates could be adversely affected and our business and competitive position would be harmed.</w:t>
      </w:r>
    </w:p>
    <w:p>
      <w:pPr>
        <w:spacing w:after="0" w:line="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addition to seeking patent protection for epetraborole or other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agreements may be inadequate to protect our proprietary and intellectual property rights. Despite these efforts, any of these parties may breach the agreements and disclose our proprietary information, including our trade secrets. In addition, we may not be able to obtain adequate remedies for any such breaches. Although we use reasonable efforts to protect this proprietary information and technology, we also cannot guarantee that we have entered into such agreements with each party that may have or have had access to our confidential information, know-how, trade secrets or other proprietary information or each individual who has developed intellectual property on our behalf. Monitoring unauthorized uses and disclosures of our intellectual property is difficult, and we do not know whether the steps we have taken to protect our intellectual property will be effective. Enforcing a claim that a party illegally disclosed or misappropriated a trade secret is difficult, expensive, distracting to management, and time-consuming, and the outcome is unpredictable and varied depending on the jurisdiction. In addition, some courts inside and outside the United States, in countries in which we operate or intend to operate, are less willing, or unwilling, to protect trade secrets, know-how and other proprietary information. Any claims or litigation could cause us to incur significant expenses. Some third parties may be able to sustain the costs of complex litigation more effectively than we can because they have substantially greater resources.</w:t>
      </w:r>
    </w:p>
    <w:p>
      <w:pPr>
        <w:spacing w:after="0" w:line="18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employees, consultants, and other parties may unintentionally or willfully disclose our information or technology to competitors and there can be no assurance that the legal protections and precaution taken by us will be adequate to prevent misappropriation of our technology or that competitors will not independently develop technologies equivalent or superior to ours. Trade secrets and know-how can be difficult to protect. Our competitors or other third parties may independently develop knowledge, methods and know-how equivalent to our trade secrets. Additionally, competitors could purchase our product candidates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from using that technology or information to compete with us. If any of our trade secrets were to be disclosed to or independently developed by a competitor, our competitive position would be harmed, which could have a material adverse effect on our business, financial condition, results of operations and growth prospects.</w:t>
      </w:r>
    </w:p>
    <w:p>
      <w:pPr>
        <w:spacing w:after="0" w:line="290"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If we or our licensors do not obtain patent term extension and data exclusivity for any product candidates we or our licensors may develop, our business may be materially harmed.</w:t>
      </w:r>
    </w:p>
    <w:p>
      <w:pPr>
        <w:spacing w:after="0" w:line="3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we license or may own in the future protecting such candidates might expire before or shortly after such candidates are commercialized. As a result, our intellectual property may not provide us with sufficient rights to exclude others from commercializing products similar or identical to our product candidates. Depending upon the timing, duration, and specifics of any FDA approval of any of our product candidates, one or more of our in-licensed U.S. patents may be eligible for limited patent term extension under the Drug Price Competition and Patent Term Restoration Action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growth prospects could be materially harmed.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60" w:name="page61"/>
    <w:bookmarkEnd w:id="60"/>
    <w:p>
      <w:pPr>
        <w:ind w:right="52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5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 applications will be due to be paid to the USPTO and various government patent agencies outside of the United States over the lifetime of our owned or in-licensed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or our licensors may not be able to obtain patent protection for certain licensed technology outside the United States. In addition, the laws of some foreign countries do not protect intellectual property rights to the same extent as federal and state laws in the United States, even in jurisdictions where we or our licensors do pursue patent protection. Consequently, we may not be able to prevent third parties from practicing our in-licensed inventions in all countries outside the United States, even in jurisdictions where our licensors do pursue patent protection or from selling or importing products made using our inventions in and into the United States or other jurisdictions.</w:t>
      </w:r>
    </w:p>
    <w:p>
      <w:pPr>
        <w:spacing w:after="0" w:line="180"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Competitors may use our technologies in jurisdictions where we or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epetraborole, our other product candidates and our preclinical programs. Our in-licensed patents or other intellectual property rights may not be effective or sufficient to prevent them from competing.</w:t>
      </w:r>
    </w:p>
    <w:p>
      <w:pPr>
        <w:spacing w:after="0" w:line="17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in-licensed patents, if pursued and obtained, or the marketing of competing products in violation of our proprietary rights generally. Proceedings to enforce our patent rights in foreign jurisdictions could result in substantial costs and divert our efforts and attention from other aspects of our business, could put our in-licensed patents at risk of being invalidated or interpreted narrowly and our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0"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growth prospects may be adversely affected.</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1"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Regulatory Approval of Epetraborole and Our Other Product Candidates and Other Legal Compliance Matters</w:t>
      </w:r>
    </w:p>
    <w:p>
      <w:pPr>
        <w:spacing w:after="0" w:line="106"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we will not be able to commercialize epetraborole or our other product candidates, and our ability to generate revenue will be materially impaired.</w:t>
      </w:r>
    </w:p>
    <w:p>
      <w:pPr>
        <w:spacing w:after="0" w:line="3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Epetraborole and our other product candidates and the activities associated with their development and commercialization, including their design, testing, manufacture, safety, efficacy, record-keeping, labeling, storage, approval, advertising, promotion, sale, import, export and distribution, are subject to comprehensive regulation by the FDA and other regulatory agencies in the United States and by comparable foreign regulatory authorities, with regulations differing from country to country. Failure to obtain regulatory approval for a product candidate will prevent us from commercializing the product candidate. We currently do not have any products approved for sale in any jurisdiction. For example, we are not permitted to market any product candidate in the United States until we receive regulatory approval of an NDA from the FDA. We as a company only have limited experience in filing and supporting the applications necessary to gain regulatory approvals and may rely on third-party contract research organizations to assist us in this process.</w:t>
      </w:r>
    </w:p>
    <w:p>
      <w:pPr>
        <w:spacing w:after="0" w:line="18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Approval policies, regulations, or the type and amount of clinical data necessary to gain approval may change during the course of a product candidate’s clinical development. For instance, changes to leadership and the reorganization and rededication of critical resources at the FDA and within similar governmental health authorities across the world, may impact the ability of new products and services from being developed or commercialized in a timely manner. Regulations and requirements vary among jurisdictions, including in Japan and Europe. For instance, we met with the PMDA and gained alignment on the use of a microbiological primary endpoint to support registration in Japan. We have not obtained regulatory approval for any product candidate, and it is possible that epetraborole and any product candidates we may seek to develop in the future will never obtain regulatory approval. We are not permitted to market any product candidate in the United States until we receive regulatory approval of an NDA from the FDA.</w:t>
      </w:r>
    </w:p>
    <w:p>
      <w:pPr>
        <w:spacing w:after="0" w:line="18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have not sought or obtained regulatory approval for any product candidate, and it is possible that epetraborole and any product candidates we may seek to develop in the future will never obtain regulatory approval. In order to obtain approval to commercialize a product candidate in the United States or abroad, we or our collaborators must demonstrate to the satisfaction of the FDA or foreign regulatory agencies, that such product candidates are safe and effective for their intended uses. Results from nonclinical studies and clinical trials can be interpreted in different ways. Even if we believe that the nonclinical or clinical data for a product candidate is promising, such data may not be sufficient to support approval by the FDA and other regulatory authorities. The FDA may also require us to conduct additional nonclinical studies or clinical trials for product candidates either prior to or post-approval, and it may otherwise object to elements of our clinical development program.</w:t>
      </w:r>
    </w:p>
    <w:p>
      <w:pPr>
        <w:spacing w:after="0" w:line="180"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FDA or any foreign regulatory bodies can delay, limit or deny approval of epetraborole or other product candidates or require us to conduct additional nonclinical or clinical testing or abandon a program for many reasons, including:</w:t>
      </w:r>
    </w:p>
    <w:p>
      <w:pPr>
        <w:spacing w:after="0" w:line="46"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disagreement with the design or implementation of our clinical trials;</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46"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negative or ambiguous results from our clinical trials or results that may not meet the level of statistical significance required by the FDA or comparable foreign regulatory agencies for approval (for example, otherwise positive epetraborole results may be called into question if patient reported outcomes introduce ambiguity due to factors such as co-morbidities and other underlying patient issues);</w:t>
      </w:r>
    </w:p>
    <w:p>
      <w:pPr>
        <w:spacing w:after="0" w:line="68"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w:t>
      </w:r>
    </w:p>
    <w:p>
      <w:pPr>
        <w:spacing w:after="0" w:line="4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may not be sufficiently broad or representative to assure safety in the full populations for which we seek approval;</w:t>
      </w:r>
    </w:p>
    <w:p>
      <w:pPr>
        <w:spacing w:after="0" w:line="4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demonstrate to the satisfaction of the FDA or the applicable foreign regulatory body that our product candidates are safe and effective for the proposed indication;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disagreement with the interpretation of data from nonclinical studies or clinical trials;</w:t>
      </w:r>
    </w:p>
    <w:p>
      <w:pPr>
        <w:spacing w:after="0" w:line="116" w:lineRule="exact"/>
        <w:rPr>
          <w:rFonts w:ascii="Times New Roman" w:cs="Times New Roman" w:eastAsia="Times New Roman" w:hAnsi="Times New Roman"/>
          <w:sz w:val="18"/>
          <w:szCs w:val="18"/>
          <w:color w:val="auto"/>
        </w:rPr>
      </w:pPr>
    </w:p>
    <w:p>
      <w:pPr>
        <w:ind w:left="1020" w:right="44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demonstrate the clinical and other benefits of our product candidates outweigh any safety or other perceived risks;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for additional nonclinical studies or clinical trials;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2" w:name="page63"/>
    <w:bookmarkEnd w:id="62"/>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disagreement regarding the formulation, labeling, and/or the specifications we propose for our product candidates;</w:t>
      </w:r>
    </w:p>
    <w:p>
      <w:pPr>
        <w:spacing w:after="0" w:line="116" w:lineRule="exact"/>
        <w:rPr>
          <w:rFonts w:ascii="Times New Roman" w:cs="Times New Roman" w:eastAsia="Times New Roman" w:hAnsi="Times New Roman"/>
          <w:sz w:val="18"/>
          <w:szCs w:val="18"/>
          <w:color w:val="auto"/>
        </w:rPr>
      </w:pPr>
    </w:p>
    <w:p>
      <w:pPr>
        <w:ind w:left="1020" w:right="40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approval may be granted only for indications that are significantly more limited than those sought by us, and/or may include significant restrictions on distribution and use;</w:t>
      </w:r>
    </w:p>
    <w:p>
      <w:pPr>
        <w:spacing w:after="0" w:line="4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deficiencies in the manufacturing processes or facilities of the third-party manufacturers with which we contract for clinical and commercial supplies;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refusals by regulators to accept a submission due to, among other reasons, the content or formatting of the submission;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 policies, requirements, or regulations rendering our clinical data insufficient for approval.</w:t>
      </w:r>
    </w:p>
    <w:p>
      <w:pPr>
        <w:spacing w:after="0" w:line="22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Of the large number of drugs in development, only a small percentage complete the FDA or foreign regulatory approval processes and are successfully commercialized. The lengthy review process as well as the unpredictability of future clinical trial results may result in our failing to obtain regulatory approval, which would significantly harm our business, financial condition, results of operations and growth prospects.</w:t>
      </w:r>
    </w:p>
    <w:p>
      <w:pPr>
        <w:spacing w:after="0" w:line="17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Even if we eventually receive approval of an NDA or foreign marketing application for our product candidates, the FDA, or the applicable foreign regulatory agency may grant approval contingent on the performance of costly additional clinical trials, often referred to as Phase 4 clinical trials, and the FDA may require the implementation of a REMS, which may be required to ensure safe use of the drug after approval. The FDA or the applicable foreign regulatory agency also may approve a product candidate for a more limited indication or patient population than we originally requested, and the FDA or applicable foreign regulatory agency may not approve the labeling that we believe is necessary or desirable for the successful commercialization of a product candidate. Any delay in obtaining, or inability to obtain, applicable regulatory approval would delay or prevent commercialization of that product candidate and would materially adversely impact our business and prospects.</w:t>
      </w:r>
    </w:p>
    <w:p>
      <w:pPr>
        <w:spacing w:after="0" w:line="2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prevent new or modified products from being developed, review, approved or commercialized in a timely manner or at all, which could negatively impact our business.</w:t>
      </w:r>
    </w:p>
    <w:p>
      <w:pPr>
        <w:spacing w:after="0" w:line="5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75"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Separately, in response to the COVID-19 pandemic, the FDA postponed most inspections at domestic and foreign manufacturing facilities at various points. Even though the FDA has since resumed standard inspection operations, any resurgence of the virus may lead to other inspectional or administrative delays. If a prolonged government shutdown occurs, or if global health concerns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3" w:name="page64"/>
    <w:bookmarkEnd w:id="63"/>
    <w:p>
      <w:pPr>
        <w:ind w:right="460"/>
        <w:spacing w:after="0" w:line="278"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designations for any product candidates, and we may be unable to take advantage of the benefits associated with orphan drug designation, including the potential for market exclusivity.</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of 1983, the FDA may designate a product as an orphan product if it is intended to treat a rare disease or condition, which is generally defined as a diagnosed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Similar laws exist in Europe and Japan. The European Commission may grant a product orphan medicinal product designation if the product is intended for the treatment, prevention or diagnosis of a life-threatening or very serious condition, with a prevalence in the European Union of not more than five in 10,000 people, and where either no satisfactory method of diagnosis, prevention or treatment of the condition in question exists, or if such method exists that the medicinal product will be of significant benefit to those affected by that condition.</w:t>
      </w:r>
    </w:p>
    <w:p>
      <w:pPr>
        <w:spacing w:after="0" w:line="183"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As part of our business strategy, we sought and have received orphan drug designation from the FDA and orphan medicinal product designation from the European Commission for epetraborole for the treatment of infections caused by NTM, and we may seek additional orphan designations for epetraborole or our other product candidates; however, we may not be able to maintain this status. There can be no assurance that the FDA or European Commission will grant any orphan drug designations. We may also seek orphan drug designation for other product candidates, and we may be unsuccessful in obtaining this designation.</w:t>
      </w:r>
    </w:p>
    <w:p>
      <w:pPr>
        <w:spacing w:after="0" w:line="176"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towards clinical trial costs, tax advantages, and user-fee waivers. In addition, if a product candidate that has orphan drug designation subsequently receives the first FDA approval for the disease or condition for which it has such designation, it is entitled to orphan drug exclusivity, which means that the FDA may not approve any other applications, including an NDA, to market the same drug for the same disease or condition for seven years, except in limited circumstances, such as a showing of clinical superiority to the product with orphan drug exclusivity or where the manufacturer is unable to assure sufficient product quantity.</w:t>
      </w:r>
    </w:p>
    <w:p>
      <w:pPr>
        <w:spacing w:after="0" w:line="179"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More than one product may be approved by the FDA for the same orphan disease or condition, as long as the products are different drugs, as determined by the FDA. As a result, even though we have obtained orphan drug designation from the FDA for epetraborole for the treatment of infections caused by NTM, even if epetraborole is approved by the FDA and receives orphan drug exclusivity, absent other applicable exclusivities, the FDA can still approve other drugs for use in treating the same indication or disease covered by epetraborole, which could create a more competitive market for us. The failure to successfully obtain orphan drug exclusivity would adversely affect our business.</w:t>
      </w:r>
    </w:p>
    <w:p>
      <w:pPr>
        <w:spacing w:after="0" w:line="17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different drugs can be approved for the same disease or condition. Even after an orphan drug is approved, the FDA or comparable foreign regulatory authority can subsequently approve the same drug for the same disease or condition if such regulatory authority concludes that the later drug is clinically superior if it is shown to be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64" w:name="page65"/>
    <w:bookmarkEnd w:id="64"/>
    <w:p>
      <w:pPr>
        <w:ind w:right="360"/>
        <w:spacing w:after="0" w:line="256" w:lineRule="auto"/>
        <w:rPr>
          <w:sz w:val="20"/>
          <w:szCs w:val="20"/>
          <w:color w:val="auto"/>
        </w:rPr>
      </w:pPr>
      <w:r>
        <w:rPr>
          <w:rFonts w:ascii="Arial" w:cs="Arial" w:eastAsia="Arial" w:hAnsi="Arial"/>
          <w:sz w:val="18"/>
          <w:szCs w:val="18"/>
          <w:b w:val="1"/>
          <w:bCs w:val="1"/>
          <w:i w:val="1"/>
          <w:iCs w:val="1"/>
          <w:color w:val="auto"/>
        </w:rPr>
        <w:t>Designation of any of our product candidates as a Qualified Infectious Disease Product (“QIDP”) may not actually lead to faster development or regulatory review or other benefits, and does not assure FDA approval of any product candidates which may receive such designation.</w:t>
      </w:r>
    </w:p>
    <w:p>
      <w:pPr>
        <w:spacing w:after="0" w:line="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Generating Antibiotic Incentives Now (the “GAIN Act”) established certain programs intended to incentivize the development of antibacterial and antifungal drugs for human use to treat serious or life-threatening infections. Specifically, pursuant to the GAIN Act, the FDA may designate certain antimicrobial products as QIDPs, which provides sponsors with certain benefits during the development and review process. In December 2021, the FDA granted QIDP designation to epetraborole for treatment-refractory MAC lung disease. A QIDP is defined as an antibacterial or antifungal drug, including a biological product, for human use that acts on bacteria or fungi, or on substances produced by such bacteria or fungi, and is intended to treat serious or life-threatening infections, including those caused by either (1) an antibacterial or antifungal resistant pathogen, including novel or emerging infectious pathogens, or (2) a so-called “qualifying pathogen” found on a list of potentially dangerous, drug-resistant organisms established and maintained by the FDA under the GAIN Act. The FDA has interpreted QIDP designation to apply to a specific drug product, including a specific dosage form of the product, and the FDA does not apply the designation to the drug substance in general or beyond the specified indications identified in the designation. The benefits of QIDP designation include eligibility for Fast Track designation, priority review of a submitted marketing application, and an extension by an additional five years of any non-patent exclusivity period awarded, such as a five-year exclusivity period awarded for a new chemical entity. This extension is in also addition to any pediatric exclusivity extension that may be awarded. A sponsor must request such designation before submitting a marketing application, and the FDA will respond to a request for QIDP designation within 60 days of the date the FDA receives the request. Receipt of QIDP designation does not assure ultimate approval by the FDA or related GAIN Act exclusivity benefits.</w:t>
      </w:r>
    </w:p>
    <w:p>
      <w:pPr>
        <w:spacing w:after="0" w:line="80"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Under the GAIN Act, the FDA may only revoke a QIDP designation if the request for such designation contained an untrue statement of material fact. While we believe that our request for our QIDP designation did not contain any untrue statement of material fact, if the FDA were to seek to revoke our QIDP designation for epetraborole, and if FDA were successful in doing so, we would not obtain the GAIN Act exclusivity benefits for epetraborole, which could have a material, adverse effect on our business prospects. Obtaining a QIDP designation does not change the standards for product approval but may expedite the development or approval process. Accordingly, such QIDP designations may not actually result in faster clinical development or regulatory review or approval.</w:t>
      </w:r>
    </w:p>
    <w:p>
      <w:pPr>
        <w:spacing w:after="0" w:line="289" w:lineRule="exact"/>
        <w:rPr>
          <w:sz w:val="20"/>
          <w:szCs w:val="20"/>
          <w:color w:val="auto"/>
        </w:rPr>
      </w:pPr>
    </w:p>
    <w:p>
      <w:pPr>
        <w:ind w:right="980"/>
        <w:spacing w:after="0" w:line="278" w:lineRule="auto"/>
        <w:rPr>
          <w:sz w:val="20"/>
          <w:szCs w:val="20"/>
          <w:color w:val="auto"/>
        </w:rPr>
      </w:pPr>
      <w:r>
        <w:rPr>
          <w:rFonts w:ascii="Arial" w:cs="Arial" w:eastAsia="Arial" w:hAnsi="Arial"/>
          <w:sz w:val="18"/>
          <w:szCs w:val="18"/>
          <w:b w:val="1"/>
          <w:bCs w:val="1"/>
          <w:i w:val="1"/>
          <w:iCs w:val="1"/>
          <w:color w:val="auto"/>
        </w:rPr>
        <w:t>We have received Fast Track designation from the FDA, but receipt of such designation may not actually lead to a faster development, regulatory review, or approval process, and does not assure ultimate FDA approval.</w:t>
      </w:r>
    </w:p>
    <w:p>
      <w:pPr>
        <w:spacing w:after="0" w:line="31"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We received Fast Track designation from the FDA to investigate epetraborole for treatment-refractory MAC lung disease, and we may seek additional Fast Track designations for our product candidates or for epetraborole in other indications.</w:t>
      </w:r>
    </w:p>
    <w:p>
      <w:pPr>
        <w:spacing w:after="0" w:line="15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If a product candidate is intended for the treatment of a serious or life-threatening condition and the product demonstrates the potential to address unmet medical needs for this condition, the product sponsor may apply for Fast Track designation.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spacing w:after="0" w:line="18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TFDA has broad discretion whether or not to grant this designation, so even if we believe a particular product candidate is eligible for this designation, we cannot assure you that the FDA would decide to grant it. Even though we have received Fast Track designation to develop epetraborole in treatment-refractory MAC lung disease, and even if we receive Fast Track designation for other product candidates or indications, we may not experience a faster development process, review, or approval compared to conventional FDA procedures and does not assure ultimate approval by the FDA. The FDA may withdraw Fast Track designation if it believes that the designation is no longer supported by data from our clinical development program. Many product candidates that have received Fast Track Designation have ultimately failed to obtain approval.</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65" w:name="page66"/>
    <w:bookmarkEnd w:id="65"/>
    <w:p>
      <w:pPr>
        <w:spacing w:after="0" w:line="256" w:lineRule="auto"/>
        <w:rPr>
          <w:sz w:val="20"/>
          <w:szCs w:val="20"/>
          <w:color w:val="auto"/>
        </w:rPr>
      </w:pPr>
      <w:r>
        <w:rPr>
          <w:rFonts w:ascii="Arial" w:cs="Arial" w:eastAsia="Arial" w:hAnsi="Arial"/>
          <w:sz w:val="18"/>
          <w:szCs w:val="18"/>
          <w:b w:val="1"/>
          <w:bCs w:val="1"/>
          <w:i w:val="1"/>
          <w:iCs w:val="1"/>
          <w:color w:val="auto"/>
        </w:rPr>
        <w:t>We may seek FDA approval using the limited-population antibacterial drug (“LPAD”) pathway. We may not be able to obtain or maintain LPAD designations for epetraborole and/or any future candidates, and we may be unable to take advantage of the benefits associated with LPAD designation.</w:t>
      </w:r>
    </w:p>
    <w:p>
      <w:pPr>
        <w:spacing w:after="0" w:line="51"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may seek FDA approval for epetraborole using the LPAD pathway, through which the FDA may review and approve new antibacterial drugs to treat serious bacterial diseases in patients with an unmet medical need and for which effective antibacterial drugs are limited or lacking. Specifically, under Section 506(h)(1) of the Federal Food, Drug, and Cosmetic Act (“FDCA”), the FDA may approve an antibacterial or anti-fungal drug, alone or in combination with one or more other drugs under the LPAD pathway. For FDA to approve a drug under the LPAD pathway, the drug must be intended to treat a serious or life-threatening infection in a limited population of patients with unmet needs, the FDA’s traditional standards for approval must be otherwise met and the FDA must receive a written request from the sponsor to approve the drug as a limited population drug. By pursuing this pathway, we may be able to conduct a more streamlined development program, including the potential to seek approval using smaller, shorter or fewer clinical trials than would otherwise be required to pursue approval within a broader patient population. If our ongoing Phase 2/3 clinical trial of epetraborole is successful, we may submit an NDA seeking approval under the LPAD pathway. However, there is a risk that the FDA may not agree that epetraborole qualifies for approval under the LPAD pathway, even if we believe the results from our Phase 2/3 clinical trial are sufficiently positive and warrant such approval, in which case we may be required to conduct additional clinical trials of epetraborole before we are able to seek approval, if ever. Any requirements for us to conduct additional clinical trials would increase our costs and have an adverse effect on our business. In addition, even if we are able to obtain approval for epetraborole under the LPAD pathway, the FDCA requires that drugs approved under the LPAD pathway include certain labeling statements that may limit the commercial potential of epetraborole, if approved.</w:t>
      </w:r>
    </w:p>
    <w:p>
      <w:pPr>
        <w:spacing w:after="0" w:line="29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We may attempt to seek accelerated approval in the United States for certain of our product candidates. If we are not able to use that pathway, we may be required to conduct additional clinical trials beyond those that are contemplated, which would increase the expense of obtaining, and delay the receipt of, necessary regulatory approvals, if we receive them at all. In addition, even if an accelerated approval pathway is available to us, it may not lead to expedited approval of our product candidates, or approval at all.</w:t>
      </w:r>
    </w:p>
    <w:p>
      <w:pPr>
        <w:spacing w:after="0" w:line="4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Under the FDCA and implementing regulations, the FDA may grant accelerated approval to a product candidate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measurement of a therapeutic effect that is considered reasonably likely to predict the clinical benefit of a drug.</w:t>
      </w:r>
    </w:p>
    <w:p>
      <w:pPr>
        <w:spacing w:after="0" w:line="7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clinical benefit. If such post-approval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FDA new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66" w:name="page67"/>
    <w:bookmarkEnd w:id="66"/>
    <w:p>
      <w:pPr>
        <w:ind w:firstLine="509"/>
        <w:spacing w:after="0" w:line="239"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or will otherwise evaluate ability to seek and receive accelerated approval. There can be no assurance that after our evaluation of the feedback and other factors we will decide to pursue or submit an NDA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2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Failure to obtain regulatory approval in foreign jurisdictions would prevent epetraborole or our other product candidates from being marketed in these territories. Any approval we are granted for our product candidates in the United States would not assure approval of our product candidates in foreign jurisdictions.</w:t>
      </w:r>
    </w:p>
    <w:p>
      <w:pPr>
        <w:spacing w:after="0" w:line="5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order to market and sell epetraborole or our other product candidates in Japan, the European Union, United Kingdom, other areas of Asia, Australia, and any other jurisdictions, we must obtain separate regulatory approvals and comply with numerous and varying regulatory requirements. The approval procedure varies among countries and can involve additional testing. The time required to obtain approval may differ substantially from that required to obtain approval from the FDA. The regulatory approval process outside the United States generally includes all of the risks associated with obtaining approval from the FDA.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data from clinical studies approved by the FDA may not be accepted by foreign regulatory agencies,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authorization and may not receive necessary approvals to commercialize our product candidates in any market.</w:t>
      </w:r>
    </w:p>
    <w:p>
      <w:pPr>
        <w:spacing w:after="0" w:line="293"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i w:val="1"/>
          <w:iCs w:val="1"/>
          <w:color w:val="auto"/>
        </w:rPr>
        <w:t>Even if we obtain regulatory approvals for epetraborole or any other product candidates, the terms of approvals and ongoing regulation of such product candidates may limit how we manufacture and market the product candidates and compliance with such requirements may involve substantial resources, which could materially impair our ability to generate revenue.</w:t>
      </w:r>
    </w:p>
    <w:p>
      <w:pPr>
        <w:spacing w:after="0" w:line="5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Even if regulatory approval of epetraborole or any other product candidates is granted, an approved product and its manufacturer and marketer are subject to ongoing review and extensive regulation, including with respect to the manufacturing processes, labeling, packaging, distribution, adverse event reporting, storage, advertising, promotion, import, export and recordkeeping for the product. These requirements include submissions of safety and other post-marketing information and reports, registration, as well as ongoing compliance with cGMPs and GCPs for any clinical trials, In addition, manufacturers of approved products and those manufacturers’ facilities are required to comply with extensive FDA requirements including ensuring that quality control and manufacturing procedures conform to cGMP,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w:t>
      </w:r>
    </w:p>
    <w:p>
      <w:pPr>
        <w:spacing w:after="0" w:line="183" w:lineRule="exact"/>
        <w:rPr>
          <w:sz w:val="20"/>
          <w:szCs w:val="20"/>
          <w:color w:val="auto"/>
        </w:rPr>
      </w:pPr>
    </w:p>
    <w:p>
      <w:pPr>
        <w:ind w:right="220" w:firstLine="509"/>
        <w:spacing w:after="0" w:line="242" w:lineRule="auto"/>
        <w:rPr>
          <w:sz w:val="20"/>
          <w:szCs w:val="20"/>
          <w:color w:val="auto"/>
        </w:rPr>
      </w:pPr>
      <w:r>
        <w:rPr>
          <w:rFonts w:ascii="Arial" w:cs="Arial" w:eastAsia="Arial" w:hAnsi="Arial"/>
          <w:sz w:val="18"/>
          <w:szCs w:val="18"/>
          <w:color w:val="auto"/>
        </w:rPr>
        <w:t>Accordingly, assuming we receive regulatory approval for one or more product candidates, we and our contract manufacturers will continue to expend time, money, and effort in all areas of regulatory compliance.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71" w:lineRule="exact"/>
        <w:rPr>
          <w:sz w:val="20"/>
          <w:szCs w:val="20"/>
          <w:color w:val="auto"/>
        </w:rPr>
      </w:pPr>
    </w:p>
    <w:p>
      <w:pPr>
        <w:ind w:left="1020" w:right="70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fines, restitutions, disgorgement of profits or revenues, warning letters, untitled letters or holds on clinical trials;</w:t>
      </w:r>
    </w:p>
    <w:p>
      <w:pPr>
        <w:spacing w:after="0" w:line="116" w:lineRule="exact"/>
        <w:rPr>
          <w:rFonts w:ascii="Times New Roman" w:cs="Times New Roman" w:eastAsia="Times New Roman" w:hAnsi="Times New Roman"/>
          <w:sz w:val="18"/>
          <w:szCs w:val="18"/>
          <w:color w:val="auto"/>
        </w:rPr>
      </w:pPr>
    </w:p>
    <w:p>
      <w:pPr>
        <w:ind w:left="1020" w:right="600" w:hanging="503"/>
        <w:spacing w:after="0" w:line="270"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submitted, or suspension or revocation of approvals;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seizures or detentions, or refusal to permit the import or export of our products;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5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210"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FDA and other regulatory authorities strictly regulates marketing, labeling, advertising and promotion of prescription drugs. These regulations include standards and restrictions for direct-to-consumer advertising, industry-sponsored scientific and educational activities, and promotional activities involving the internet and off-label promotion. For example, any regulatory approval that the FDA grants is limited to those specific diseases and indications for which a product is deemed to be safe and effective by FDA. 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any products will be narrowly limited to those indications that are specifically approved by the FDA.</w:t>
      </w:r>
    </w:p>
    <w:p>
      <w:pPr>
        <w:spacing w:after="0" w:line="185"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product candidates, if approved, we could become subject to significant liability, which would materially adversely affect our business, financial condition, results of operations and growth prospects.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right="520"/>
        <w:spacing w:after="0" w:line="278"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31"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We are exposed to the risk of employee fraud or other misconduct or failure to comply with applicable regulatory requirements. Misconduct, errors, or omissions by employees and independent contractors, such as principal investigators, CROs, consultants, commercial partners, and vendors, could include failures to comply with regulations of the FDA, the PMDA and other comparable regulatory authorities, to provide accurate information to such regulators, to comply with manufacturing standards we have established, to comply with healthcare fraud and abuse laws, to report financial information or data accurately, to disclose unauthorized activities to us, or to comply with requirements of government contracts (e.g., the September 2022 NIAID contract).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w:t>
      </w:r>
    </w:p>
    <w:p>
      <w:pPr>
        <w:spacing w:after="0" w:line="304"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b w:val="1"/>
          <w:bCs w:val="1"/>
          <w:i w:val="1"/>
          <w:iCs w:val="1"/>
          <w:color w:val="auto"/>
        </w:rPr>
        <w:t>If we successfully commercialize epetraborole or one of our other product candidates, failure to comply with our reporting and payment obligations under U.S. governmental pricing programs could have a material adverse effect on our business, financial condition, results of operations and growth prospects.</w:t>
      </w:r>
    </w:p>
    <w:p>
      <w:pPr>
        <w:spacing w:after="0" w:line="5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If we participate in the Medicaid Drug Rebate Program and/or Medicare Part D, if and when we successfully commercialize a product candidate, we will be required to report certain pricing information for such product candidate to the Centers for Medicare &amp; Medicaid Services, the federal agency that administers the Medicaid and Medicare programs. We may also be required to report pricing information to the U.S. Department of Veterans Affairs. If we become subject to these reporting requirements, we will be liable for errors associated with our submission of pricing data, for failure to report pricing data in a timely manner, and for overcharging government payers, which can result in civil monetary penalties under the Medicaid statute, the federal civil False Claims Act, and other laws and regulations.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69" w:name="page70"/>
    <w:bookmarkEnd w:id="69"/>
    <w:p>
      <w:pPr>
        <w:jc w:val="both"/>
        <w:ind w:right="60"/>
        <w:spacing w:after="0" w:line="278" w:lineRule="auto"/>
        <w:rPr>
          <w:sz w:val="20"/>
          <w:szCs w:val="20"/>
          <w:color w:val="auto"/>
        </w:rPr>
      </w:pPr>
      <w:r>
        <w:rPr>
          <w:rFonts w:ascii="Arial" w:cs="Arial" w:eastAsia="Arial" w:hAnsi="Arial"/>
          <w:sz w:val="17"/>
          <w:szCs w:val="17"/>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and other healthcare laws and regulations, which could expose us to penalties.</w:t>
      </w:r>
    </w:p>
    <w:p>
      <w:pPr>
        <w:spacing w:after="0" w:line="34"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product candidates for which we obtain regulatory approval. Our current and future arrangements with healthcare professionals, principal investigators, consultants, customers, and third-party payors may expose us to broadly applicable fraud and abuse and other healthcare laws that may constrain the business or financial arrangements and relationships through which we research, sell, market, and distribute any product candidates for which we obtain regulatory approval. In addition, we may be subject to physician payment transparency laws and regulations by the federal government and by the states and foreign jurisdictions in which we conduct our business. The applicable federal, state, and foreign healthcare laws that may affect our ability to operate include the following:</w:t>
      </w:r>
    </w:p>
    <w:p>
      <w:pPr>
        <w:spacing w:after="0" w:line="77" w:lineRule="exact"/>
        <w:rPr>
          <w:sz w:val="20"/>
          <w:szCs w:val="20"/>
          <w:color w:val="auto"/>
        </w:rPr>
      </w:pPr>
    </w:p>
    <w:p>
      <w:pPr>
        <w:ind w:left="1020" w:right="20" w:hanging="503"/>
        <w:spacing w:after="0" w:line="242"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 order, or the arranging for or recommending the purchase, lease or order of any good, facility, item or service, for which payment may be made, in whole or in part, under federal and state healthcare programs such as Medicare and Medicaid. A person or entity does not need to have actual knowledge of the federal Anti-Kickback Statute or specific intent to violate it in order to have committed a violation;</w:t>
      </w:r>
    </w:p>
    <w:p>
      <w:pPr>
        <w:spacing w:after="0" w:line="69" w:lineRule="exact"/>
        <w:rPr>
          <w:rFonts w:ascii="Times New Roman" w:cs="Times New Roman" w:eastAsia="Times New Roman" w:hAnsi="Times New Roman"/>
          <w:sz w:val="18"/>
          <w:szCs w:val="18"/>
          <w:color w:val="auto"/>
        </w:rPr>
      </w:pPr>
    </w:p>
    <w:p>
      <w:pPr>
        <w:ind w:left="1020" w:right="100" w:hanging="503"/>
        <w:spacing w:after="0" w:line="239"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federal civil and criminal false claims laws, including the federal False Claims Act, which impose criminal and civil penalties, including through civil whistleblower or qui tam actions, against individuals or entities for, among other things, knowingly presenting, or causing to be presented, to the federal government, including the Medicare and Medicaid programs, claims for payment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78" w:lineRule="exact"/>
        <w:rPr>
          <w:rFonts w:ascii="Times New Roman" w:cs="Times New Roman" w:eastAsia="Times New Roman" w:hAnsi="Times New Roman"/>
          <w:sz w:val="18"/>
          <w:szCs w:val="18"/>
          <w:color w:val="auto"/>
        </w:rPr>
      </w:pPr>
    </w:p>
    <w:p>
      <w:pPr>
        <w:jc w:val="both"/>
        <w:ind w:left="1020" w:right="260" w:hanging="503"/>
        <w:spacing w:after="0" w:line="252"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62"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59" w:lineRule="exact"/>
        <w:rPr>
          <w:rFonts w:ascii="Times New Roman" w:cs="Times New Roman" w:eastAsia="Times New Roman" w:hAnsi="Times New Roman"/>
          <w:sz w:val="17"/>
          <w:szCs w:val="17"/>
          <w:color w:val="auto"/>
        </w:rPr>
      </w:pPr>
    </w:p>
    <w:p>
      <w:pPr>
        <w:ind w:left="1020" w:right="120" w:hanging="503"/>
        <w:spacing w:after="0" w:line="242"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Payments Sunshine Act, which requires manufacturers of certain drugs, devices, biologicals, and medical supplies for which payment is available under Medicare, Medicaid or the Children’s Health Insurance Program (with certain exceptions) to report annually to the Centers for Medicare &amp; Medicaid Services (“CMMS”) information related to payments and “transfers of value” provided to physicians (defined to include doctors, dentists, optometrists, podiatrists, and chiropractors), certain other healthcare providers (such as nurse practitioners and physicians assistants) and teaching hospitals, as well as ownership and investment interests held by physicians and their immediate family members; and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70" w:name="page71"/>
    <w:bookmarkEnd w:id="70"/>
    <w:p>
      <w:pPr>
        <w:ind w:left="1020" w:right="60" w:hanging="503"/>
        <w:spacing w:after="0" w:line="239" w:lineRule="auto"/>
        <w:tabs>
          <w:tab w:leader="none" w:pos="102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local laws requiring the licensure of pharmaceutical sales representatives.</w:t>
      </w:r>
    </w:p>
    <w:p>
      <w:pPr>
        <w:spacing w:after="0" w:line="186"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 business, including future collaborators, are found not to be in compliance with applicable laws, they may be subject to criminal, civil, or administrative sanctions, including exclusions from participation in government healthcare programs, which could also affect our business.</w:t>
      </w:r>
    </w:p>
    <w:p>
      <w:pPr>
        <w:spacing w:after="0" w:line="287"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Changes in healthcare policies, laws, and regulations may impact our ability to obtain approval for, or commercialize epetraborole or our other product candidates, if approved.</w:t>
      </w:r>
    </w:p>
    <w:p>
      <w:pPr>
        <w:spacing w:after="0" w:line="31"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reforms of the healthcare system in an effort to contain costs, improve quality, and expand access to care. In the United States, there have been and continue to be a number of healthcare-related legislative initiatives, as well as executive, judicial, and Congressional challenges to existing healthcare laws that have significantly affected, and could continue to significantly affect, the healthcare industry. For example, on June 17, 2021, the U.S. Supreme Court dismissed a challenge on procedural grounds that argued the ACA is unconstitutional in its entirety because the “individual mandate” was repealed by Congress.</w:t>
      </w:r>
    </w:p>
    <w:p>
      <w:pPr>
        <w:spacing w:after="0" w:line="7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August 16, 2022, President Biden signed the Inflation Reduction Act of 2022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In addition,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the IRA, among other things (i) directs the U.S. Department of Health and Human Services (“HHS”) to negotiate the price of certain high-expenditure, single-source drugs and biologics covered under Medicare and (ii)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We expect that additional U.S. federal healthcare reform measures will be adopted in the future, any of which could limit the amounts that the U.S. federal government will pay for healthcare products and services, which could result in reduced demand for epetraborole or our other product candidates or additional pricing pressures.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ind w:right="20" w:firstLine="509"/>
        <w:spacing w:after="0" w:line="239" w:lineRule="auto"/>
        <w:rPr>
          <w:sz w:val="20"/>
          <w:szCs w:val="20"/>
          <w:color w:val="auto"/>
        </w:rPr>
      </w:pPr>
      <w:r>
        <w:rPr>
          <w:rFonts w:ascii="Arial" w:cs="Arial" w:eastAsia="Arial" w:hAnsi="Arial"/>
          <w:sz w:val="18"/>
          <w:szCs w:val="18"/>
          <w:color w:val="auto"/>
        </w:rPr>
        <w:t>At the state level, legislatures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Outside of the United States, particularly in the European Union, the pricing of prescription pharmaceuticals is subject to governmental control. In these countries, pricing negotiations with governmental authorities can take considerable time after the receipt of regulatory approval for a product. To obtain coverage and reimbursement or pricing approval in some countries, we may be required to conduct a clinical trial that compares the cost-effectiveness of epetraborole or our other product candidates to other available therapies. If reimbursement of our product candidates is unavailable or limited in scope or amount, or if pricing is set at unsatisfactory levels, our business could be harmed.</w:t>
      </w:r>
    </w:p>
    <w:p>
      <w:pPr>
        <w:spacing w:after="0" w:line="293"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We are subject to privacy and data security laws, rules, regulations, policies, industry standards, and contractual obligations, and our failure to comply with them could harm our business.</w:t>
      </w:r>
    </w:p>
    <w:p>
      <w:pPr>
        <w:spacing w:after="0" w:line="3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maintain a large quantity of information, including confidential business information and information related to our employees and may maintain or have responsibility for the maintenance of personal information in connection with the conduct of our clinical trials. As such, we are subject to laws and regulations governing the privacy and security of such information. In the United States, there are numerous federal and state privacy and data security laws and regulations governing the collection, use, disclosure, and protection of personal information that apply or could apply to our operations or the operations of our partners,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in particular in relation to health information, which may affect our business and is expected to increase our compliance costs and exposure to liability.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spacing w:after="0" w:line="18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Compliance with these and any other applicable privacy and data security laws, regulations and other requirements we may be subject to in the future is a rigorous and time-intensive process, and we may be required to put in place additional mechanisms ensuring compliance with such data protection rules. If we fail to comply with any such laws, regulations or other requirements, we may face significant fines and penalties that could adversely affect our business, financial condition, results of operations or growth prospects. Any failure or perceived failure by us or our third-party processors to comply with these data protection and privacy laws, regulations and requirements could result in significant government enforcement actions, which could include civil, criminal, and administrative penalties, orders requiring that we change our practices, claims for damages, and other liabilities, regulatory investigations and enforcement action, private litigation, significant costs (including in investigating and defending such claims, in remediation measures or changes to our operations), and adverse publicity, any of which could negatively affect our business, financial condition, results of operations and growth prospects. Furthermore, the laws are not consistent, and compliance in the event of a widespread data breach is costly. In addition, states are constantly adopting new laws or amending existing laws, requiring attention to frequently changing regulatory requirements.</w:t>
      </w:r>
    </w:p>
    <w:p>
      <w:pPr>
        <w:spacing w:after="0" w:line="18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With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rely on our CROs to ensure compliance with data-privacy regulations that may arise in our trials. Other than our website privacy policy,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and our business, financial condition, results of operations and growth prospects may be adversely affected.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2" w:name="page73"/>
    <w:bookmarkEnd w:id="72"/>
    <w:p>
      <w:pPr>
        <w:ind w:right="60"/>
        <w:spacing w:after="0" w:line="256"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w:t>
      </w:r>
    </w:p>
    <w:p>
      <w:pPr>
        <w:spacing w:after="0" w:line="16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may engage third parties to sell epetraborole or our other product candidates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5"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We are also subject to export control, import, and trade sanctions laws and regulations which may restrict or prohibit altogether the provision, sale, or supply of our product candidates to certain governments, persons, entities, countries, and territories, including those that are the target of comprehensive sanctions or an embargo. Obtaining the necessary export license or other authorization for a particular transaction may be time-consuming and may result in the delay or loss of sales opportunities. Violations of U.S. export control, import, or sanctions laws and regulations can result in significant fines or penalties and possible incarceration for responsible employees and managers.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6"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 and matters submitted to stockholders for approval.</w:t>
      </w:r>
    </w:p>
    <w:p>
      <w:pPr>
        <w:spacing w:after="0" w:line="3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Our executive officers, directors, and current beneficial owners of 5% or more of our capital stock and their respective affiliates beneficially own, in the aggregate, a significant percentage of our outstanding common stock. As a result, these persons, acting together, would be able to significantly influence all matters requiring stockholder approval, including the election and removal of directors, any merger, consolidation, or sale of all or substantially all of our assets, or other significant corporate transactions. In addition, these persons, acting together, may have the ability to control the management and affairs of our company. Accordingly, this concentration of ownership may harm the market price of our common stock by:</w:t>
      </w:r>
    </w:p>
    <w:p>
      <w:pPr>
        <w:spacing w:after="0" w:line="71"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delaying, deferring, or preventing a change in control;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entrenching our management and/or the board of directors ("Board");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24"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addition, some of these persons or entities may have interests different than yours. For example, because many of these stockholders purchased their shares at prices substantially below the price at which shares were sold in our IPO and have held their shares for a longer period, they may be more interested in selling our company to an acquirer than other investors, or they may want us to pursue strategies that deviate from the interests of other stockholders.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02"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73" w:name="page74"/>
    <w:bookmarkEnd w:id="73"/>
    <w:p>
      <w:pPr>
        <w:ind w:right="100" w:firstLine="509"/>
        <w:spacing w:after="0" w:line="247" w:lineRule="auto"/>
        <w:rPr>
          <w:sz w:val="20"/>
          <w:szCs w:val="20"/>
          <w:color w:val="auto"/>
        </w:rPr>
      </w:pPr>
      <w:r>
        <w:rPr>
          <w:rFonts w:ascii="Arial" w:cs="Arial" w:eastAsia="Arial" w:hAnsi="Arial"/>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66"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284" w:lineRule="exact"/>
        <w:rPr>
          <w:sz w:val="20"/>
          <w:szCs w:val="20"/>
          <w:color w:val="auto"/>
        </w:rPr>
      </w:pPr>
    </w:p>
    <w:p>
      <w:pPr>
        <w:ind w:right="280" w:firstLine="509"/>
        <w:spacing w:after="0" w:line="256"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Provisions in our amended and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w:t>
      </w:r>
    </w:p>
    <w:p>
      <w:pPr>
        <w:spacing w:after="0" w:line="77"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allow the authorized number of our directors to be changed only by resolution of our Board;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manner in which stockholders can remove directors from the Board;</w:t>
      </w:r>
    </w:p>
    <w:p>
      <w:pPr>
        <w:spacing w:after="0" w:line="11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w:t>
      </w:r>
    </w:p>
    <w:p>
      <w:pPr>
        <w:spacing w:after="0" w:line="4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limit who may call stockholder meetings;</w:t>
      </w:r>
    </w:p>
    <w:p>
      <w:pPr>
        <w:spacing w:after="0" w:line="116" w:lineRule="exact"/>
        <w:rPr>
          <w:rFonts w:ascii="Times New Roman" w:cs="Times New Roman" w:eastAsia="Times New Roman" w:hAnsi="Times New Roman"/>
          <w:sz w:val="18"/>
          <w:szCs w:val="18"/>
          <w:color w:val="auto"/>
        </w:rPr>
      </w:pPr>
    </w:p>
    <w:p>
      <w:pPr>
        <w:ind w:left="1020" w:right="60" w:hanging="503"/>
        <w:spacing w:after="0" w:line="252"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our Board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and</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5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more than 15%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4" w:name="page75"/>
    <w:bookmarkEnd w:id="74"/>
    <w:p>
      <w:pPr>
        <w:ind w:right="80"/>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including claims under the Securities Act, which could limit our stockholders’ ability to obtain a favorable judicial forum for disputes with us or our directors, officers or employees.</w:t>
      </w:r>
    </w:p>
    <w:p>
      <w:pPr>
        <w:spacing w:after="0" w:line="57"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w:t>
      </w:r>
    </w:p>
    <w:p>
      <w:pPr>
        <w:spacing w:after="0" w:line="46"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breach of fiduciary duty;</w:t>
      </w:r>
    </w:p>
    <w:p>
      <w:pPr>
        <w:spacing w:after="0" w:line="116" w:lineRule="exact"/>
        <w:rPr>
          <w:rFonts w:ascii="Times New Roman" w:cs="Times New Roman" w:eastAsia="Times New Roman" w:hAnsi="Times New Roman"/>
          <w:sz w:val="18"/>
          <w:szCs w:val="18"/>
          <w:color w:val="auto"/>
        </w:rPr>
      </w:pPr>
    </w:p>
    <w:p>
      <w:pPr>
        <w:ind w:left="1020" w:right="520" w:hanging="503"/>
        <w:spacing w:after="0" w:line="270" w:lineRule="auto"/>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or any of our directors, officers, employees, or agents arising under the DGCL, our amended and restated certificate of incorporation, or our amended and restated bylaws;</w:t>
      </w:r>
    </w:p>
    <w:p>
      <w:pPr>
        <w:spacing w:after="0" w:line="46" w:lineRule="exact"/>
        <w:rPr>
          <w:rFonts w:ascii="Times New Roman" w:cs="Times New Roman" w:eastAsia="Times New Roman" w:hAnsi="Times New Roman"/>
          <w:sz w:val="18"/>
          <w:szCs w:val="18"/>
          <w:color w:val="auto"/>
        </w:rPr>
      </w:pPr>
    </w:p>
    <w:p>
      <w:pPr>
        <w:ind w:left="1020" w:right="720" w:hanging="503"/>
        <w:spacing w:after="0" w:line="270" w:lineRule="auto"/>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or proceeding to interpret, apply, enforce, or determine the validity of our amended and restated certificate of incorporation, or our amended and restated bylaws; and</w:t>
      </w:r>
    </w:p>
    <w:p>
      <w:pPr>
        <w:spacing w:after="0" w:line="46"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or any of our directors, officers, employees, or agents that is governed by the internal-affairs doctrine.</w:t>
      </w:r>
    </w:p>
    <w:p>
      <w:pPr>
        <w:spacing w:after="0" w:line="15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Furthermore,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However, these provisions would not apply to suits brought to enforce a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To the extent the exclusive forum provision restricts the courts in which claims arising under the Securities Act may be brought, there is uncertainty as to whether a court would enforce such a provision. We note that investors cannot waive compliance with the federal securities laws and the rules and regulations thereunder.</w:t>
      </w:r>
    </w:p>
    <w:p>
      <w:pPr>
        <w:spacing w:after="0" w:line="18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Any person purchasing or otherwise acquiring or holding any interest in shares of our capital stock is deemed to have received notice of and consented to the foregoing provisions. These choice of forum provisions may limit a stockholder’s ability to bring a claim in a judicial forum that it finds more favorable for disputes with us or with our directors, officers, other employees or agents, or our other stockholders, which may discourage such lawsuits against us and such other persons, or may result in additional expense to a stockholder seeking to bring a claim against us.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and growth prospects.</w:t>
      </w:r>
    </w:p>
    <w:p>
      <w:pPr>
        <w:spacing w:after="0" w:line="29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will have broad discretion in the use of our cash, and may invest or spend our cash in ways with which you do not agree and in ways that may not increase the value of your investment.</w:t>
      </w:r>
    </w:p>
    <w:p>
      <w:pPr>
        <w:spacing w:after="0" w:line="31"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Our management will have broad discretion in the application of our cash, and could spend our cash in ways that do not improve our results of operations or enhance the value of our common stock. The failure by our management to apply these funds effectively could result in financial losses that could have a negative impact on our business, cause the price of our common stock to decline, and delay the development of epetraborole and planned pipeline and expansion programs as well as commercial preparedness.</w:t>
      </w:r>
    </w:p>
    <w:p>
      <w:pPr>
        <w:spacing w:after="0" w:line="28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and accordingly, stockholders must rely on capital appreciation, if any, for any return on their investment.</w:t>
      </w:r>
    </w:p>
    <w:p>
      <w:pPr>
        <w:spacing w:after="0" w:line="3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do not anticipate paying any cash dividends on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 If we do not pay cash dividends, you could receive a return on your investment in our common stock only if you are able to sell your shares in the future and the market price of our common stock has increased when you sell your shares. As a result, investors seeking cash dividends should not purchase our common stock.</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2"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As of December 31, 2023, we had federal and state net operating loss (“NOLs”) carryforwards of approximately $58.2 million and $122.6 million, respectively. Under the Tax Cuts and Jobs Act of 2017, or the Tax Act, as modified by the Coronavirus Aid, Relief, and Economic Security Act (the “CARES Act”), our NOLs generated in tax years beginning after December 31, 2017 may be carried forward indefinitely, but the deductibility of such federal NOLs in tax years beginning after December 31, 2020, is limited to 80% of taxable income. There is variation in how states have responded and may continue to respond to the Tax Act or the CARES Act. In addition, under Sections 382 and 383 of the U.S.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We may have experienced ownership changes in the past and may experience ownership changes in the future.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has been and may continue to be volatile.</w:t>
      </w:r>
    </w:p>
    <w:p>
      <w:pPr>
        <w:spacing w:after="0" w:line="10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trading price of our common stock has been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shares at or above the price paid for the shares. In addition to the factors discussed in this “Risk Factors” section and elsewhere in this Annual Report on Form 10-K, these factors include:</w:t>
      </w:r>
    </w:p>
    <w:p>
      <w:pPr>
        <w:spacing w:after="0" w:line="68"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commencement, enrollment or results of our planned and future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testing and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unanticipated safety, tolerability or efficacy concerns;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loss of any of our key research, development or management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competitive products or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adverse actions taken by regulatory agencies with respect to our clinical trials or manufacturers;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changes or developments in laws or regulations applicable to epetraborole or any other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our relationships with collaborators, manufacturers, or suppliers;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fluctuations in our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financial estimates or recommendations by securities analysts;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acquisitions;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trading volume of our common stock on The Nasdaq Global Select Market;</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our executive officers and directors or our stockholders or the anticipation that such sales may occur in the future;</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political, and market conditions and overall fluctuations in the financial markets in the United States, Japan or other countries where we conduct critical business;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76" w:name="page77"/>
    <w:bookmarkEnd w:id="76"/>
    <w:p>
      <w:pPr>
        <w:ind w:left="1020" w:right="1300" w:hanging="503"/>
        <w:spacing w:after="0" w:line="270" w:lineRule="auto"/>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stock market price and volume fluctuations of comparable companies and, in particular, those that operate in the biopharmaceutical industry;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banking crises or failures;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investors’ general perception of us and our business.</w:t>
      </w:r>
    </w:p>
    <w:p>
      <w:pPr>
        <w:spacing w:after="0" w:line="224"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of our common stock at or above the price paid for the shares and may otherwise negatively affect the liquidity of our common stock. In addition, the stock market in general, and biopharmaceutical companies in particular, have experienced extreme price and volume fluctuations that have often been unrelated or disproportionate to the operating performance of these companies.</w:t>
      </w:r>
    </w:p>
    <w:p>
      <w:pPr>
        <w:spacing w:after="0" w:line="17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29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3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trading market for our common stock will be influenced by the research and reports that equity research analysts publish about us and our business. We currently have research coverage by a limited number of equity research analysts. Equity research analysts may elect not to continue to provide research coverage of our common stock, and such lack of research coverage may adversely affect the market price of our common stock. We will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stock to decline.</w:t>
      </w:r>
    </w:p>
    <w:p>
      <w:pPr>
        <w:spacing w:after="0" w:line="29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are incurring significantly increased costs as a result of operating as a company whose common stock is publicly traded in the United States, and our management is devoting substantial time to new compliance initiatives.</w:t>
      </w:r>
    </w:p>
    <w:p>
      <w:pPr>
        <w:spacing w:after="0" w:line="3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As a public company in the United States, we are incurring significant legal, accounting, and other expenses. These expenses will likely be even more significant after we no longer qualify as an emerging growth company. The Sarbanes-Oxley Act, the Dodd-Frank Wall Street Reform and Consumer Protection Act, the listing requirements of Nasdaq Stock Market LLC,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devote a substantial amount of time to these compliance initiatives. Moreover, these rules and regulations has increased our legal and financial compliance costs and has made some activities more time-consuming and costly. We cannot predict or estimate the amount of additional costs we will incur or the timing of such costs.</w:t>
      </w:r>
    </w:p>
    <w:p>
      <w:pPr>
        <w:spacing w:after="0" w:line="180"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firstLine="509"/>
        <w:spacing w:after="0" w:line="239" w:lineRule="auto"/>
        <w:rPr>
          <w:sz w:val="20"/>
          <w:szCs w:val="20"/>
          <w:color w:val="auto"/>
        </w:rPr>
      </w:pPr>
      <w:r>
        <w:rPr>
          <w:rFonts w:ascii="Arial" w:cs="Arial" w:eastAsia="Arial" w:hAnsi="Arial"/>
          <w:sz w:val="18"/>
          <w:szCs w:val="18"/>
          <w:color w:val="auto"/>
        </w:rPr>
        <w:t>Pursuant to Section 404, we will be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 To prepare for eventual compliance with Section 404, we have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Identifying material weaknesses could result in an adverse reaction in the financial markets due to a loss of confidence in the reliability of our financial statements.</w:t>
      </w:r>
    </w:p>
    <w:p>
      <w:pPr>
        <w:spacing w:after="0" w:line="29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Significant disruptions of our or our vendors’ information technology systems or cybersecurity incidents could result in significant financial, legal, regulatory, business, and reputational harm to us.</w:t>
      </w:r>
    </w:p>
    <w:p>
      <w:pPr>
        <w:spacing w:after="0" w:line="31"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We are increasingly dependent on information technology systems and infrastructure, including mobile technologies, to operate our business. In the ordinary course of our business, we collect, store, process, and transmit large amounts of confidential information, including intellectual property, proprietary business information, personal information (including health information), and other confidential information. It is critical that we do so in a secure manner to maintain the confidentiality, integrity, and restricted availability of such information. We have also outsourced elements of our operations, including elements of our information technology infrastructure and data processing, to third parties and, as a result, we manage a number of third-party vendors who have access to our computer networks or our information. In addition, many of those third parties in turn subcontract or outsource some of their responsibilities to other third parties. While all information technology operations are inherently vulnerable to inadvertent or intentional security breaches, incidents, attacks, and exposures, the accessibility and distributed nature of our information technology systems, and the information stored on those systems, make such systems (and the information stored therein) vulnerable to risks that threaten the confidentiality, integrity and availability of these systems and information, including unintentional or malicious, internal, and external attacks on our technology environment. Vulnerabilities can be exploited by diverse threat actors and attack vectors, including through inadvertent or intentional actions of our employees, third-party vendors, business partners, or by malicious third parties. Cybersecurity incidents are increasing in their frequency, levels of persistence, sophistication, and intensity, and are being conducted by sophisticated and organized groups and individuals with a wide range of motives (including industrial espionage) and expertise, including organized criminal groups, “hacktivists,” nation states, and others, and utilizing increasingly sophisticated techniques and tools – including AI – that circumvent security controls, evade detection and remove or obfuscate forensic evidence. In addition to access to, loss of or the extraction of information, such attacks could involve the deployment of harmful malware, ransomware, denial-of-service attacks, social engineering/phishing, malicious code embedded in software, and other means to affect service reliability and threaten the confidentiality, integrity, and availability of information technology systems or information. In addition, the prevalent use of mobile devices increases the risk of cybersecurity incidents.</w:t>
      </w:r>
    </w:p>
    <w:p>
      <w:pPr>
        <w:spacing w:after="0" w:line="19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Significant disruptions of our or our third-party vendors’ or business partners’ information technology systems or other similar cybersecurity incidents could adversely affect our business operations and result in the loss, misappropriation, and unauthorized access, use or disclosure of, or the prevention of access to, information, which could result in financial, legal, regulatory, business, and reputational harm to us. In addition, any impact to the confidentiality, integrity or availability of information technology systems and the information stored therein, whether from attacks on our or third-party technology environment or from computer viruses, natural disasters, terrorism, war, telecommunication and electrical failures, or other threats, could result in a material disruption of our development programs and our business operations. For example, the loss of clinical trial data from ongoing, completed or future clinical trials could result in delays in our regulatory approval efforts and significantly increase our costs to recover or reproduce the data. We cannot ensure that our cybersecurity and data protection efforts and our investment in information technology, or the efforts or investments of CROs, consultants or other third parties with which we work, will prevent breakdowns or breaches in our or their systems or other cybersecurity incidents, including those that cause loss, destruction, unavailability, alteration, dissemination of, or damage, or unauthorized access to, or processing of, our data, including personal information, assets, and other data processed or maintained on our behalf, that could have a material adverse effect upon our reputation, business, financial condition, results of operations and growth prospects.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ind w:firstLine="509"/>
        <w:spacing w:after="0" w:line="236" w:lineRule="auto"/>
        <w:rPr>
          <w:sz w:val="20"/>
          <w:szCs w:val="20"/>
          <w:color w:val="auto"/>
        </w:rPr>
      </w:pPr>
      <w:r>
        <w:rPr>
          <w:rFonts w:ascii="Arial" w:cs="Arial" w:eastAsia="Arial" w:hAnsi="Arial"/>
          <w:sz w:val="18"/>
          <w:szCs w:val="18"/>
          <w:color w:val="auto"/>
        </w:rPr>
        <w:t>While we have implemented security measures intended to protect our information technology systems and infrastructure, there can be no assurance that such measures will successfully prevent service interruptions or cybersecurity incidents or that our security measures and processes will be fully implemented, complied with or effective. Nor can we be certain that our third-party vendors or business partners have sufficient measures or processes in place to protect their information technology systems and infrastructure. We, our third-party vendors and business partners are, from time to time, subject to attacks and cybersecurity incidents. While we have not to our knowledge experienced an incident that has had a material impact on our operations or financial results, there is no way of knowing with certainty whether we have experienced any material cybersecurity incidents that have not been discovered. While we have no reason to believe this to be the case, attackers have become very sophisticated in the way they conceal access to systems, and many companies that have been attacked are not aware that their systems or information have been compromised. Any event that leads to unauthorized access, use, or disclosure of information, including personal information regarding our patients or employees, or other adverse impact to the availability, integrity or confidentiality of our information technology systems, infrastructure or information, could disrupt our business, harm our reputation, compel us to comply with applicable federal and state breach notification laws and foreign law and contractual equivalents, subject us to time-consuming, distracting, and expensive litigation (including class actions),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It could also result in increased costs to us, including costs to investigate, mitigate and remediate vulnerabilities and incidents, and result in significant legal and financial exposure and reputational harm. In addition, any failure or perceived failure by us or our vendors or business partners to comply with our privacy, confidentiality, or data security-related legal or other obligations to third parties, or any further cybersecurity incidents,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Moreover, cybersecurity incidents and other inappropriate access can be difficult to detect, and any delay in identifying them may lead to increased harm of the type described above. Finally, we cannot guarantee that any costs and liabilities incurred in relation to an incident will be covered by our existing insurance policies or that applicable insurance will be available to us in the future on economically reasonable terms or at all. Any of the foregoing could have a material adverse effect on our reputation, business, financial condition, results of operations and growth prospects.</w:t>
      </w:r>
    </w:p>
    <w:p>
      <w:pPr>
        <w:spacing w:after="0" w:line="300"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3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are an “emerging growth company” as defined in the JOBS Act. For so long as we remain an emerging growth company, we are permitted by SEC rules and plan to rely on exemptions from certain disclosure requirements that are applicable to other SEC-registered public companies that are not emerging growth companies. These exemptions include not being required to comply with the auditor attestation requirements of Section 404, not being required to comply with the auditor requirements to communicate critical audit matters in the auditor’s report on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have taken advantage of reduced reporting burdens in this Annual Report on Form 10-K. In particular, in this Annual Report on Form 10-K, we have provided only two comparative periods of audited financial statements and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3"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we will not be subject to the same requirements to adopt new or revised accounting standards as other public companies that are not “emerging growth companies.”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Recent and potential future changes to U.S. and non-U.S. tax laws could materially adversely affect our company.</w:t>
      </w:r>
    </w:p>
    <w:p>
      <w:pPr>
        <w:spacing w:after="0" w:line="102"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Existing, new, or future changes in tax laws, regulations, and treaties, or the interpretation thereof, in addition to tax policy initiatives and reforms under consideration in the United States or internationally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For example, the Tax Act, the CARES Act and the recently enacted IRA made many significant changes to the U.S. tax laws. The Tax Act made broad and complex changes to the Code, including, among other things, reducing the federal corporate tax rate. Additionally, beginning in 2022, the Tax Act required the capitalization of research and experimentation expenses with amortization periods over five and fifteen years pursuant to Code Section 174 (“Section 174”), which could impact our effective tax rate and cash flow. Future guidance from the U.S. Internal Revenue Service and other tax authorities with respect to any such tax legislation may affect us, and certain aspects of the previously enacted legislation could be repealed or modified in future legislation. In addition, it is uncertain if and to what extent various states will conform to the Tax Act, the CARES Act, the IRA, or any newly enacted federal tax legislation. Other legislative changes could also affect the taxation of holders of our common stock. We are unable to predict what tax reform may be proposed or enacted in the future or what effect such changes would have on our business, but such changes, to the extent they are brought into tax legislation, regulations, policies or practices, could affect our effective tax rates in the future in countries where we are subject to tax and have an adverse effect on our overall tax rate in the future, along with increasing the complexity, burden, and cost of tax compliance. We urge our stockholders to consult with their legal and tax advisors with respect to any such legislative changes and the potential tax consequences of investing in or holding our common stock.</w:t>
      </w:r>
    </w:p>
    <w:p>
      <w:pPr>
        <w:spacing w:after="0" w:line="296"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Indemnity provisions in various agreements potentially expose us to substantial liability for intellectual property infringement, data protection, and other losses.</w:t>
      </w:r>
    </w:p>
    <w:p>
      <w:pPr>
        <w:spacing w:after="0" w:line="3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Our agreements with third parties may include indemnification provisions under which we agree to indemnify them for losses suffered or incurred as a result of claims of intellectual property infringement or other liabilities relating to or arising from our contractual obligations. Large indemnity payments could harm our business, financial condition, results of operations and growth prospects. Although we normally contractually limit our liability with respect to such obligations, we may still incur substantial liability. Any dispute with a third party with respect to such obligations could have adverse effects on our relationship with that third party and relationships with other existing or new partners, harming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Management and Strategy</w:t>
      </w:r>
    </w:p>
    <w:p>
      <w:pPr>
        <w:spacing w:after="0" w:line="102" w:lineRule="exact"/>
        <w:rPr>
          <w:sz w:val="20"/>
          <w:szCs w:val="20"/>
          <w:color w:val="auto"/>
        </w:rPr>
      </w:pPr>
    </w:p>
    <w:p>
      <w:pPr>
        <w:jc w:val="both"/>
        <w:ind w:right="260" w:firstLine="509"/>
        <w:spacing w:after="0" w:line="253" w:lineRule="auto"/>
        <w:rPr>
          <w:sz w:val="20"/>
          <w:szCs w:val="20"/>
          <w:color w:val="auto"/>
        </w:rPr>
      </w:pPr>
      <w:r>
        <w:rPr>
          <w:rFonts w:ascii="Arial" w:cs="Arial" w:eastAsia="Arial" w:hAnsi="Arial"/>
          <w:sz w:val="18"/>
          <w:szCs w:val="18"/>
          <w:color w:val="auto"/>
        </w:rPr>
        <w:t>We have developed and implemented cybersecurity risk management practices intended to protect the confidentiality, integrity, and availability of our critical systems and information. Our cybersecurity risk management practices include a cybersecurity incident response plan.</w:t>
      </w:r>
    </w:p>
    <w:p>
      <w:pPr>
        <w:spacing w:after="0" w:line="169"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Key elements of our cybersecurity risk management practices include but are not limited to:</w:t>
      </w:r>
    </w:p>
    <w:p>
      <w:pPr>
        <w:spacing w:after="0" w:line="104" w:lineRule="exact"/>
        <w:rPr>
          <w:sz w:val="20"/>
          <w:szCs w:val="20"/>
          <w:color w:val="auto"/>
        </w:rPr>
      </w:pPr>
    </w:p>
    <w:p>
      <w:pPr>
        <w:ind w:left="1020" w:right="18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risk monitoring and assessments designed to help identify material cybersecurity risks from cybersecurity threats to our critical systems, information, products, services, and our broader enterprise IT environment;</w:t>
      </w:r>
    </w:p>
    <w:p>
      <w:pPr>
        <w:spacing w:after="0" w:line="46"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internal and external IT professionals responsible for managing our (1) cybersecurity risk analysis, (2) security controls, and (3) response to cybersecurity incidents;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the use of external service providers, where appropriate, to assist with aspects of our security controls;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awareness training of our employees and senior management; and</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80" w:name="page81"/>
    <w:bookmarkEnd w:id="80"/>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a breach response and cybersecurity incident response plan that includes procedures for responding to cybersecurity incidents.</w:t>
      </w:r>
    </w:p>
    <w:p>
      <w:pPr>
        <w:spacing w:after="0" w:line="224"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Although we face risks from cybersecurity threats, no known cybersecurity threats have materially affected or we believe are reasonably likely to materially affect us, including our business, financial condition, results of operations and growth prospects. See “Risk Factors – Significant disruptions of our or our vendors’ information technology systems or cybersecurity incidents could result in significant financial, legal, regulatory, business, and reputational harm to 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10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Our Board considers cybersecurity risk as part of its risk oversight function and has delegated to the Audit Committee of our Board (the “Audit Committee”) oversight of cybersecurity risks, including oversight of management’s implementation of our cybersecurity risk management program. The Audit Committee receives reports at least annually from management on our cybersecurity risks and would be informed of any cybersecurity incidents that management considers to be significant or potentially significant.</w:t>
      </w:r>
    </w:p>
    <w:p>
      <w:pPr>
        <w:spacing w:after="0" w:line="174"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Our internal cybersecurity professional reports to our CEO and is responsible for assessing and managing our material risks from cybersecurity threats. The CEO is supported by our Chief Legal Officer in exercising primary oversight for our overall cybersecurity risk management program. Our management team takes steps to stay informed about and monitors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4"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color w:val="auto"/>
        </w:rPr>
        <w:t>Our current corporate headquarters are located in Menlo Park, California, where we lease approximately 1,731 square feet of office space pursuant to a lease agreement that commenced in May 2021 and expires in August 2024. We also lease approximately 2,500 additional square feet of adjacent office space pursuant to a lease agreement that commenced in September 2021 and expires in August 2024. Both leases contain an additional 12-month renewal option through August 2025.</w:t>
      </w:r>
    </w:p>
    <w:p>
      <w:pPr>
        <w:spacing w:after="0" w:line="174"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We believe that these existing facilities will be adequate for our near-term needs. If required, we believe that suitable additional or alternative space would be available in the future on commercially reasonable terms.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in Part IV, Note 8—Commitments and Contingencies—Contingencies is incorporated herein by reference.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jc w:val="center"/>
        <w:ind w:left="500"/>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right="1020"/>
        <w:spacing w:after="0" w:line="360"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 for Common Stock</w:t>
      </w:r>
    </w:p>
    <w:p>
      <w:pPr>
        <w:ind w:right="140" w:firstLine="509"/>
        <w:spacing w:after="0" w:line="271" w:lineRule="auto"/>
        <w:rPr>
          <w:sz w:val="20"/>
          <w:szCs w:val="20"/>
          <w:color w:val="auto"/>
        </w:rPr>
      </w:pPr>
      <w:r>
        <w:rPr>
          <w:rFonts w:ascii="Arial" w:cs="Arial" w:eastAsia="Arial" w:hAnsi="Arial"/>
          <w:sz w:val="18"/>
          <w:szCs w:val="18"/>
          <w:color w:val="auto"/>
        </w:rPr>
        <w:t>Our common stock has been listed on the Nasdaq Global Select Market under the symbol “ANTX” since March 25, 2022. Prior to that date, there was no public trading market for our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0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 Any future determination to declare or pay dividends will be made at the discretion of our Board, subject to applicable laws, and will depend upon, among other factors, our results of operations, financial condition, contractual restrictions, capital requirements general business conditions and other factors that our Board may deem relevant. Our future ability to pay cash dividends on our capital stock may be limited by the terms of any future debt or preferred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w:t>
      </w:r>
    </w:p>
    <w:p>
      <w:pPr>
        <w:spacing w:after="0" w:line="102" w:lineRule="exact"/>
        <w:rPr>
          <w:sz w:val="20"/>
          <w:szCs w:val="20"/>
          <w:color w:val="auto"/>
        </w:rPr>
      </w:pPr>
    </w:p>
    <w:p>
      <w:pPr>
        <w:jc w:val="both"/>
        <w:ind w:right="360" w:firstLine="509"/>
        <w:spacing w:after="0" w:line="275" w:lineRule="auto"/>
        <w:rPr>
          <w:sz w:val="20"/>
          <w:szCs w:val="20"/>
          <w:color w:val="auto"/>
        </w:rPr>
      </w:pPr>
      <w:r>
        <w:rPr>
          <w:rFonts w:ascii="Arial" w:cs="Arial" w:eastAsia="Arial" w:hAnsi="Arial"/>
          <w:sz w:val="17"/>
          <w:szCs w:val="17"/>
          <w:color w:val="auto"/>
        </w:rPr>
        <w:t>As of February 29, 2024, we had 34 holders of record of our common stock. The actual number of stockholders is greater than this number of record holders and includes stockholders who are beneficial owners but whose shares are held in street name by brokers and other nominees. This number of record holders also does not include stockholders whose shares may be held in trust by other entities.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02" w:lineRule="exact"/>
        <w:rPr>
          <w:sz w:val="20"/>
          <w:szCs w:val="20"/>
          <w:color w:val="auto"/>
        </w:rPr>
      </w:pPr>
    </w:p>
    <w:p>
      <w:pPr>
        <w:jc w:val="both"/>
        <w:ind w:right="440" w:firstLine="509"/>
        <w:spacing w:after="0" w:line="301" w:lineRule="auto"/>
        <w:rPr>
          <w:sz w:val="20"/>
          <w:szCs w:val="20"/>
          <w:color w:val="auto"/>
        </w:rPr>
      </w:pPr>
      <w:r>
        <w:rPr>
          <w:rFonts w:ascii="Arial" w:cs="Arial" w:eastAsia="Arial" w:hAnsi="Arial"/>
          <w:sz w:val="17"/>
          <w:szCs w:val="17"/>
          <w:color w:val="auto"/>
        </w:rPr>
        <w:t>The information required by this item is incorporated by reference to the definitive proxy statement for our 2024 annual meeting of stockholders (the “Proxy Statement”) to be filed with the SEC within 120 days after the end of our fiscal year ended December 31, 2023.</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10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March 24, 2022, our registration statement on Form S-1 (File No. 333-263295) was declared effective by the SEC for the IPO of our common stock. Our shares began trading on the Nasdaq Global Select Market on March 25, 2022, and the transaction formally closed on March 29, 2022. In connection with our IPO, we issued and sold an aggregate of 5,290,000 shares of our common stock at a price of $ 15.00 per share, which included the exercise in full of the underwriters’ option to purchase 690,000 additional shares of our common stock at the same price per share, which closed on April 12, 2022. The aggregate gross proceeds for shares sold in our IPO was $79.4 million. After deducting underwriting discounts and commissions and offering costs paid or payable by us of approximately $9.0 million, the net proceeds from the offering were approximately $70.4 million. Upon completion of the sale of the shares of our common stock referenced in this paragraph, our IPO terminated.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180"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dated March 24, 2022 pursuant to Rule 424(b)(4). We invested the funds received in interest-bearing investment-grade securities and government securities.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6. [Reserved].</w:t>
      </w:r>
    </w:p>
    <w:p>
      <w:pPr>
        <w:spacing w:after="0" w:line="14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9" w:right="1440"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i w:val="1"/>
          <w:iCs w:val="1"/>
          <w:color w:val="auto"/>
        </w:rPr>
        <w:t>The following discussion and analysis of our financial condition as of December 31, 2023 and results of operations for the years ended December 31, 2023 and 2022 should be read in conjunction with our financial statements and related notes thereto included elsewhere in this Annual Report on Form 10-K (“Form 10-K”.) This section of this Form 10-K generally discusses 2023 and 2022 items and year-to-year comparisons between 2023 and 2022. Except as otherwise indicated herein or as the context otherwise requires, references in this Form 10-K to “AN2,” the “Company,” “we,” “us” and “our” refer to AN2 Therapeutics, Inc.</w:t>
      </w:r>
    </w:p>
    <w:p>
      <w:pPr>
        <w:spacing w:after="0" w:line="181"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This discussion and analysis and other parts of this Form 10-K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under “Risk Factors” in Part I, Item 1A of this Annual Report on Form 10-K. See also the section titled “Special Note Regarding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 xml:space="preserve">We are a clinical-stage biopharmaceutical company developing treatments for rare, chronic, and serious infectious diseases with high unmet needs. Our initial product candidate is epetraborole, a once-daily, oral treatment for patients with non-tuberculous mycobacterial (“NTM”) lung disease. NTM lung disease is a rare, chronic and progressive infectious disease caused by bacteria known as mycobacteria that leads to irreversible lung damage and can be fatal. Epetraborole has broad spectrum antimycobacterial activity through inhibition of an essential and universal step in bacterial protein synthesis. Its novel mechanism of action is enabled by boron chemistry, our core technology approach. We received Fast Track designation by the U.S. Food and Drug Administration (the “FDA”) to investigate epetraborole for treatment-refractory </w:t>
      </w:r>
      <w:r>
        <w:rPr>
          <w:rFonts w:ascii="Arial" w:cs="Arial" w:eastAsia="Arial" w:hAnsi="Arial"/>
          <w:sz w:val="18"/>
          <w:szCs w:val="18"/>
          <w:i w:val="1"/>
          <w:iCs w:val="1"/>
          <w:color w:val="auto"/>
        </w:rPr>
        <w:t>Mycobacterium avium</w:t>
      </w:r>
      <w:r>
        <w:rPr>
          <w:rFonts w:ascii="Arial" w:cs="Arial" w:eastAsia="Arial" w:hAnsi="Arial"/>
          <w:sz w:val="18"/>
          <w:szCs w:val="18"/>
          <w:color w:val="auto"/>
        </w:rPr>
        <w:t xml:space="preserve"> complex (“MAC”) lung disease. Epetraborole has also been designated as a Qualified Infectious Disease Product (“QIDP”) for treatment-refractory MAC lung disease by the FDA and has received orphan drug designation from the FDA and orphan medicinal product designation from the European Commission for the treatment of NTM lung disease. Based on clinical and preclinical data generated with epetraborole, its novel mechanism of action, and the convenience associated with once-daily, oral dosing, we believe that epetraborole has the potential to become an important component of a multi-drug treatment regimen for patients suffering from NTM lung disease.</w:t>
      </w:r>
    </w:p>
    <w:p>
      <w:pPr>
        <w:spacing w:after="0" w:line="1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are conducting a Phase 2/3 seamless design trial to study epetraborole for treatment-refractory MAC lung disease. In February 2024, we paused enrollment of the Phase 3 portion of trial pending review of further study data and discussion with the FDA after observing potentially lower than anticipated efficacy in blinded aggregate data from the Phase 2 portion of the trial. While the Phase 3 part of the trial is paused for new enrollment, we are continuing to dose existing patients enrolled in the Phase 2/3 trial under the existing protocol. We continue to progress in areas that will allow for timely commercialization of epetraborole, if approved. We have completed the manufacturing of active pharmaceutical ingredient (“API”) for registration batches, and plan to initiate drug product registration batches in the first half of 2024. We have completed a Phase 1 clinical trial required for registration of a thorough QT study (EBO-104).</w:t>
      </w:r>
    </w:p>
    <w:p>
      <w:pPr>
        <w:spacing w:after="0" w:line="185" w:lineRule="exact"/>
        <w:rPr>
          <w:sz w:val="20"/>
          <w:szCs w:val="20"/>
          <w:color w:val="auto"/>
        </w:rPr>
      </w:pPr>
    </w:p>
    <w:p>
      <w:pPr>
        <w:ind w:right="220" w:firstLine="509"/>
        <w:spacing w:after="0" w:line="242" w:lineRule="auto"/>
        <w:rPr>
          <w:sz w:val="20"/>
          <w:szCs w:val="20"/>
          <w:color w:val="auto"/>
        </w:rPr>
      </w:pPr>
      <w:r>
        <w:rPr>
          <w:rFonts w:ascii="Arial" w:cs="Arial" w:eastAsia="Arial" w:hAnsi="Arial"/>
          <w:sz w:val="18"/>
          <w:szCs w:val="18"/>
          <w:color w:val="auto"/>
        </w:rPr>
        <w:t>Since launching operations in November 2019, we have devoted substantially all of our resources to developing our initial product candidate. We have incurred significant operating losses to date. We expect that our operating expenses will increase significantly as we advance our current and future product candidates through preclinical, nonclinical and clinical development, seek regulatory approval, and prepare for and, if approved, proceed to commercialization; acquire, discover, validate and develop additional product candidates; obtain, maintain, protect and enforce our intellectual property portfolio; hire additional personnel; and incur costs associated with operating as a public company.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84" w:name="page85"/>
    <w:bookmarkEnd w:id="84"/>
    <w:p>
      <w:pPr>
        <w:ind w:firstLine="509"/>
        <w:spacing w:after="0" w:line="254" w:lineRule="auto"/>
        <w:rPr>
          <w:sz w:val="20"/>
          <w:szCs w:val="20"/>
          <w:color w:val="auto"/>
        </w:rPr>
      </w:pPr>
      <w:r>
        <w:rPr>
          <w:rFonts w:ascii="Arial" w:cs="Arial" w:eastAsia="Arial" w:hAnsi="Arial"/>
          <w:sz w:val="17"/>
          <w:szCs w:val="17"/>
          <w:color w:val="auto"/>
        </w:rPr>
        <w:t>We do not have any products approved for sale and have not generated any revenue since inception. Our net losses were $64.7 million and $41.0 million for the years ended December 31, 2023 and 2022, respectively. As of December 31, 2023, we had an accumulated deficit of $154.5 million. We have funded our operations from the sale and issuance of redeemable convertible preferred stock, proceeds from our initial public offering (“IPO”), “at-the-market” equity offering program (“ATM Offering”) and an underwritten offering (the “Underwritten Offering”). From November 2019 through October 2020, we raised an aggregate of $12.0 million from the sale of Series A redeemable convertible preferred stock. In March 2021, we raised an aggregate of $80.0 million from the sale of Series B redeemable convertible preferred stock. In March and April 2022, we completed our IPO, with gross proceeds of $79.4 million and net proceeds of $70.4 million, net of underwriting discounts, commissions and offering expenses. In June 2023, we raised gross proceeds of $20.0 million from the ATM Offering and net proceeds of $19.1 million, after deducting commissions and offering expenses. In August 2023, we raised gross proceeds of $70.0 million from the Underwritten Offering and net proceeds of $65.5 million, after deducting commissions and offering expenses.</w:t>
      </w:r>
    </w:p>
    <w:p>
      <w:pPr>
        <w:spacing w:after="0" w:line="17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As of December 31, 2023, we had cash, cash equivalents and investments of $134.5 million. We believe that our available cash will be sufficient to fund our planned operations through at least twelve months following the date of this Form 10-K.</w:t>
      </w:r>
    </w:p>
    <w:p>
      <w:pPr>
        <w:spacing w:after="0" w:line="154"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Our ability to generate product revenue will depend on the successful development, regulatory approval and eventual commercialization of one or more of our product candidates. Until such time as we can generate revenue from our product sales, if ever, we expect to finance our operations through private or public equity or debt financings, collaborative or other arrangements with corporate sources, non-dilutive financing,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179"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We plan to continue to use third-party service providers, including outside research laboratories, clinical research organizations (“CROs”), and contract manufacturing organizations (“CMOs”), to carry out our preclinical, nonclinical and clinical development, and to manufacture and supply the materials to be used during the development and commercialization of our product candidates. We do not currently have a sales force. If we obtain regulatory approval for epetraborole or any of our other product candidates, we intend to hire and deploy a specialty sales force, which will increase our operating costs.</w:t>
      </w:r>
    </w:p>
    <w:p>
      <w:pPr>
        <w:spacing w:after="0" w:line="17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Due to ongoing developments in our business and clinical development and regulatory efforts, among other factors, our results of operations may vary substantially from year to year and from quarter to quarter and, as a result, we believe that period to period comparisons of our operating results may not be meaningful and should not be relied upon as being indicative of our future performance. For more information on the risks and uncertainties associated with our business and our clinical development and regulatory efforts, among other factors, see “Part I, Item 1A—Risk Factors.”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Substantially all of our research and development expenses consist of expenses incurred in connection with the development of our initial product candidate, epetraborole, and other product candidates. These expenses include fees incurred under arrangements with third parties, including CROs, CMOs, preclinical and nonclinical testing organizations, and academic and non-profit institutions. Research and development expenses also include consulting fees, license fees, payroll and personnel-related expenses, including salaries and bonuses, payroll taxes, employee benefit costs and non-cash stock-based compensation for our research and development employees. We expense both internal and external research and development expenses as they are incurred.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5" w:name="page86"/>
    <w:bookmarkEnd w:id="85"/>
    <w:p>
      <w:pPr>
        <w:ind w:firstLine="509"/>
        <w:spacing w:after="0" w:line="239" w:lineRule="auto"/>
        <w:rPr>
          <w:sz w:val="20"/>
          <w:szCs w:val="20"/>
          <w:color w:val="auto"/>
        </w:rPr>
      </w:pPr>
      <w:r>
        <w:rPr>
          <w:rFonts w:ascii="Arial" w:cs="Arial" w:eastAsia="Arial" w:hAnsi="Arial"/>
          <w:sz w:val="18"/>
          <w:szCs w:val="18"/>
          <w:color w:val="auto"/>
        </w:rPr>
        <w:t>We expect our research and development expenses to increase substantially in the future, as we advance epetraborole and any other product candidates into and through additional clinical trials and pursue regulatory approval. The process of conducting the necessary clinical studies to obtain regulatory approval is costly and time-consuming. Clinical studies generally become larger and more costly to conduct as they advance into later stages and we are required to make estimates for expense accruals related to clinical study expenses, which involve a degree of estimation. The successful development of our product candidates is highly uncertain. The actual probability of success for our product candidates may be affected by a variety of risks and uncertainties associated with drug development, including those set forth in the section of this Form 10-K titled “Risk Factors.” At this time, we cannot reasonably estimate the nature, timing or costs required to complete the remaining development of our current or any future product candidates. As a result of these uncertainties, we are unable to determine the duration and completion costs of our research and development projects or when and to what extent we will generate revenue from the commercialization and sale of our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Our general and administrative expenses consist primarily of payroll and personnel-related expenses, including salaries and bonuses, payroll taxes, employee benefit costs and non-cash stock-based compensation. Other general and administrative expenses include legal costs of pursuing patent protection of our intellectual property, and professional service fees for auditing, tax, general legal services and other external consulting and vendor services. We expect our general and administrative expenses to continue to increase in the future, including expenses related to legal, accounting, regulatory and tax-related services associated with maintaining compliance with requirements of The Nasdaq Stock Market LLC and the SEC, directors and officers liability insurance premiums and investor relations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02"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Other income, net consists of interest income and investment income earned on our cash, cash equivalents and investments and income associated with foreign currency fluctuations.</w:t>
      </w:r>
    </w:p>
    <w:p>
      <w:pPr>
        <w:sectPr>
          <w:pgSz w:w="11900" w:h="16838" w:orient="portrait"/>
          <w:cols w:equalWidth="0" w:num="1">
            <w:col w:w="11240"/>
          </w:cols>
          <w:pgMar w:left="320" w:top="1201" w:right="33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2023 and 2022</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significant components of our results of operations: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3"/>
        </w:trPr>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Change</w:t>
            </w:r>
          </w:p>
        </w:tc>
      </w:tr>
      <w:tr>
        <w:trPr>
          <w:trHeight w:val="177"/>
        </w:trPr>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0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percentages)</w:t>
            </w: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54,871</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28,511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26,360</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Research and development—related party</w:t>
            </w:r>
          </w:p>
        </w:tc>
        <w:tc>
          <w:tcPr>
            <w:tcW w:w="24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5"/>
        </w:trPr>
        <w:tc>
          <w:tcPr>
            <w:tcW w:w="5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14,764</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12,751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2,013</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69,635</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42,262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27,373</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(69,635 )</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(42,262 )</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(27,373 )</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4,903</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3,597</w:t>
            </w:r>
          </w:p>
        </w:tc>
      </w:tr>
      <w:tr>
        <w:trPr>
          <w:trHeight w:val="232"/>
        </w:trPr>
        <w:tc>
          <w:tcPr>
            <w:tcW w:w="522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u w:val="single" w:color="auto"/>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rPr>
              <w:t>(64,732 )</w:t>
            </w:r>
          </w:p>
        </w:tc>
        <w:tc>
          <w:tcPr>
            <w:tcW w:w="1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u w:val="single" w:color="auto"/>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rPr>
              <w:t>(40,956 )</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u w:val="single" w:color="auto"/>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rPr>
              <w:t>(23,776 )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-1205230</wp:posOffset>
            </wp:positionV>
            <wp:extent cx="641223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-913765</wp:posOffset>
            </wp:positionV>
            <wp:extent cx="641223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-614045</wp:posOffset>
            </wp:positionV>
            <wp:extent cx="641223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-305435</wp:posOffset>
            </wp:positionV>
            <wp:extent cx="641223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11430</wp:posOffset>
            </wp:positionV>
            <wp:extent cx="23056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*Change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-128905</wp:posOffset>
            </wp:positionV>
            <wp:extent cx="641223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15240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92 %</w:t>
      </w:r>
    </w:p>
    <w:p>
      <w:pPr>
        <w:spacing w:after="0" w:line="32"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(100 )%</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16 %</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65 %</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65 %</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58 %</w:t>
      </w:r>
    </w:p>
    <w:p>
      <w:pPr>
        <w:spacing w:after="0" w:line="431" w:lineRule="exact"/>
        <w:rPr>
          <w:sz w:val="20"/>
          <w:szCs w:val="20"/>
          <w:color w:val="auto"/>
        </w:rPr>
      </w:pPr>
    </w:p>
    <w:p>
      <w:pPr>
        <w:sectPr>
          <w:pgSz w:w="11900" w:h="16838" w:orient="portrait"/>
          <w:cols w:equalWidth="0" w:num="2">
            <w:col w:w="9440" w:space="260"/>
            <w:col w:w="1540"/>
          </w:cols>
          <w:pgMar w:left="320" w:top="1201" w:right="339" w:bottom="1440" w:gutter="0" w:footer="0" w:header="0"/>
          <w:type w:val="continuous"/>
        </w:sectPr>
      </w:pP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Research and development expenses, including related-party research and development expenses, were $54.9 million for the year ended December 31, 2023 compared to $29.5 million for the year ended December 31, 2022. The increase of $25.4 million was primarily due to increases in clinical trial costs, personnel-related expenses, chemistry manufacturing and controls (“CMC”) expenses, and consulting and outside services, partially offset by lower licensing fees. Clinical trials expenses increased by $11.6 million due to increased costs associated with our Phase 2/3 clinical trial in 2023, partially offset by the elimination of costs associated with our three Phase 1 clinical trials conducted in 2022. Personnel-related costs increased by $8.3 million due to increased research and development headcount, higher bonuses based on target performance achievement and stock-based compensation expense. Costs related to CMC activities increased by $3.6 million due to pre-registration manufacturing activities. Consulting and outside services increased by $1.9 million for clinical trial activities. Costs related to research and preclinical studies increased by $0.1 million. Other expenses, including rent, utilities and information technology expenses, increased by $0.9 million to support our increased headcount, offset by lower licensing fees paid in the prior year of $1.0 million to Anacor upon achievement of a milestone. During the year ended December 31, 2023, a total reimbursement of $2.5 million of operating expenses was recognized related to our funding arrangements.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research and development expenses by type of activity:</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center"/>
              <w:ind w:left="376"/>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3"/>
          </w:tcPr>
          <w:p>
            <w:pPr>
              <w:jc w:val="center"/>
              <w:ind w:left="376"/>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Clinical trials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21,200</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9,563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11,637</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Chemistry manufacturing and controls expenses</w:t>
            </w:r>
          </w:p>
        </w:tc>
        <w:tc>
          <w:tcPr>
            <w:tcW w:w="2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7,316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3,749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3,567</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Research and preclinical studies</w:t>
            </w:r>
          </w:p>
        </w:tc>
        <w:tc>
          <w:tcPr>
            <w:tcW w:w="2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3,517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3,368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Research and development—related party</w:t>
            </w:r>
          </w:p>
        </w:tc>
        <w:tc>
          <w:tcPr>
            <w:tcW w:w="2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(1,000 )</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Other expenses</w:t>
            </w:r>
          </w:p>
        </w:tc>
        <w:tc>
          <w:tcPr>
            <w:tcW w:w="2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1,507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851</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Personnel related expenses</w:t>
            </w:r>
          </w:p>
        </w:tc>
        <w:tc>
          <w:tcPr>
            <w:tcW w:w="2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16,561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8,266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8,295</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Consulting and outside services</w:t>
            </w:r>
          </w:p>
        </w:tc>
        <w:tc>
          <w:tcPr>
            <w:tcW w:w="26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4,770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2,909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54,871</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29,511</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25,360</w:t>
            </w: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-1199515</wp:posOffset>
            </wp:positionV>
            <wp:extent cx="641223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-908050</wp:posOffset>
            </wp:positionV>
            <wp:extent cx="641223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-616585</wp:posOffset>
            </wp:positionV>
            <wp:extent cx="641223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-325120</wp:posOffset>
            </wp:positionV>
            <wp:extent cx="641223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General and administrative expenses were $14.8 million for the year ended December 31, 2023 compared to $12.8 million for the year ended December 31, 2022. The increase of $2.0 million was primarily attributable to a $1.9 million increase in personnel-related costs primarily related to stock-based compensation expense and a $1.0 million increase in legal and accounting services. These increases were partially offset by a $0.9 million decrease, primarily related to directors and officers liability insurance premiums.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was $4.9 million for the year ended December 31, 2023 compared to $1.3 million for the year ended December 31,</w:t>
      </w:r>
    </w:p>
    <w:p>
      <w:pPr>
        <w:spacing w:after="0" w:line="14"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2022. The increase of $3.6 million was due to higher interest rates and higher cash, cash equivalents and short and long-term investment balances in 2023 as compared to 2022.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2"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have incurred net losses since our inception. For the year ended December 31, 2023 and 2022, we had net losses of $64.7 million and $41.0 million, respectively, and we expect to incur substantial additional losses in future periods. As of December 31, 2023, we had an accumulated deficit of $154.5 million. As of December 31, 2023, we had cash, cash equivalents, short-term investments and long-term investments of $ 134.5 million. Based on our current business plan, we believe that our available cash will be sufficient to fund our planned operations for at least 12 months following the date of this Form 10-K.</w:t>
      </w:r>
    </w:p>
    <w:p>
      <w:pPr>
        <w:spacing w:after="0" w:line="176"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To date, we have funded our operations primarily through our Underwritten Offering, ATM Offering, IPO and private placements of our redeemable convertible preferred stock. In August 2023, we generated approximately $65.5 million from the Underwritten Offering, after deducting commissions and offering expenses. In June 2023, we generated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87" w:name="page88"/>
    <w:bookmarkEnd w:id="87"/>
    <w:p>
      <w:pPr>
        <w:ind w:right="140"/>
        <w:spacing w:after="0" w:line="244" w:lineRule="auto"/>
        <w:rPr>
          <w:sz w:val="20"/>
          <w:szCs w:val="20"/>
          <w:color w:val="auto"/>
        </w:rPr>
      </w:pPr>
      <w:r>
        <w:rPr>
          <w:rFonts w:ascii="Arial" w:cs="Arial" w:eastAsia="Arial" w:hAnsi="Arial"/>
          <w:sz w:val="18"/>
          <w:szCs w:val="18"/>
          <w:color w:val="auto"/>
        </w:rPr>
        <w:t>approximately $19.1 million in net proceeds from the ATM Offering, after deducting commissions and offering expenses. In March and April 2022, we generated aggregate net proceeds of approximately $70.4 million from our IPO, after deducting underwriting discounts and commissions and offering expenses. Prior to our IPO, we raised $ 91.6 million from the issuance of our redeemable convertible preferred stock. Upon the closing of our IPO, all then outstanding shares of redeemable convertible preferred stock were converted into shares of our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do not have any products approved for sale, and we have never generated any revenue from contracts with customers. We do not expect to generate any meaningful revenue unless and until we obtain regulatory approval for and commercialize any of our current and future product candidates and we do not know when, or if, those events will occur. Historically, we have incurred operating losses and negative cash flows as a result of ongoing efforts to develop our initial drug product candidate, epetraborole, including conducting ongoing preclinical and nonclinical studies, clinical trials, registration API and drug product materials manufacturing, and providing general and administrative support for these operations. We expect our negative cash flows to increase significantly over the next several years as we advance epetraborole and any other product candidates through clinical development, seek regulatory approval, prepare for and, if approved, proceed to commercialization, and continue our research and development efforts. We are subject to all the risks typically related to the development of new product candidates, and we may encounter unforeseen expenses, difficulties, complications, delays and other unknown factors that may adversely affect our business. Moreover, we expect to continue to incur costs associated with operating as a public company. We anticipate that we will need substantial additional funding in connection with our continuing operations, as we do not expect positive cash flows from operations in the foreseeable future.</w:t>
      </w:r>
    </w:p>
    <w:p>
      <w:pPr>
        <w:spacing w:after="0" w:line="18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Until we can generate a sufficient amount of revenue from the commercialization of our product candidates, if ever, we expect to finance our future cash needs through public or private equity offerings or debt financings.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current or future product candidates. If we raise additional funds by issuing equity or convertible debt securities, it could result in dilution to our existing stockholders and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candidates or grant licenses on terms that are not favorable to us. Any of the foregoing could significantly harm our business, financial condition, results of operations and prospects.</w:t>
      </w:r>
    </w:p>
    <w:p>
      <w:pPr>
        <w:spacing w:after="0" w:line="183"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product candidates, we are unable to estimate the exact amount of our operating capital requirements. Our future capital requirements depend on many factors, including:</w:t>
      </w:r>
    </w:p>
    <w:p>
      <w:pPr>
        <w:spacing w:after="0" w:line="66" w:lineRule="exact"/>
        <w:rPr>
          <w:sz w:val="20"/>
          <w:szCs w:val="20"/>
          <w:color w:val="auto"/>
        </w:rPr>
      </w:pPr>
    </w:p>
    <w:p>
      <w:pPr>
        <w:ind w:left="1020" w:right="240" w:hanging="503"/>
        <w:spacing w:after="0" w:line="270" w:lineRule="auto"/>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rate of progress, results and costs of our preclinical and nonclinical development activities and clinical trials for our current and future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the costs involved in, obtaining regulatory approvals for our drug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enrollment of our current and any future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and costs of development and commercial manufacturing activities;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our product candidates that we successfully commercialize;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building a specialty sales force in anticipation of product commercialization;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commercialization activities, including building a commercial infrastructure, marketing, sales and distribution costs;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8" w:name="page89"/>
    <w:bookmarkEnd w:id="88"/>
    <w:p>
      <w:pPr>
        <w:ind w:left="1020" w:right="300" w:hanging="503"/>
        <w:spacing w:after="0" w:line="252" w:lineRule="auto"/>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any securities class action, product liability or other lawsuits related to our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expenses needed to attract, hire, and retain skilled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our implementation of operational, financial, and management systems;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ongoing costs associated with being a public company;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receipt, and amount of sales of any future approved products, if any.</w:t>
      </w:r>
    </w:p>
    <w:p>
      <w:pPr>
        <w:spacing w:after="0" w:line="22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A change in the outcome of any of these or other variables with respect to the development of any of our current and future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Any future debt financing into which we enter may impose upon us additional covenants that restrict our operations, including limitation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8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Adequate funding may not be available to us on acceptable terms or at all. Our failure to raise capital as and when needed could have a negative impact on our financial condition and ability to pursue our business strategies. If we are unable to raise additional funds when needed, we may be required to delay, reduce or terminate some or all of our development programs and clinical trials or we may also be required to terminate rights to our current and future product candidates.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spacing w:after="0" w:line="185"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See the section titled “Risk Factors” in Part I, Item 1A of this Annual Report on Form 10-K for additional risks associated with our substantial capital requirements.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Statements of Cash Flows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primary sources and uses of cash:</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16"/>
                <w:szCs w:val="16"/>
                <w:color w:val="auto"/>
              </w:rPr>
            </w:pPr>
          </w:p>
        </w:tc>
      </w:tr>
      <w:tr>
        <w:trPr>
          <w:trHeight w:val="185"/>
        </w:trPr>
        <w:tc>
          <w:tcPr>
            <w:tcW w:w="6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183"/>
        </w:trPr>
        <w:tc>
          <w:tcPr>
            <w:tcW w:w="6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183"/>
        </w:trPr>
        <w:tc>
          <w:tcPr>
            <w:tcW w:w="6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(53,288 )</w:t>
            </w:r>
          </w:p>
        </w:tc>
        <w:tc>
          <w:tcPr>
            <w:tcW w:w="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(33,462 )</w:t>
            </w: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(43,278 )</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(21,771 )</w:t>
            </w:r>
          </w:p>
        </w:tc>
      </w:tr>
      <w:tr>
        <w:trPr>
          <w:trHeight w:val="230"/>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84,994</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70,355</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Net (decrease) increase in cash</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(11,572 )</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15,122</w:t>
            </w:r>
          </w:p>
        </w:tc>
      </w:tr>
      <w:tr>
        <w:trPr>
          <w:trHeight w:val="20"/>
        </w:trPr>
        <w:tc>
          <w:tcPr>
            <w:tcW w:w="6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-179705</wp:posOffset>
            </wp:positionV>
            <wp:extent cx="1028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0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Net cash used in operating activities was $53.3 million for the year ended December 31, 2023, which consisted of a net loss of $64.7 million, due to the use of funds to develop our initial drug product candidate offset by a net increase of $5.8 million in our net operating assets and liabilities and $5.6 million in non-cash charges. The net increase in our operating assets and liabilities was primarily due to an increase of $6.2 million in accounts payable, accrued compensation and accrued liabilities due to an increase in accrued research and development expenses, and an increase of $0.7 million in other current liabilities, partially offset by a decrease of $1.0 million in prepaid expenses and other current assets and a decrease of $0.1 million in operating lease liabilities. The non-cash charges consisted of stock-based compensation expense of $8.4 million and non-cash operating lease expense of $0.1 million, partially offset by net accretion of discounts on investments of $2.9 million.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ind w:firstLine="509"/>
        <w:spacing w:after="0"/>
        <w:rPr>
          <w:sz w:val="20"/>
          <w:szCs w:val="20"/>
          <w:color w:val="auto"/>
        </w:rPr>
      </w:pPr>
      <w:r>
        <w:rPr>
          <w:rFonts w:ascii="Arial" w:cs="Arial" w:eastAsia="Arial" w:hAnsi="Arial"/>
          <w:sz w:val="18"/>
          <w:szCs w:val="18"/>
          <w:color w:val="auto"/>
        </w:rPr>
        <w:t>Net cash used in operating activities was $33.5 million for the year ended December 31, 2022, which consisted of a net loss of $41.0 million, due to the use of funds to develop our initial drug product candidate offset by a net increase of $3.7 million in our net operating assets and liabilities and $3.8 million in non-cash charges. The net increase in our operating assets and liabilities was primarily due to an increase of $5.5 million in accounts payable, accrued compensation and accrued liabilities due to an increase in accrued research and development expenses, partially offset by an increase of $1.7 million in prepaid expenses and other current assets and a decrease of $0.1 million in operating lease liabilities. The non-cash charges consisted of stock-based compensation expense of $4.4 million and non-cash operating lease expense of $0.1 million, partially offset by net accretion of discounts on investments of $0.7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02"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Net cash used in investing activities was $43.3 million for the year ended December 31, 2023, which primarily consisted of $132.2 million in purchases of investments, partially offset by $88.9 million in proceeds from maturities of investments.</w:t>
      </w:r>
    </w:p>
    <w:p>
      <w:pPr>
        <w:spacing w:after="0" w:line="154"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Net cash used in investing activities was $21.8 million for the year ended December 31, 2022, which primarily consisted of $93.8 million in purchases of investments, partially offset by $72.0 million in proceeds from maturities of investments.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02"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Net cash provided by financing activities was $85.0 million for the year ended December 31, 2023, which primarily consisted of net proceeds from the issuance of common stock in our Underwritten Offering and ATM Offering.</w:t>
      </w:r>
    </w:p>
    <w:p>
      <w:pPr>
        <w:spacing w:after="0" w:line="154"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Net cash provided by financing activities was $70.4 million for the year ended December 31, 2022, which primarily consisted of net proceeds from the issuance of common stock in our IPO.</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November 2019, we entered into an exclusive worldwide license agreement with Anacor for certain compounds and other intellectual property controlled by Anacor for the treatment, diagnosis, or prevention of disease. In exchange for the worldwide, sublicensable, exclusive right and licenses to develop, manufacture, and commercialize the specified compounds, we paid Anacor a $2.0 million upfront payment in November 2019 and issued Anacor shares of our Series A redeemable convertible preferred stock. We agreed to make further payments to Anacor upon achievement of various development milestones for an aggregate maximum payment of $ 2.0 million, various commercial and sales threshold milestones for an aggregate maximum payment of $125.0 million, and up to 50% of royalties received under certain sublicensing arrangements. Royalties are subject to certain customary reductions, including lack of patent coverage and generic product entry. We also agreed to pay Anacor sales royalties as a percentage of net sales ranging from single to mid-teens.</w:t>
      </w:r>
    </w:p>
    <w:p>
      <w:pPr>
        <w:spacing w:after="0" w:line="180"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We enter into contracts in the normal course of business with third-party contract organizations for preclinical and nonclinical studies and clinical trials, manufacture and supply of our preclinical, nonclinical, clinical trial, and other services and products used for operating purposes. These contracts generally provide for termination following a certain period after notice, and therefore we believe that our non-cancelable obligations under these agreements are not material.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Critical Accounting Policies, Significant Judgements, and Use of Estimates</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(“U.S.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judgements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judgements and estimates. While our significant accounting policies are described in more detail in Part I, Note 2—Basis of Presentation and Summary of Significant Accounting Policies to our financial statements appearing elsewhere in this Form 10-K, we believe that the following accounting policies are those most critical to the judgments and estimates used in the preparation of our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2"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We have entered into various agreements with CMOs and CROs. We record research and development expenses to operations as incurred. Research and development expenses represent costs incurred by us for the discovery and development of our product candidates and the development of our technology and include: internal research and development expense, including employee-related expenses (such as salaries, bonus, benefits, travel and non-cash stock-based compensation expense); external research and development expenses incurred under arrangements with third parties, such as CROs, preclinical testing organizations, CMOs, academic and non-profit institutions and consultants; related-party milestone payments; license fees; and other expenses. Costs to develop our technologies are recorded as research and development expense as incurred.</w:t>
      </w:r>
    </w:p>
    <w:p>
      <w:pPr>
        <w:spacing w:after="0" w:line="185"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As part of the process of preparing financial statements, we are required to estimate and accrue expenses. We record the estimated expenses of research and development activities conducted by third-party service providers based upon the estimated level of services performed, progress of the studies, including the receipt of deliverables or completion of agreed-upon events, and contracted costs, within research and development expense in the statements of operations and comprehensive loss. These services include the conduct of clinical, nonclinical and preclinical studies, contract manufacturing activities and consulting services.</w:t>
      </w:r>
    </w:p>
    <w:p>
      <w:pPr>
        <w:spacing w:after="0" w:line="17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Payments made to CMOs and CROs under these arrangements in advance of the performance of the related services are deferred and recognized as expense in the period in which the related goods are received or services are realized or utilized. If the costs have been prepaid, this expense reduces the prepaid expenses in the balance sheets, and if not yet invoiced, the costs are included in accrued liabilities in the balance sheets. These costs are a significant component of our research and development expenses. We record amortization of prepaid expenses or accrued expenses for these costs based on the estimated amount of work completed and in accordance with agreements established with these third parties. Such payments are evaluated for current or long-term classification based on when they will be realized. If the actual timing of the performance of services or the level of effort varies from the original estimates, we will adjust the accrual accordingly. To date, our estimated accruals have not differed materially from the actual costs.</w:t>
      </w:r>
    </w:p>
    <w:p>
      <w:pPr>
        <w:spacing w:after="0" w:line="180"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Costs for certain research and development activities are recognized based on an evaluation of the progress to completion of specific tasks. We estimate the amount of work completed through discussions with internal personnel and external service providers as to the progress or stage of completion of the services and the agreed-upon fee to be paid for such services. We make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may vary from our estimates and could result in us reporting amounts that are too high or too low in any particular period. Our accrued expenses are dependent, in part, upon the receipt of timely and accurate reporting from external CROs, CMOs and other third-party service providers. To date, we have not experienced material differences between our accrued expenses and actual expenses.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use a fair value-based method to account for all stock-based compensation arrangements with employees and non-employees, which include stock options. The fair value of the option granted is recognized on a straight-line basis over the period during which an optionee is required to provide services in exchange for the option award, known as the requisite service period, which usually is the vesting period. We account for forfeitures as they occur. In determining fair value of the stock options granted, we use the Black–Scholes option pricing model, which requires the input of subjective assumptions. These assumptions include: estimating the length of time employees will retain their vested stock options before exercising them (expected term), the estimated volatility of our common stock price over the expected term (expected volatility), risk-free interest rate, and expected dividends. See Note 10—Equity Incentive Plan and Stock-Based Compensation to our audited financial statements included elsewhere in this Form 10-K for information concerning certain of the specific assumptions we used in applying the Black-Scholes option pricing model to determine the estimated fair value of our stock options granted in the years ended December 31, 2023 and 2022. Changes in the following assumptions can materially affect the estimate of fair value and ultimately how much stock-based compensation expense is recognized; and the resulting change in fair value, if any, is recognized in our statement of operations and comprehensive loss during the period the related services are rendered. These inputs are subjective and generally require significant analysis and judgment to develop.</w:t>
      </w:r>
    </w:p>
    <w:p>
      <w:pPr>
        <w:spacing w:after="0" w:line="72"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Fair Value of Common Stock—See the subsection titled “Common Stock Valuations” below.</w:t>
      </w:r>
    </w:p>
    <w:p>
      <w:pPr>
        <w:spacing w:after="0" w:line="116" w:lineRule="exact"/>
        <w:rPr>
          <w:rFonts w:ascii="Times New Roman" w:cs="Times New Roman" w:eastAsia="Times New Roman" w:hAnsi="Times New Roman"/>
          <w:sz w:val="18"/>
          <w:szCs w:val="18"/>
          <w:color w:val="auto"/>
        </w:rPr>
      </w:pPr>
    </w:p>
    <w:p>
      <w:pPr>
        <w:ind w:left="1020" w:right="120" w:hanging="503"/>
        <w:spacing w:after="0" w:line="242"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Expected Term—The expected term is calculated using the simplified method which is used when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69" w:lineRule="exact"/>
        <w:rPr>
          <w:rFonts w:ascii="Times New Roman" w:cs="Times New Roman" w:eastAsia="Times New Roman" w:hAnsi="Times New Roman"/>
          <w:sz w:val="18"/>
          <w:szCs w:val="18"/>
          <w:color w:val="auto"/>
        </w:rPr>
      </w:pPr>
    </w:p>
    <w:p>
      <w:pPr>
        <w:ind w:left="1020" w:right="60" w:hanging="503"/>
        <w:spacing w:after="0" w:line="243"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Expected Volatility—We use an average historical stock price volatility of a peer group of comparable publicly traded companies in biotechnology and pharmaceutical-related industries to be representative of our expected future stock price volatility, as we have limited trading history for our common stock. For purposes of identifying these peer companies, we consider the industry, therapeutic area, stage of development, size and financial leverage of potential comparable companies. For each grant, we measure historical volatility over a period equivalent to the expected term.</w:t>
      </w:r>
    </w:p>
    <w:p>
      <w:pPr>
        <w:spacing w:after="0" w:line="71"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Risk-Free Interest Rate—The risk-free interest rate is based on the implied yield currently available on U.S. Treasury zero-coupon issues with a remaining term equivalent to the expected term of the stock award.</w:t>
      </w:r>
    </w:p>
    <w:p>
      <w:pPr>
        <w:spacing w:after="0" w:line="46" w:lineRule="exact"/>
        <w:rPr>
          <w:rFonts w:ascii="Times New Roman" w:cs="Times New Roman" w:eastAsia="Times New Roman" w:hAnsi="Times New Roman"/>
          <w:sz w:val="18"/>
          <w:szCs w:val="18"/>
          <w:color w:val="auto"/>
        </w:rPr>
      </w:pPr>
    </w:p>
    <w:p>
      <w:pPr>
        <w:ind w:left="1020" w:right="500" w:hanging="503"/>
        <w:spacing w:after="0" w:line="270" w:lineRule="auto"/>
        <w:tabs>
          <w:tab w:leader="none" w:pos="10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Expected Dividend Rate—We have not paid and do not anticipate paying any dividends in the near future. Accordingly, we estimate the dividend yield to be zero.</w:t>
      </w:r>
    </w:p>
    <w:p>
      <w:pPr>
        <w:spacing w:after="0" w:line="154"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For the years ended December 31, 2023 and 2022, there was an insignificant amount of cash received and no cash received upon exercise of stock options,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Valuations</w:t>
      </w:r>
    </w:p>
    <w:p>
      <w:pPr>
        <w:spacing w:after="0" w:line="10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Prior to our IPO, in the absence of a public trading market for our common stock, the estimated fair value of the common stock underlying our stock options was determined at each grant date by our Board, with input from management. All options to purchase shares of our common stock are intended to be exercisable at a price per share not less than the per-share fair value of our common stock underlying those options on the date of grant.</w:t>
      </w:r>
    </w:p>
    <w:p>
      <w:pPr>
        <w:spacing w:after="0" w:line="17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On each grant date, we developed an estimate of the fair value of our common stock based on the information known to us on the date of grant, upon a review of any recent events and their potential impact on the estimated fair value per share of the common stock, and valuations from an independent third-party valuation firm.</w:t>
      </w:r>
    </w:p>
    <w:p>
      <w:pPr>
        <w:spacing w:after="0" w:line="169"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The valuations of our common stock were determined in accordance with the guidelines outlined in the American Institute of Certified Public Accountants Practice Aid, Valuation of Privately-Held-Company Equity Securities Issued as Compensation (the “Practice Aid”).</w:t>
      </w:r>
    </w:p>
    <w:p>
      <w:pPr>
        <w:spacing w:after="0" w:line="154"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The assumptions used to determine the estimated fair value of our common stock are based on numerous objective and subjective factors, combined with management judgment, including:</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92" w:name="page93"/>
    <w:bookmarkEnd w:id="92"/>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external market conditions affecting the pharmaceutical and biotechnology industry and trends within the industry;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our stage of development and business strategy;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rights, preferences and privileges of our redeemable convertible preferred stock relative to those of our common stock;</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prices at which we sold shares of our redeemable convertible preferred stock;</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condition and operating results, including our levels of available capital resources;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equity market conditions affecting comparable public companies;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general U.S. market conditions and the lack of marketability of our common stock.</w:t>
      </w:r>
    </w:p>
    <w:p>
      <w:pPr>
        <w:spacing w:after="0" w:line="224"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61" w:lineRule="exact"/>
        <w:rPr>
          <w:sz w:val="20"/>
          <w:szCs w:val="20"/>
          <w:color w:val="auto"/>
        </w:rPr>
      </w:pPr>
    </w:p>
    <w:p>
      <w:pPr>
        <w:ind w:left="1020" w:right="120" w:hanging="503"/>
        <w:spacing w:after="0" w:line="252" w:lineRule="auto"/>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Option Pricing Method</w:t>
      </w:r>
      <w:r>
        <w:rPr>
          <w:rFonts w:ascii="Arial" w:cs="Arial" w:eastAsia="Arial" w:hAnsi="Arial"/>
          <w:sz w:val="18"/>
          <w:szCs w:val="18"/>
          <w:color w:val="auto"/>
        </w:rPr>
        <w:t>. Under the option pricing method (the “OPM method”), shares are valued by creating a series of call</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with exercise prices based on the liquidation preferences and conversion terms of each equity class. The estimated fair values of the preferred and common stock are inferred by analyzing these options.</w:t>
      </w:r>
    </w:p>
    <w:p>
      <w:pPr>
        <w:spacing w:after="0" w:line="62" w:lineRule="exact"/>
        <w:rPr>
          <w:rFonts w:ascii="Times New Roman" w:cs="Times New Roman" w:eastAsia="Times New Roman" w:hAnsi="Times New Roman"/>
          <w:sz w:val="18"/>
          <w:szCs w:val="18"/>
          <w:color w:val="auto"/>
        </w:rPr>
      </w:pPr>
    </w:p>
    <w:p>
      <w:pPr>
        <w:ind w:left="1020" w:right="140" w:hanging="503"/>
        <w:spacing w:after="0" w:line="252" w:lineRule="auto"/>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Current Value Method</w:t>
      </w:r>
      <w:r>
        <w:rPr>
          <w:rFonts w:ascii="Arial" w:cs="Arial" w:eastAsia="Arial" w:hAnsi="Arial"/>
          <w:sz w:val="18"/>
          <w:szCs w:val="18"/>
          <w:color w:val="auto"/>
        </w:rPr>
        <w:t>. Under the current value method (the “CVM method”), the Company’s current value is allocated among</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equity holders based on liquidation preferences and other rights under the assumption that all capital owners act to maximize their financial return.</w:t>
      </w:r>
    </w:p>
    <w:p>
      <w:pPr>
        <w:spacing w:after="0" w:line="62" w:lineRule="exact"/>
        <w:rPr>
          <w:rFonts w:ascii="Times New Roman" w:cs="Times New Roman" w:eastAsia="Times New Roman" w:hAnsi="Times New Roman"/>
          <w:sz w:val="18"/>
          <w:szCs w:val="18"/>
          <w:color w:val="auto"/>
        </w:rPr>
      </w:pPr>
    </w:p>
    <w:p>
      <w:pPr>
        <w:ind w:left="1020" w:hanging="503"/>
        <w:spacing w:after="0" w:line="246" w:lineRule="auto"/>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Probability-Weighted Expected Return Method</w:t>
      </w:r>
      <w:r>
        <w:rPr>
          <w:rFonts w:ascii="Arial" w:cs="Arial" w:eastAsia="Arial" w:hAnsi="Arial"/>
          <w:sz w:val="18"/>
          <w:szCs w:val="18"/>
          <w:color w:val="auto"/>
        </w:rPr>
        <w:t>. The probability-weighted expected return method (the “PWERM method”), is</w:t>
      </w:r>
      <w:r>
        <w:rPr>
          <w:rFonts w:ascii="Arial" w:cs="Arial" w:eastAsia="Arial" w:hAnsi="Arial"/>
          <w:sz w:val="18"/>
          <w:szCs w:val="18"/>
          <w:b w:val="1"/>
          <w:bCs w:val="1"/>
          <w:color w:val="auto"/>
        </w:rPr>
        <w:t xml:space="preserve"> </w:t>
      </w:r>
      <w:r>
        <w:rPr>
          <w:rFonts w:ascii="Arial" w:cs="Arial" w:eastAsia="Arial" w:hAnsi="Arial"/>
          <w:sz w:val="18"/>
          <w:szCs w:val="18"/>
          <w:color w:val="auto"/>
        </w:rPr>
        <w:t>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68" w:lineRule="exact"/>
        <w:rPr>
          <w:rFonts w:ascii="Times New Roman" w:cs="Times New Roman" w:eastAsia="Times New Roman" w:hAnsi="Times New Roman"/>
          <w:sz w:val="18"/>
          <w:szCs w:val="18"/>
          <w:color w:val="auto"/>
        </w:rPr>
      </w:pPr>
    </w:p>
    <w:p>
      <w:pPr>
        <w:ind w:left="1020" w:right="60" w:hanging="503"/>
        <w:spacing w:after="0" w:line="252" w:lineRule="auto"/>
        <w:tabs>
          <w:tab w:leader="none" w:pos="102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Hybrid Method</w:t>
      </w:r>
      <w:r>
        <w:rPr>
          <w:rFonts w:ascii="Arial" w:cs="Arial" w:eastAsia="Arial" w:hAnsi="Arial"/>
          <w:sz w:val="18"/>
          <w:szCs w:val="18"/>
          <w:color w:val="auto"/>
        </w:rPr>
        <w:t>. Under the Hybrid Method the Company’s current value is estimated based on a combination of the OPM,</w:t>
      </w:r>
      <w:r>
        <w:rPr>
          <w:rFonts w:ascii="Arial" w:cs="Arial" w:eastAsia="Arial" w:hAnsi="Arial"/>
          <w:sz w:val="18"/>
          <w:szCs w:val="18"/>
          <w:b w:val="1"/>
          <w:bCs w:val="1"/>
          <w:color w:val="auto"/>
        </w:rPr>
        <w:t xml:space="preserve"> </w:t>
      </w:r>
      <w:r>
        <w:rPr>
          <w:rFonts w:ascii="Arial" w:cs="Arial" w:eastAsia="Arial" w:hAnsi="Arial"/>
          <w:sz w:val="18"/>
          <w:szCs w:val="18"/>
          <w:color w:val="auto"/>
        </w:rPr>
        <w:t>PWERM, and CVM methods, whereby each valuation method is applied to a different scenario. The different scenarios are then weighted based on their probable outcomes.</w:t>
      </w:r>
    </w:p>
    <w:p>
      <w:pPr>
        <w:spacing w:after="0" w:line="171"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Subsequent to December 31, 2021 and through March 23, 2022, prior to the availability of a market price for our common stock on the Nasdaq Global Select Market, we used the Hybrid Method to determine our enterprise value. We took into account our estimated equity value of our anticipated IPO, the estimated present value of the assumed IPO price per share, the estimated time to IPO and a discount for lack of marketability. We also factored in the non-IPO Scenario, assumed that we will stay private and used a hybrid backsolve method to conclude our equity value based on our most recent arms-length financing transaction, adjusted for market trends. The non-IPO Scenario also involved making assumptions for the expected time to liquidity, volatility, and risk-free rate.</w:t>
      </w:r>
    </w:p>
    <w:p>
      <w:pPr>
        <w:spacing w:after="0" w:line="17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Subsequent to December 31, 2021 and through March 23, 2022, we determined that the Hybrid Method was also the most appropriate method for allocating our enterprise value to determine the estimated fair value of our common stock. The OPM and CVM methods were used based on the future IPO Scenario, equity value and the expected future allocation to the preferred and common stockholders. The CVM and OPM methods were combined and weighted to reflect our estimation of the occurrence of each scenario.</w:t>
      </w:r>
    </w:p>
    <w:p>
      <w:pPr>
        <w:spacing w:after="0" w:line="174"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In determining the estimated fair value of our common stock, our Board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ind w:firstLine="509"/>
        <w:spacing w:after="0" w:line="242" w:lineRule="auto"/>
        <w:rPr>
          <w:sz w:val="20"/>
          <w:szCs w:val="20"/>
          <w:color w:val="auto"/>
        </w:rPr>
      </w:pPr>
      <w:r>
        <w:rPr>
          <w:rFonts w:ascii="Arial" w:cs="Arial" w:eastAsia="Arial" w:hAnsi="Arial"/>
          <w:sz w:val="18"/>
          <w:szCs w:val="18"/>
          <w:color w:val="auto"/>
        </w:rPr>
        <w:t>There are significant judgments and estimates inherent in the determination of our enterprise value and the fair value of our common stock, such as those regarding our discount rates, the selection of comparable companies, and the probability of possible future events. Such estimates involve inherent uncertainties and the application of significant judgment. As a result, if factors or expected outcomes change and we use significantly different assumptions or estimates, our stock-based compensation could be materially different. Changes in judgements could have a material impact on our results of operation. Following the completion of the IPO, the fair value of our common stock is based on the closing quoted market price of our common stock on the date of grant.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0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recorded all shares of redeemable convertible preferred stock at their respective fair values on the dates of issuance, net of issuance costs. The redeemable convertible preferred stock was recorded outside of permanent equity because while it is not mandatorily redeemable, in certain events considered not solely within our control, such as a merger, acquisition, or sale of all or substantially all of our assets (each, a deemed liquidation event), the redeemable convertible preferred stock would have become redeemable at the option of the holders of at least a majority of the then outstanding shares. In addition, shares of preferred stock must be redeemed by the Company at a price of $ 2.55 and $15.00 per share for Series A and Series B redeemable convertible stock, respectively, plus any accrued dividends (whether or not declared) in three annual installments on or after the seventh anniversary of the Series B original issue date (on or after March 5, 2028) upon a written request by at least two-thirds of the holders of the Series A and Series B redeemable convertible preferred stock, voting together as a single class. During the year ended December 31, 2022, we accreted $1.8 million to the redemption value of the redeemable convertible preferred stock representing cumulative dividends. Immediately prior to the closing of the IPO, all outstanding shares of the Company’s redeemable convertible preferred stock were converted into shares of common stock and the related carrying value was reclassified to common stock and additional paid-in capital. There were no shares of redeemable convertible preferred stock outstanding as of December 31, 2023 and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including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85"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We have also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reduces our exposure and enables us to recover a portion of any future amounts paid.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See the section “Recently Adopted Accounting Pronouncements” in Note 2 to the Notes to Financial Statements in Part IV, Item 15 of this Annual Report on Form 10-K.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04"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The JOBS Act permits an “emerging growth company” or “EGC” such as us to delay adopting new or revised accounting standards issued subsequent to the enactment of the JOBS Act until such time as those standards apply to private companies. We have elected to use this extended period for complying with new or revised accounting standards that have different effective dates for public and private companies until the earlier of the date that we (i) are no longer an EGC or (ii) affirmatively and irrevocably opt out of the extended transition period provided in the JOBS Act. As a result, the information we provide may not be comparable to companies that comply with the new or revised accounting pronouncements as of public company effective dates.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ind w:right="40" w:firstLine="509"/>
        <w:spacing w:after="0" w:line="271" w:lineRule="auto"/>
        <w:rPr>
          <w:sz w:val="20"/>
          <w:szCs w:val="20"/>
          <w:color w:val="auto"/>
        </w:rPr>
      </w:pPr>
      <w:r>
        <w:rPr>
          <w:rFonts w:ascii="Arial" w:cs="Arial" w:eastAsia="Arial" w:hAnsi="Arial"/>
          <w:sz w:val="18"/>
          <w:szCs w:val="18"/>
          <w:color w:val="auto"/>
        </w:rPr>
        <w:t>In addition, we intend to rely on other exemptions provided by the JOBS Act, including without limitation, not being required to comply with the auditor attestation requirements of Section 404(b) of the Sarbanes-Oxley Act.</w:t>
      </w:r>
    </w:p>
    <w:p>
      <w:pPr>
        <w:spacing w:after="0" w:line="154"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We will remain an EGC until the earliest to occur of: (1) the last day of our first fiscal year in which we have total annual revenues of more than $1.235 billion; (2) the date we qualify as a “large accelerated filer,” with at least $700.0 million of equity securities held by non-affiliates; (3) the date on which we have issued more than $1.0 billion in non-convertible debt securities during the prior three- year period; and (4) the last day of the fiscal year ending after the fifth anniversary of our IPO.</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02"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We are exposed to market risk related to changes in interest rates. We had cash, cash equivalents and investments of $134.5 million as of December 31, 2023, which consisted primarily of money market funds and marketable securities, largely composed of investment grade, short and long- term fixed income securities and government securities.</w:t>
      </w:r>
    </w:p>
    <w:p>
      <w:pPr>
        <w:spacing w:after="0" w:line="16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primary objective of our investment activities is to preserve capital to fund our operations. We also seek to maximize income from our investments without assuming significant risk. To achieve our objectives, we maintain a portfolio of cash, cash equivalents, and investments in accordance with our Board-approved investment charter.</w:t>
      </w:r>
    </w:p>
    <w:p>
      <w:pPr>
        <w:spacing w:after="0" w:line="16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Our investments are subject to interest rate risk and could fall in value if market interest rates increase. A hypothetical 10% relative change in interest rates during any of the periods presented would not have had a material impact on our financial statements. We do not believe that inflation, interest rate changes or exchange rate fluctuations had a significant impact on our results of operations for any periods presented herein.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02"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A small portion of our expenses are denominated in foreign currencies, most notably the Australian Dollar. Future fluctuations in the value of the U.S. Dollar may affect the price we pay for services performed outside the United States. We were not exposed to material foreign currency risk during the year ended December 31, 2023.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02"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Inflation generally affects us by increasing our cost of labor and operating costs including clinical trial, non-clinical study and manufacturing costs. We believe that inflation has not had a material effect on our financial statements included elsewhere in this Annual Report on Form 10-K.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4"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The financial statements and related financial statement schedules required to be filed are listed in Part IV, Item 15 of this Annual Report on Form 10-K.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4"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period covered by this Form 10-K.</w:t>
      </w:r>
    </w:p>
    <w:p>
      <w:pPr>
        <w:spacing w:after="0" w:line="1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95" w:name="page96"/>
    <w:bookmarkEnd w:id="95"/>
    <w:p>
      <w:pPr>
        <w:ind w:right="120" w:firstLine="509"/>
        <w:spacing w:after="0" w:line="239"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CEO and CFO,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spacing w:after="0" w:line="183"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Our CEO and CFO have concluded that as of December 31, 2023, our disclosure controls and procedures were not effective due to material weaknesses in internal control over financial reporting, as described below.</w:t>
      </w:r>
    </w:p>
    <w:p>
      <w:pPr>
        <w:spacing w:after="0" w:line="154"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Notwithstanding the identified material weaknesses, management, including our CEO and CFO, have determined, based on the procedures we have performed, that the financial statements included in this Annual Report on Form 10-K were prepared in accordance with U.S. GAAP.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2"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GAAP.</w:t>
      </w:r>
    </w:p>
    <w:p>
      <w:pPr>
        <w:spacing w:after="0" w:line="15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 xml:space="preserve">Management has evaluated the effectiveness of our internal control over financial reporting as of December 31, 2023 using the criteria set forth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its evaluation, management has concluded that as of December 31, 2023, our internal control over financial reporting was not effective due to material weaknesses in internal control over financial reporting, as described below.</w:t>
      </w:r>
    </w:p>
    <w:p>
      <w:pPr>
        <w:spacing w:after="0" w:line="174"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During the course of preparing for our March 2022 IPO, we identified material weaknesses in our internal control over financial reporting. A material weakness is a deficiency, or a combination of deficiencies, in internal control over financial reporting such that there is a reasonable possibility that a material misstatement of its annual or interim financial statements will not be prevented or detected on a timely basis.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material weaknesses identified were as follows, and continue to exist as of December 31, 2023:</w:t>
      </w:r>
    </w:p>
    <w:p>
      <w:pPr>
        <w:spacing w:after="0" w:line="104"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an effective control environment commensurate with our financial reporting requirements. Specifically, we lacked a sufficient complement of resources with (i) an appropriate level of accounting knowledge, experience and training to appropriately analyze, record and disclose accounting matters timely and accurately, and (ii) an appropriate level of knowledge and experience to establish effective processes and controls. Additionally, the lack of a sufficient number of professionals resulted in an inability to consistently establish appropriate authorities and responsibilities in pursuit of our financial reporting objectives, as demonstrated by, among other things, insufficient segregation of duties in our finance and accounting functions. This material weakness contributed to the following additional material weaknesses.</w:t>
      </w:r>
    </w:p>
    <w:p>
      <w:pPr>
        <w:spacing w:after="0" w:line="75" w:lineRule="exact"/>
        <w:rPr>
          <w:rFonts w:ascii="Times New Roman" w:cs="Times New Roman" w:eastAsia="Times New Roman" w:hAnsi="Times New Roman"/>
          <w:sz w:val="18"/>
          <w:szCs w:val="18"/>
          <w:color w:val="auto"/>
        </w:rPr>
      </w:pPr>
    </w:p>
    <w:p>
      <w:pPr>
        <w:ind w:left="1020" w:right="160" w:hanging="503"/>
        <w:spacing w:after="0" w:line="246" w:lineRule="auto"/>
        <w:tabs>
          <w:tab w:leader="none" w:pos="102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effective controls related to the period-end financial reporting process, including designing and maintaining formal accounting policies, procedures and controls to achieve complete, accurate and timely financial accounting, reporting and disclosures. Additionally, we did not design and maintain controls over the preparation and review of account reconciliations and journal entries, including maintaining appropriate segregation of duties.</w:t>
      </w:r>
    </w:p>
    <w:p>
      <w:pPr>
        <w:spacing w:after="0" w:line="177"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above material weaknesses resulted in adjustments to accrued expenses balances, which were recorded prior to the issuance of the financial statements, as of and for the years ended December 31, 2019 and 2020. Additionally, these material weaknesses could result in a misstatement of substantially all of our accounts or disclosures that would result in a material misstatement to the annual or interim financial statements that would not be prevented or detected.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ind w:left="1020" w:hanging="503"/>
        <w:spacing w:after="0" w:line="239" w:lineRule="auto"/>
        <w:tabs>
          <w:tab w:leader="none" w:pos="10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effective controls over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86"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These IT deficiencies did not result in adjustments to the financial statements. However, the IT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 IT deficiencies in the aggregate constitute a material weakness.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Attestation Report of Independent Registered Public Accounting Firm</w:t>
      </w:r>
    </w:p>
    <w:p>
      <w:pPr>
        <w:spacing w:after="0" w:line="210"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This Annual Report on Form 10-K does not include an attestation report from our independent registered public accounting firm on our internal control over financial reporting due to an exemption established by the JOBS Act for EGCs.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Prior Material Weakness</w:t>
      </w:r>
    </w:p>
    <w:p>
      <w:pPr>
        <w:spacing w:after="0" w:line="212"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Management previously identified a material weakness in the design and operating effectiveness of controls related to the accounting for certain non-routine or complex transactions, including the proper application of U.S. GAAP to such transactions. As of September 30, 2023, we finalized the design and were validating the effectiveness of controls to account for and disclose complex transactions. As of December 31, 2023, we validated the effectiveness of controls to account for and disclose complex transactions. The applicable controls have been in operation for a sufficient period of time, and management has concluded, through testing, that these controls are operating effectively. Accordingly, the material weakness associated with the accounting for certain non-routine or complex transactions, including the proper application of U.S. GAAP, was remediated as of December 31, 2023.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 for Remaining Material Weaknesses</w:t>
      </w:r>
    </w:p>
    <w:p>
      <w:pPr>
        <w:spacing w:after="0" w:line="102"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The Company is committed to remediating the material weaknesses in our internal control over financial reporting. We have implemented measures designed to improve our internal control over financial reporting to remediate these material weaknesses, and are refining the design and validating the effectiveness of these controls, including (i) ongoing hiring of additional accounting personnel; (ii) designing and implementing internal controls in our financial control environment, including establishing formal accounting policies and procedures and financial reporting controls; and (iii) implementing an accounting system upgrade with IT controls to ensure appropriate and restricted access to our accounting applications, programs, and data, including upgrading of our accounting system.</w:t>
      </w:r>
    </w:p>
    <w:p>
      <w:pPr>
        <w:spacing w:after="0" w:line="17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Other than the material weakness associated with the accounting for certain non-route or complex transactions, including the proper application of U.S. GAAP, which has been remediated, the remaining material weaknesses will not be considered remediated until the design requirements described above have been finalized, and the applicable controls have operated for a sufficient period of time and management has concluded, through testing, that these controls are operating effectively. Accordingly, the material weaknesses related to lack of sufficient resources, insufficient segregation of duties, lack of designing and maintaining formal accounting policies, procedures and controls and lack of designing and maintaining effective controls over IT, were not remediated as of December 31, 2023.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102"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December 31, 2023 that materially affected, or are reasonably likely to materially affect, our internal control over financial reporting.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None of our directors or officers (as defined in Section 16 of the Securities Exchange Act of 1934, as amended) adopted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8" w:name="page99"/>
    <w:bookmarkEnd w:id="98"/>
    <w:p>
      <w:pPr>
        <w:jc w:val="center"/>
        <w:ind w:left="440"/>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Proxy Statement to be filed with the SEC within 120 days after the end of our fiscal year ended December 31, 2023.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Proxy Statement to be filed with the SEC within 120 days after the end of our fiscal year ended December 31, 2023.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Proxy Statement to be filed with the SEC within 120 days after the end of our fiscal year ended December 31, 2023.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Proxy Statement to be filed with the SEC within 120 days after the end of our fiscal year ended December 31, 2023.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incorporated by reference to the Proxy Statement to be filed with the SEC within 120 days after the end of our fiscal year ended December 31, 2023.</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47"/>
        </w:trPr>
        <w:tc>
          <w:tcPr>
            <w:tcW w:w="15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60" w:type="dxa"/>
            <w:vAlign w:val="bottom"/>
            <w:gridSpan w:val="5"/>
          </w:tcPr>
          <w:p>
            <w:pPr>
              <w:ind w:left="1280"/>
              <w:spacing w:after="0"/>
              <w:rPr>
                <w:sz w:val="20"/>
                <w:szCs w:val="20"/>
                <w:color w:val="auto"/>
              </w:rPr>
            </w:pPr>
            <w:r>
              <w:rPr>
                <w:rFonts w:ascii="Arial" w:cs="Arial" w:eastAsia="Arial" w:hAnsi="Arial"/>
                <w:sz w:val="18"/>
                <w:szCs w:val="18"/>
                <w:b w:val="1"/>
                <w:bCs w:val="1"/>
                <w:color w:val="auto"/>
              </w:rPr>
              <w:t>PART IV</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10280" w:type="dxa"/>
            <w:vAlign w:val="bottom"/>
            <w:gridSpan w:val="9"/>
          </w:tcPr>
          <w:p>
            <w:pPr>
              <w:jc w:val="center"/>
              <w:ind w:right="6060"/>
              <w:spacing w:after="0"/>
              <w:rPr>
                <w:sz w:val="20"/>
                <w:szCs w:val="20"/>
                <w:color w:val="auto"/>
              </w:rPr>
            </w:pPr>
            <w:r>
              <w:rPr>
                <w:rFonts w:ascii="Arial" w:cs="Arial" w:eastAsia="Arial" w:hAnsi="Arial"/>
                <w:sz w:val="18"/>
                <w:szCs w:val="18"/>
                <w:b w:val="1"/>
                <w:bCs w:val="1"/>
                <w:color w:val="auto"/>
                <w:w w:val="99"/>
              </w:rPr>
              <w:t>Item 15. Exhibits, Financial Statement Schedules.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280" w:type="dxa"/>
            <w:vAlign w:val="bottom"/>
            <w:gridSpan w:val="9"/>
          </w:tcPr>
          <w:p>
            <w:pPr>
              <w:ind w:left="520"/>
              <w:spacing w:after="0"/>
              <w:rPr>
                <w:sz w:val="20"/>
                <w:szCs w:val="20"/>
                <w:color w:val="auto"/>
              </w:rPr>
            </w:pPr>
            <w:r>
              <w:rPr>
                <w:rFonts w:ascii="Arial" w:cs="Arial" w:eastAsia="Arial" w:hAnsi="Arial"/>
                <w:sz w:val="18"/>
                <w:szCs w:val="18"/>
                <w:color w:val="auto"/>
              </w:rPr>
              <w:t>(a)   The following documents are filed as a part of this Annual Report: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280" w:type="dxa"/>
            <w:vAlign w:val="bottom"/>
            <w:gridSpan w:val="9"/>
          </w:tcPr>
          <w:p>
            <w:pPr>
              <w:jc w:val="center"/>
              <w:ind w:right="6040"/>
              <w:spacing w:after="0"/>
              <w:rPr>
                <w:sz w:val="20"/>
                <w:szCs w:val="20"/>
                <w:color w:val="auto"/>
              </w:rPr>
            </w:pPr>
            <w:r>
              <w:rPr>
                <w:rFonts w:ascii="Arial" w:cs="Arial" w:eastAsia="Arial" w:hAnsi="Arial"/>
                <w:sz w:val="18"/>
                <w:szCs w:val="18"/>
                <w:i w:val="1"/>
                <w:iCs w:val="1"/>
                <w:color w:val="auto"/>
              </w:rPr>
              <w:t>(1)   Financial Statements: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3"/>
                <w:szCs w:val="23"/>
                <w:color w:val="auto"/>
              </w:rPr>
            </w:pPr>
          </w:p>
        </w:tc>
        <w:tc>
          <w:tcPr>
            <w:tcW w:w="878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940" w:type="dxa"/>
            <w:vAlign w:val="bottom"/>
          </w:tcPr>
          <w:p>
            <w:pPr>
              <w:ind w:left="68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460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0000FF"/>
              </w:rPr>
              <w:t>Balance Sheets as of December 31, 2023 and 2022</w:t>
            </w:r>
          </w:p>
        </w:tc>
        <w:tc>
          <w:tcPr>
            <w:tcW w:w="4180" w:type="dxa"/>
            <w:vAlign w:val="bottom"/>
            <w:gridSpan w:val="3"/>
          </w:tcPr>
          <w:p>
            <w:pPr>
              <w:spacing w:after="0"/>
              <w:rPr>
                <w:sz w:val="17"/>
                <w:szCs w:val="17"/>
                <w:color w:val="auto"/>
              </w:rPr>
            </w:pPr>
          </w:p>
        </w:tc>
        <w:tc>
          <w:tcPr>
            <w:tcW w:w="940" w:type="dxa"/>
            <w:vAlign w:val="bottom"/>
          </w:tcPr>
          <w:p>
            <w:pPr>
              <w:ind w:left="68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vMerge w:val="restart"/>
          </w:tcPr>
          <w:p>
            <w:pPr>
              <w:ind w:left="68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816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9"/>
              </w:rPr>
              <w:t>Statements of Operations and Comprehensive Loss for the years ended December 31, 2023 and 2022</w:t>
            </w:r>
          </w:p>
        </w:tc>
        <w:tc>
          <w:tcPr>
            <w:tcW w:w="6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878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rPr>
              <w:t>Statements of Redeemable Convertible Preferred Stock and Stockholders’ Equity (Deficit) for the years ended</w:t>
            </w:r>
          </w:p>
        </w:tc>
        <w:tc>
          <w:tcPr>
            <w:tcW w:w="940" w:type="dxa"/>
            <w:vAlign w:val="bottom"/>
            <w:vMerge w:val="restart"/>
          </w:tcPr>
          <w:p>
            <w:pPr>
              <w:ind w:left="68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238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December 31, 2023 and 2022</w:t>
            </w:r>
          </w:p>
        </w:tc>
        <w:tc>
          <w:tcPr>
            <w:tcW w:w="6400" w:type="dxa"/>
            <w:vAlign w:val="bottom"/>
            <w:gridSpan w:val="7"/>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8780" w:type="dxa"/>
            <w:vAlign w:val="bottom"/>
            <w:gridSpan w:val="8"/>
          </w:tcPr>
          <w:p>
            <w:pPr>
              <w:spacing w:after="0" w:line="196" w:lineRule="exact"/>
              <w:rPr>
                <w:sz w:val="20"/>
                <w:szCs w:val="20"/>
                <w:color w:val="auto"/>
              </w:rPr>
            </w:pPr>
            <w:r>
              <w:rPr>
                <w:rFonts w:ascii="Arial" w:cs="Arial" w:eastAsia="Arial" w:hAnsi="Arial"/>
                <w:sz w:val="18"/>
                <w:szCs w:val="18"/>
                <w:color w:val="0000FF"/>
              </w:rPr>
              <w:t>Statements of Cash Flows for the years ended December 31, 2023 and 2022</w:t>
            </w:r>
          </w:p>
        </w:tc>
        <w:tc>
          <w:tcPr>
            <w:tcW w:w="940" w:type="dxa"/>
            <w:vAlign w:val="bottom"/>
          </w:tcPr>
          <w:p>
            <w:pPr>
              <w:ind w:left="68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9"/>
              </w:rPr>
              <w:t>Notes to the Financial Statements</w:t>
            </w:r>
          </w:p>
        </w:tc>
        <w:tc>
          <w:tcPr>
            <w:tcW w:w="20" w:type="dxa"/>
            <w:vAlign w:val="bottom"/>
            <w:tcBorders>
              <w:top w:val="single" w:sz="8" w:color="0000FF"/>
              <w:bottom w:val="single" w:sz="8" w:color="0000EE"/>
            </w:tcBorders>
          </w:tcPr>
          <w:p>
            <w:pPr>
              <w:spacing w:after="0"/>
              <w:rPr>
                <w:sz w:val="17"/>
                <w:szCs w:val="17"/>
                <w:color w:val="auto"/>
              </w:rPr>
            </w:pPr>
          </w:p>
        </w:tc>
        <w:tc>
          <w:tcPr>
            <w:tcW w:w="3400" w:type="dxa"/>
            <w:vAlign w:val="bottom"/>
            <w:tcBorders>
              <w:top w:val="single" w:sz="8" w:color="0000FF"/>
            </w:tcBorders>
            <w:gridSpan w:val="3"/>
          </w:tcPr>
          <w:p>
            <w:pPr>
              <w:spacing w:after="0"/>
              <w:rPr>
                <w:sz w:val="17"/>
                <w:szCs w:val="17"/>
                <w:color w:val="auto"/>
              </w:rPr>
            </w:pPr>
          </w:p>
        </w:tc>
        <w:tc>
          <w:tcPr>
            <w:tcW w:w="2660" w:type="dxa"/>
            <w:vAlign w:val="bottom"/>
            <w:gridSpan w:val="2"/>
          </w:tcPr>
          <w:p>
            <w:pPr>
              <w:spacing w:after="0"/>
              <w:rPr>
                <w:sz w:val="17"/>
                <w:szCs w:val="17"/>
                <w:color w:val="auto"/>
              </w:rPr>
            </w:pPr>
          </w:p>
        </w:tc>
        <w:tc>
          <w:tcPr>
            <w:tcW w:w="940" w:type="dxa"/>
            <w:vAlign w:val="bottom"/>
          </w:tcPr>
          <w:p>
            <w:pPr>
              <w:ind w:left="68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500" w:hanging="504"/>
        <w:spacing w:after="0"/>
        <w:tabs>
          <w:tab w:leader="none" w:pos="150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101" w:lineRule="exact"/>
        <w:rPr>
          <w:rFonts w:ascii="Arial" w:cs="Arial" w:eastAsia="Arial" w:hAnsi="Arial"/>
          <w:sz w:val="18"/>
          <w:szCs w:val="18"/>
          <w:i w:val="1"/>
          <w:iCs w:val="1"/>
          <w:color w:val="auto"/>
        </w:rPr>
      </w:pPr>
    </w:p>
    <w:p>
      <w:pPr>
        <w:ind w:left="1500" w:right="480"/>
        <w:spacing w:after="0" w:line="271" w:lineRule="auto"/>
        <w:rPr>
          <w:rFonts w:ascii="Arial" w:cs="Arial" w:eastAsia="Arial" w:hAnsi="Arial"/>
          <w:sz w:val="18"/>
          <w:szCs w:val="18"/>
          <w:i w:val="1"/>
          <w:iCs w:val="1"/>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55" w:lineRule="exact"/>
        <w:rPr>
          <w:rFonts w:ascii="Arial" w:cs="Arial" w:eastAsia="Arial" w:hAnsi="Arial"/>
          <w:sz w:val="18"/>
          <w:szCs w:val="18"/>
          <w:i w:val="1"/>
          <w:iCs w:val="1"/>
          <w:color w:val="auto"/>
        </w:rPr>
      </w:pPr>
    </w:p>
    <w:p>
      <w:pPr>
        <w:ind w:left="1500" w:hanging="504"/>
        <w:spacing w:after="0"/>
        <w:tabs>
          <w:tab w:leader="none" w:pos="150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01" w:lineRule="exact"/>
        <w:rPr>
          <w:rFonts w:ascii="Arial" w:cs="Arial" w:eastAsia="Arial" w:hAnsi="Arial"/>
          <w:sz w:val="18"/>
          <w:szCs w:val="18"/>
          <w:i w:val="1"/>
          <w:iCs w:val="1"/>
          <w:color w:val="auto"/>
        </w:rPr>
      </w:pPr>
    </w:p>
    <w:p>
      <w:pPr>
        <w:ind w:left="1500" w:right="2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The list of exhibits filed with this Annual Report on Form 10-K is set forth in the Exhibit Index preceding the signature page and is incorporated herein by reference or filed with this Annual Report, in each case as indicated therein (numbered in accordance with Item 601 of Regulation S-K).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47"/>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27"/>
          </w:tcPr>
          <w:p>
            <w:pPr>
              <w:jc w:val="center"/>
              <w:spacing w:after="0"/>
              <w:rPr>
                <w:sz w:val="20"/>
                <w:szCs w:val="20"/>
                <w:color w:val="auto"/>
              </w:rPr>
            </w:pPr>
            <w:r>
              <w:rPr>
                <w:rFonts w:ascii="Arial" w:cs="Arial" w:eastAsia="Arial" w:hAnsi="Arial"/>
                <w:sz w:val="18"/>
                <w:szCs w:val="18"/>
                <w:b w:val="1"/>
                <w:bCs w:val="1"/>
                <w:color w:val="auto"/>
                <w:w w:val="99"/>
              </w:rPr>
              <w:t>Exhibit Index</w:t>
            </w:r>
          </w:p>
        </w:tc>
      </w:tr>
      <w:tr>
        <w:trPr>
          <w:trHeight w:val="658"/>
        </w:trPr>
        <w:tc>
          <w:tcPr>
            <w:tcW w:w="102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44"/>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0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5"/>
                <w:szCs w:val="15"/>
                <w:color w:val="auto"/>
              </w:rPr>
            </w:pPr>
          </w:p>
        </w:tc>
        <w:tc>
          <w:tcPr>
            <w:tcW w:w="4100" w:type="dxa"/>
            <w:vAlign w:val="bottom"/>
            <w:tcBorders>
              <w:top w:val="single" w:sz="8" w:color="auto"/>
              <w:bottom w:val="single" w:sz="8" w:color="0000FF"/>
            </w:tcBorders>
            <w:gridSpan w:val="29"/>
          </w:tcPr>
          <w:p>
            <w:pPr>
              <w:spacing w:after="0" w:line="182" w:lineRule="exact"/>
              <w:rPr>
                <w:rFonts w:ascii="Arial" w:cs="Arial" w:eastAsia="Arial" w:hAnsi="Arial"/>
                <w:sz w:val="18"/>
                <w:szCs w:val="18"/>
                <w:color w:val="0000FF"/>
                <w:w w:val="99"/>
              </w:rPr>
            </w:pPr>
            <w:hyperlink r:id="rId130">
              <w:r>
                <w:rPr>
                  <w:rFonts w:ascii="Arial" w:cs="Arial" w:eastAsia="Arial" w:hAnsi="Arial"/>
                  <w:sz w:val="18"/>
                  <w:szCs w:val="18"/>
                  <w:color w:val="0000FF"/>
                  <w:w w:val="99"/>
                </w:rPr>
                <w:t>Amended and Restated Certificate of Incorporation.</w:t>
              </w:r>
            </w:hyperlink>
          </w:p>
        </w:tc>
        <w:tc>
          <w:tcPr>
            <w:tcW w:w="940" w:type="dxa"/>
            <w:vAlign w:val="bottom"/>
            <w:tcBorders>
              <w:top w:val="single" w:sz="8" w:color="auto"/>
            </w:tcBorders>
            <w:gridSpan w:val="23"/>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2560" w:type="dxa"/>
            <w:vAlign w:val="bottom"/>
            <w:tcBorders>
              <w:bottom w:val="single" w:sz="8" w:color="0000FF"/>
            </w:tcBorders>
            <w:gridSpan w:val="16"/>
          </w:tcPr>
          <w:p>
            <w:pPr>
              <w:spacing w:after="0"/>
              <w:rPr>
                <w:rFonts w:ascii="Arial" w:cs="Arial" w:eastAsia="Arial" w:hAnsi="Arial"/>
                <w:sz w:val="18"/>
                <w:szCs w:val="18"/>
                <w:color w:val="0000FF"/>
                <w:w w:val="99"/>
              </w:rPr>
            </w:pPr>
            <w:hyperlink r:id="rId131">
              <w:r>
                <w:rPr>
                  <w:rFonts w:ascii="Arial" w:cs="Arial" w:eastAsia="Arial" w:hAnsi="Arial"/>
                  <w:sz w:val="18"/>
                  <w:szCs w:val="18"/>
                  <w:color w:val="0000FF"/>
                  <w:w w:val="99"/>
                </w:rPr>
                <w:t>Amended and Restated Bylaws.</w:t>
              </w:r>
            </w:hyperlink>
          </w:p>
        </w:tc>
        <w:tc>
          <w:tcPr>
            <w:tcW w:w="20" w:type="dxa"/>
            <w:vAlign w:val="bottom"/>
            <w:tcBorders>
              <w:bottom w:val="single" w:sz="8" w:color="0000EE"/>
            </w:tcBorders>
          </w:tcPr>
          <w:p>
            <w:pPr>
              <w:spacing w:after="0"/>
              <w:rPr>
                <w:sz w:val="18"/>
                <w:szCs w:val="18"/>
                <w:color w:val="auto"/>
              </w:rPr>
            </w:pPr>
          </w:p>
        </w:tc>
        <w:tc>
          <w:tcPr>
            <w:tcW w:w="2480" w:type="dxa"/>
            <w:vAlign w:val="bottom"/>
            <w:gridSpan w:val="36"/>
          </w:tcPr>
          <w:p>
            <w:pPr>
              <w:spacing w:after="0"/>
              <w:rPr>
                <w:sz w:val="18"/>
                <w:szCs w:val="18"/>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5060" w:type="dxa"/>
            <w:vAlign w:val="bottom"/>
            <w:gridSpan w:val="53"/>
          </w:tcPr>
          <w:p>
            <w:pPr>
              <w:spacing w:after="0"/>
              <w:rPr>
                <w:rFonts w:ascii="Arial" w:cs="Arial" w:eastAsia="Arial" w:hAnsi="Arial"/>
                <w:sz w:val="18"/>
                <w:szCs w:val="18"/>
                <w:color w:val="0000FF"/>
              </w:rPr>
            </w:pPr>
            <w:hyperlink r:id="rId132">
              <w:r>
                <w:rPr>
                  <w:rFonts w:ascii="Arial" w:cs="Arial" w:eastAsia="Arial" w:hAnsi="Arial"/>
                  <w:sz w:val="18"/>
                  <w:szCs w:val="18"/>
                  <w:color w:val="0000FF"/>
                </w:rPr>
                <w:t>Form of Common Stock Certificate.</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5060" w:type="dxa"/>
            <w:vAlign w:val="bottom"/>
            <w:gridSpan w:val="53"/>
          </w:tcPr>
          <w:p>
            <w:pPr>
              <w:spacing w:after="0"/>
              <w:rPr>
                <w:rFonts w:ascii="Arial" w:cs="Arial" w:eastAsia="Arial" w:hAnsi="Arial"/>
                <w:sz w:val="18"/>
                <w:szCs w:val="18"/>
                <w:color w:val="0000FF"/>
              </w:rPr>
            </w:pPr>
            <w:hyperlink r:id="rId133">
              <w:r>
                <w:rPr>
                  <w:rFonts w:ascii="Arial" w:cs="Arial" w:eastAsia="Arial" w:hAnsi="Arial"/>
                  <w:sz w:val="18"/>
                  <w:szCs w:val="18"/>
                  <w:color w:val="0000FF"/>
                </w:rPr>
                <w:t>Amended and Restated Investors’ Rights Agreement, by and</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80" w:type="dxa"/>
            <w:vAlign w:val="bottom"/>
            <w:tcBorders>
              <w:top w:val="single" w:sz="8" w:color="0000FF"/>
            </w:tcBorders>
            <w:gridSpan w:val="45"/>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among the Registrant and certain of its stockholders, dated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r:id="rId133">
              <w:r>
                <w:rPr>
                  <w:rFonts w:ascii="Arial" w:cs="Arial" w:eastAsia="Arial" w:hAnsi="Arial"/>
                  <w:sz w:val="18"/>
                  <w:szCs w:val="18"/>
                  <w:color w:val="0000FF"/>
                  <w:w w:val="98"/>
                </w:rPr>
                <w:t>March 5,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3520" w:type="dxa"/>
            <w:vAlign w:val="bottom"/>
            <w:tcBorders>
              <w:top w:val="single" w:sz="8" w:color="0000FF"/>
            </w:tcBorders>
            <w:gridSpan w:val="3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940" w:type="dxa"/>
            <w:vAlign w:val="bottom"/>
            <w:tcBorders>
              <w:bottom w:val="single" w:sz="8" w:color="0000FF"/>
            </w:tcBorders>
            <w:gridSpan w:val="8"/>
          </w:tcPr>
          <w:p>
            <w:pPr>
              <w:spacing w:after="0"/>
              <w:rPr>
                <w:rFonts w:ascii="Arial" w:cs="Arial" w:eastAsia="Arial" w:hAnsi="Arial"/>
                <w:sz w:val="18"/>
                <w:szCs w:val="18"/>
                <w:color w:val="0000FF"/>
                <w:w w:val="98"/>
              </w:rPr>
            </w:pPr>
            <w:hyperlink r:id="rId134">
              <w:r>
                <w:rPr>
                  <w:rFonts w:ascii="Arial" w:cs="Arial" w:eastAsia="Arial" w:hAnsi="Arial"/>
                  <w:sz w:val="18"/>
                  <w:szCs w:val="18"/>
                  <w:color w:val="0000FF"/>
                  <w:w w:val="98"/>
                </w:rPr>
                <w:t>Description of Securities</w:t>
              </w:r>
            </w:hyperlink>
          </w:p>
        </w:tc>
        <w:tc>
          <w:tcPr>
            <w:tcW w:w="20" w:type="dxa"/>
            <w:vAlign w:val="bottom"/>
            <w:tcBorders>
              <w:bottom w:val="single" w:sz="8" w:color="0000EE"/>
            </w:tcBorders>
          </w:tcPr>
          <w:p>
            <w:pPr>
              <w:spacing w:after="0"/>
              <w:rPr>
                <w:sz w:val="18"/>
                <w:szCs w:val="18"/>
                <w:color w:val="auto"/>
              </w:rPr>
            </w:pPr>
          </w:p>
        </w:tc>
        <w:tc>
          <w:tcPr>
            <w:tcW w:w="3100" w:type="dxa"/>
            <w:vAlign w:val="bottom"/>
            <w:gridSpan w:val="44"/>
          </w:tcPr>
          <w:p>
            <w:pPr>
              <w:spacing w:after="0"/>
              <w:rPr>
                <w:sz w:val="18"/>
                <w:szCs w:val="18"/>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5060" w:type="dxa"/>
            <w:vAlign w:val="bottom"/>
            <w:gridSpan w:val="53"/>
          </w:tcPr>
          <w:p>
            <w:pPr>
              <w:spacing w:after="0"/>
              <w:rPr>
                <w:rFonts w:ascii="Arial" w:cs="Arial" w:eastAsia="Arial" w:hAnsi="Arial"/>
                <w:sz w:val="18"/>
                <w:szCs w:val="18"/>
                <w:color w:val="0000FF"/>
              </w:rPr>
            </w:pPr>
            <w:hyperlink r:id="rId135">
              <w:r>
                <w:rPr>
                  <w:rFonts w:ascii="Arial" w:cs="Arial" w:eastAsia="Arial" w:hAnsi="Arial"/>
                  <w:sz w:val="18"/>
                  <w:szCs w:val="18"/>
                  <w:color w:val="0000FF"/>
                </w:rPr>
                <w:t>AN2 Therapeutics, Inc. 2017 Equity Incentive Plan, as</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135">
              <w:r>
                <w:rPr>
                  <w:rFonts w:ascii="Arial" w:cs="Arial" w:eastAsia="Arial" w:hAnsi="Arial"/>
                  <w:sz w:val="18"/>
                  <w:szCs w:val="18"/>
                  <w:color w:val="0000FF"/>
                  <w:w w:val="97"/>
                </w:rPr>
                <w:t>amended.</w:t>
              </w:r>
            </w:hyperlink>
          </w:p>
        </w:tc>
        <w:tc>
          <w:tcPr>
            <w:tcW w:w="20" w:type="dxa"/>
            <w:vAlign w:val="bottom"/>
            <w:tcBorders>
              <w:top w:val="single" w:sz="8" w:color="0000FF"/>
              <w:bottom w:val="single" w:sz="8" w:color="0000EE"/>
            </w:tcBorders>
          </w:tcPr>
          <w:p>
            <w:pPr>
              <w:spacing w:after="0"/>
              <w:rPr>
                <w:sz w:val="15"/>
                <w:szCs w:val="15"/>
                <w:color w:val="auto"/>
              </w:rPr>
            </w:pPr>
          </w:p>
        </w:tc>
        <w:tc>
          <w:tcPr>
            <w:tcW w:w="3520" w:type="dxa"/>
            <w:vAlign w:val="bottom"/>
            <w:tcBorders>
              <w:top w:val="single" w:sz="8" w:color="0000FF"/>
            </w:tcBorders>
            <w:gridSpan w:val="2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5060" w:type="dxa"/>
            <w:vAlign w:val="bottom"/>
            <w:gridSpan w:val="53"/>
          </w:tcPr>
          <w:p>
            <w:pPr>
              <w:spacing w:after="0"/>
              <w:rPr>
                <w:rFonts w:ascii="Arial" w:cs="Arial" w:eastAsia="Arial" w:hAnsi="Arial"/>
                <w:sz w:val="18"/>
                <w:szCs w:val="18"/>
                <w:color w:val="0000FF"/>
              </w:rPr>
            </w:pPr>
            <w:hyperlink r:id="rId136">
              <w:r>
                <w:rPr>
                  <w:rFonts w:ascii="Arial" w:cs="Arial" w:eastAsia="Arial" w:hAnsi="Arial"/>
                  <w:sz w:val="18"/>
                  <w:szCs w:val="18"/>
                  <w:color w:val="0000FF"/>
                </w:rPr>
                <w:t>Forms of Stock Option Grant Notice, Stock Option Agreement</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60" w:type="dxa"/>
            <w:vAlign w:val="bottom"/>
            <w:tcBorders>
              <w:top w:val="single" w:sz="8" w:color="0000FF"/>
            </w:tcBorders>
            <w:gridSpan w:val="48"/>
          </w:tcPr>
          <w:p>
            <w:pPr>
              <w:spacing w:after="0" w:line="182" w:lineRule="exact"/>
              <w:rPr>
                <w:rFonts w:ascii="Arial" w:cs="Arial" w:eastAsia="Arial" w:hAnsi="Arial"/>
                <w:sz w:val="18"/>
                <w:szCs w:val="18"/>
                <w:color w:val="0000FF"/>
              </w:rPr>
            </w:pPr>
            <w:hyperlink r:id="rId136">
              <w:r>
                <w:rPr>
                  <w:rFonts w:ascii="Arial" w:cs="Arial" w:eastAsia="Arial" w:hAnsi="Arial"/>
                  <w:sz w:val="18"/>
                  <w:szCs w:val="18"/>
                  <w:color w:val="0000FF"/>
                </w:rPr>
                <w:t>and Notice of Exercise and Early Exercise Stock Purchase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00" w:type="dxa"/>
            <w:vAlign w:val="bottom"/>
            <w:tcBorders>
              <w:top w:val="single" w:sz="8" w:color="0000FF"/>
            </w:tcBorders>
            <w:gridSpan w:val="39"/>
          </w:tcPr>
          <w:p>
            <w:pPr>
              <w:spacing w:after="0" w:line="182" w:lineRule="exact"/>
              <w:rPr>
                <w:rFonts w:ascii="Arial" w:cs="Arial" w:eastAsia="Arial" w:hAnsi="Arial"/>
                <w:sz w:val="18"/>
                <w:szCs w:val="18"/>
                <w:color w:val="0000FF"/>
              </w:rPr>
            </w:pPr>
            <w:hyperlink r:id="rId136">
              <w:r>
                <w:rPr>
                  <w:rFonts w:ascii="Arial" w:cs="Arial" w:eastAsia="Arial" w:hAnsi="Arial"/>
                  <w:sz w:val="18"/>
                  <w:szCs w:val="18"/>
                  <w:color w:val="0000FF"/>
                </w:rPr>
                <w:t>Agreement under the AN2 Therapeutics, Inc. 2017 Equity</w:t>
              </w:r>
            </w:hyperlink>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8"/>
              </w:rPr>
            </w:pPr>
            <w:hyperlink r:id="rId136">
              <w:r>
                <w:rPr>
                  <w:rFonts w:ascii="Arial" w:cs="Arial" w:eastAsia="Arial" w:hAnsi="Arial"/>
                  <w:sz w:val="18"/>
                  <w:szCs w:val="18"/>
                  <w:color w:val="0000FF"/>
                  <w:w w:val="98"/>
                </w:rPr>
                <w:t>Incentive Plan.</w:t>
              </w:r>
            </w:hyperlink>
          </w:p>
        </w:tc>
        <w:tc>
          <w:tcPr>
            <w:tcW w:w="20" w:type="dxa"/>
            <w:vAlign w:val="bottom"/>
            <w:tcBorders>
              <w:top w:val="single" w:sz="8" w:color="0000FF"/>
              <w:bottom w:val="single" w:sz="8" w:color="0000EE"/>
            </w:tcBorders>
          </w:tcPr>
          <w:p>
            <w:pPr>
              <w:spacing w:after="0"/>
              <w:rPr>
                <w:sz w:val="15"/>
                <w:szCs w:val="15"/>
                <w:color w:val="auto"/>
              </w:rPr>
            </w:pPr>
          </w:p>
        </w:tc>
        <w:tc>
          <w:tcPr>
            <w:tcW w:w="3420" w:type="dxa"/>
            <w:vAlign w:val="bottom"/>
            <w:tcBorders>
              <w:top w:val="single" w:sz="8" w:color="0000FF"/>
            </w:tcBorders>
            <w:gridSpan w:val="3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406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AN2 Therapeutics, Inc. 2022 Equity Incentive Plan.</w:t>
            </w:r>
          </w:p>
        </w:tc>
        <w:tc>
          <w:tcPr>
            <w:tcW w:w="20" w:type="dxa"/>
            <w:vAlign w:val="bottom"/>
            <w:tcBorders>
              <w:bottom w:val="single" w:sz="8" w:color="0000EE"/>
            </w:tcBorders>
          </w:tcPr>
          <w:p>
            <w:pPr>
              <w:spacing w:after="0"/>
              <w:rPr>
                <w:sz w:val="18"/>
                <w:szCs w:val="18"/>
                <w:color w:val="auto"/>
              </w:rPr>
            </w:pPr>
          </w:p>
        </w:tc>
        <w:tc>
          <w:tcPr>
            <w:tcW w:w="980" w:type="dxa"/>
            <w:vAlign w:val="bottom"/>
            <w:gridSpan w:val="25"/>
          </w:tcPr>
          <w:p>
            <w:pPr>
              <w:spacing w:after="0"/>
              <w:rPr>
                <w:sz w:val="18"/>
                <w:szCs w:val="18"/>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5060" w:type="dxa"/>
            <w:vAlign w:val="bottom"/>
            <w:gridSpan w:val="53"/>
          </w:tcPr>
          <w:p>
            <w:pPr>
              <w:spacing w:after="0"/>
              <w:rPr>
                <w:rFonts w:ascii="Arial" w:cs="Arial" w:eastAsia="Arial" w:hAnsi="Arial"/>
                <w:sz w:val="18"/>
                <w:szCs w:val="18"/>
                <w:color w:val="0000FF"/>
              </w:rPr>
            </w:pPr>
            <w:hyperlink r:id="rId137">
              <w:r>
                <w:rPr>
                  <w:rFonts w:ascii="Arial" w:cs="Arial" w:eastAsia="Arial" w:hAnsi="Arial"/>
                  <w:sz w:val="18"/>
                  <w:szCs w:val="18"/>
                  <w:color w:val="0000FF"/>
                </w:rPr>
                <w:t>Forms of Stock Option Grant Notice, Stock Option Agreement</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60" w:type="dxa"/>
            <w:vAlign w:val="bottom"/>
            <w:tcBorders>
              <w:top w:val="single" w:sz="8" w:color="0000FF"/>
              <w:bottom w:val="single" w:sz="8" w:color="0000FF"/>
            </w:tcBorders>
            <w:gridSpan w:val="48"/>
          </w:tcPr>
          <w:p>
            <w:pPr>
              <w:spacing w:after="0" w:line="182" w:lineRule="exact"/>
              <w:rPr>
                <w:rFonts w:ascii="Arial" w:cs="Arial" w:eastAsia="Arial" w:hAnsi="Arial"/>
                <w:sz w:val="18"/>
                <w:szCs w:val="18"/>
                <w:color w:val="0000FF"/>
                <w:w w:val="99"/>
              </w:rPr>
            </w:pPr>
            <w:hyperlink r:id="rId137">
              <w:r>
                <w:rPr>
                  <w:rFonts w:ascii="Arial" w:cs="Arial" w:eastAsia="Arial" w:hAnsi="Arial"/>
                  <w:sz w:val="18"/>
                  <w:szCs w:val="18"/>
                  <w:color w:val="0000FF"/>
                  <w:w w:val="99"/>
                </w:rPr>
                <w:t>and Notice of Exercise under the AN2 Therapeutics, Inc. 2022</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Equity Incentive Plan.</w:t>
              </w:r>
            </w:hyperlink>
          </w:p>
        </w:tc>
        <w:tc>
          <w:tcPr>
            <w:tcW w:w="3260" w:type="dxa"/>
            <w:vAlign w:val="bottom"/>
            <w:gridSpan w:val="4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436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rPr>
              <w:t>Form of Restricted Stock Unit Grant Notice and Award</w:t>
            </w:r>
          </w:p>
        </w:tc>
        <w:tc>
          <w:tcPr>
            <w:tcW w:w="700" w:type="dxa"/>
            <w:vAlign w:val="bottom"/>
            <w:gridSpan w:val="21"/>
          </w:tcPr>
          <w:p>
            <w:pPr>
              <w:spacing w:after="0"/>
              <w:rPr>
                <w:sz w:val="18"/>
                <w:szCs w:val="18"/>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60" w:type="dxa"/>
            <w:vAlign w:val="bottom"/>
            <w:gridSpan w:val="53"/>
          </w:tcPr>
          <w:p>
            <w:pPr>
              <w:spacing w:after="0" w:line="182" w:lineRule="exact"/>
              <w:rPr>
                <w:sz w:val="20"/>
                <w:szCs w:val="20"/>
                <w:color w:val="auto"/>
              </w:rPr>
            </w:pPr>
            <w:r>
              <w:rPr>
                <w:rFonts w:ascii="Arial" w:cs="Arial" w:eastAsia="Arial" w:hAnsi="Arial"/>
                <w:sz w:val="18"/>
                <w:szCs w:val="18"/>
                <w:color w:val="0000FF"/>
              </w:rPr>
              <w:t>Agreement under the AN2 Therapeutics, Inc. 2022 Equity</w:t>
            </w: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Incentive Plan.</w:t>
            </w:r>
          </w:p>
        </w:tc>
        <w:tc>
          <w:tcPr>
            <w:tcW w:w="20" w:type="dxa"/>
            <w:vAlign w:val="bottom"/>
            <w:tcBorders>
              <w:top w:val="single" w:sz="8" w:color="0000FF"/>
              <w:bottom w:val="single" w:sz="8" w:color="0000EE"/>
            </w:tcBorders>
          </w:tcPr>
          <w:p>
            <w:pPr>
              <w:spacing w:after="0"/>
              <w:rPr>
                <w:sz w:val="15"/>
                <w:szCs w:val="15"/>
                <w:color w:val="auto"/>
              </w:rPr>
            </w:pPr>
          </w:p>
        </w:tc>
        <w:tc>
          <w:tcPr>
            <w:tcW w:w="3420" w:type="dxa"/>
            <w:vAlign w:val="bottom"/>
            <w:tcBorders>
              <w:top w:val="single" w:sz="8" w:color="0000FF"/>
            </w:tcBorders>
            <w:gridSpan w:val="3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4900" w:type="dxa"/>
            <w:vAlign w:val="bottom"/>
            <w:tcBorders>
              <w:bottom w:val="single" w:sz="8" w:color="0000FF"/>
            </w:tcBorders>
            <w:gridSpan w:val="46"/>
          </w:tcPr>
          <w:p>
            <w:pPr>
              <w:spacing w:after="0"/>
              <w:rPr>
                <w:sz w:val="20"/>
                <w:szCs w:val="20"/>
                <w:color w:val="auto"/>
              </w:rPr>
            </w:pPr>
            <w:r>
              <w:rPr>
                <w:rFonts w:ascii="Arial" w:cs="Arial" w:eastAsia="Arial" w:hAnsi="Arial"/>
                <w:sz w:val="18"/>
                <w:szCs w:val="18"/>
                <w:color w:val="0000FF"/>
                <w:w w:val="99"/>
              </w:rPr>
              <w:t>AN2 Therapeutics, Inc. 2022 Employee Stock Purchase Plan.</w:t>
            </w:r>
          </w:p>
        </w:tc>
        <w:tc>
          <w:tcPr>
            <w:tcW w:w="160" w:type="dxa"/>
            <w:vAlign w:val="bottom"/>
            <w:gridSpan w:val="7"/>
          </w:tcPr>
          <w:p>
            <w:pPr>
              <w:spacing w:after="0"/>
              <w:rPr>
                <w:sz w:val="18"/>
                <w:szCs w:val="18"/>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5060" w:type="dxa"/>
            <w:vAlign w:val="bottom"/>
            <w:gridSpan w:val="53"/>
          </w:tcPr>
          <w:p>
            <w:pPr>
              <w:spacing w:after="0"/>
              <w:rPr>
                <w:rFonts w:ascii="Arial" w:cs="Arial" w:eastAsia="Arial" w:hAnsi="Arial"/>
                <w:sz w:val="18"/>
                <w:szCs w:val="18"/>
                <w:color w:val="0000FF"/>
              </w:rPr>
            </w:pPr>
            <w:hyperlink r:id="rId138">
              <w:r>
                <w:rPr>
                  <w:rFonts w:ascii="Arial" w:cs="Arial" w:eastAsia="Arial" w:hAnsi="Arial"/>
                  <w:sz w:val="18"/>
                  <w:szCs w:val="18"/>
                  <w:color w:val="0000FF"/>
                </w:rPr>
                <w:t>AN2 Therapeutics, Inc. 2022 Non-Employee Director</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4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138">
              <w:r>
                <w:rPr>
                  <w:rFonts w:ascii="Arial" w:cs="Arial" w:eastAsia="Arial" w:hAnsi="Arial"/>
                  <w:sz w:val="18"/>
                  <w:szCs w:val="18"/>
                  <w:color w:val="0000FF"/>
                </w:rPr>
                <w:t>Compensation Policy.</w:t>
              </w:r>
            </w:hyperlink>
          </w:p>
        </w:tc>
        <w:tc>
          <w:tcPr>
            <w:tcW w:w="1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40" w:type="dxa"/>
            <w:vAlign w:val="bottom"/>
            <w:tcBorders>
              <w:right w:val="single" w:sz="8" w:color="0000EE"/>
            </w:tcBorders>
            <w:gridSpan w:val="6"/>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3780" w:type="dxa"/>
            <w:vAlign w:val="bottom"/>
            <w:tcBorders>
              <w:bottom w:val="single" w:sz="8" w:color="0000FF"/>
            </w:tcBorders>
            <w:gridSpan w:val="23"/>
          </w:tcPr>
          <w:p>
            <w:pPr>
              <w:spacing w:after="0"/>
              <w:rPr>
                <w:rFonts w:ascii="Arial" w:cs="Arial" w:eastAsia="Arial" w:hAnsi="Arial"/>
                <w:sz w:val="18"/>
                <w:szCs w:val="18"/>
                <w:color w:val="0000FF"/>
                <w:w w:val="99"/>
              </w:rPr>
            </w:pPr>
            <w:hyperlink r:id="rId139">
              <w:r>
                <w:rPr>
                  <w:rFonts w:ascii="Arial" w:cs="Arial" w:eastAsia="Arial" w:hAnsi="Arial"/>
                  <w:sz w:val="18"/>
                  <w:szCs w:val="18"/>
                  <w:color w:val="0000FF"/>
                  <w:w w:val="99"/>
                </w:rPr>
                <w:t>AN2 Therapeutics, Inc. Officer Severance Plan.</w:t>
              </w:r>
            </w:hyperlink>
          </w:p>
        </w:tc>
        <w:tc>
          <w:tcPr>
            <w:tcW w:w="20" w:type="dxa"/>
            <w:vAlign w:val="bottom"/>
            <w:tcBorders>
              <w:bottom w:val="single" w:sz="8" w:color="0000EE"/>
            </w:tcBorders>
          </w:tcPr>
          <w:p>
            <w:pPr>
              <w:spacing w:after="0"/>
              <w:rPr>
                <w:sz w:val="18"/>
                <w:szCs w:val="18"/>
                <w:color w:val="auto"/>
              </w:rPr>
            </w:pPr>
          </w:p>
        </w:tc>
        <w:tc>
          <w:tcPr>
            <w:tcW w:w="1260" w:type="dxa"/>
            <w:vAlign w:val="bottom"/>
            <w:gridSpan w:val="29"/>
          </w:tcPr>
          <w:p>
            <w:pPr>
              <w:spacing w:after="0"/>
              <w:rPr>
                <w:sz w:val="18"/>
                <w:szCs w:val="18"/>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5060" w:type="dxa"/>
            <w:vAlign w:val="bottom"/>
            <w:gridSpan w:val="53"/>
          </w:tcPr>
          <w:p>
            <w:pPr>
              <w:spacing w:after="0"/>
              <w:rPr>
                <w:rFonts w:ascii="Arial" w:cs="Arial" w:eastAsia="Arial" w:hAnsi="Arial"/>
                <w:sz w:val="18"/>
                <w:szCs w:val="18"/>
                <w:color w:val="0000FF"/>
              </w:rPr>
            </w:pPr>
            <w:hyperlink r:id="rId140">
              <w:r>
                <w:rPr>
                  <w:rFonts w:ascii="Arial" w:cs="Arial" w:eastAsia="Arial" w:hAnsi="Arial"/>
                  <w:sz w:val="18"/>
                  <w:szCs w:val="18"/>
                  <w:color w:val="0000FF"/>
                </w:rPr>
                <w:t>Form of Indemnity Agreement by and between the Registrant</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20" w:type="dxa"/>
            <w:vAlign w:val="bottom"/>
            <w:tcBorders>
              <w:top w:val="single" w:sz="8" w:color="0000FF"/>
            </w:tcBorders>
            <w:gridSpan w:val="47"/>
          </w:tcPr>
          <w:p>
            <w:pPr>
              <w:spacing w:after="0" w:line="182" w:lineRule="exact"/>
              <w:rPr>
                <w:rFonts w:ascii="Arial" w:cs="Arial" w:eastAsia="Arial" w:hAnsi="Arial"/>
                <w:sz w:val="18"/>
                <w:szCs w:val="18"/>
                <w:color w:val="0000FF"/>
              </w:rPr>
            </w:pPr>
            <w:hyperlink r:id="rId140">
              <w:r>
                <w:rPr>
                  <w:rFonts w:ascii="Arial" w:cs="Arial" w:eastAsia="Arial" w:hAnsi="Arial"/>
                  <w:sz w:val="18"/>
                  <w:szCs w:val="18"/>
                  <w:color w:val="0000FF"/>
                </w:rPr>
                <w:t>and its directors and executive officers.</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40" w:type="dxa"/>
            <w:vAlign w:val="bottom"/>
            <w:tcBorders>
              <w:right w:val="single" w:sz="8" w:color="0000FF"/>
            </w:tcBorders>
            <w:gridSpan w:val="6"/>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8"/>
                <w:szCs w:val="18"/>
                <w:color w:val="auto"/>
              </w:rPr>
            </w:pPr>
          </w:p>
        </w:tc>
        <w:tc>
          <w:tcPr>
            <w:tcW w:w="5060" w:type="dxa"/>
            <w:vAlign w:val="bottom"/>
            <w:gridSpan w:val="53"/>
          </w:tcPr>
          <w:p>
            <w:pPr>
              <w:spacing w:after="0"/>
              <w:rPr>
                <w:rFonts w:ascii="Arial" w:cs="Arial" w:eastAsia="Arial" w:hAnsi="Arial"/>
                <w:sz w:val="18"/>
                <w:szCs w:val="18"/>
                <w:color w:val="0000FF"/>
              </w:rPr>
            </w:pPr>
            <w:hyperlink r:id="rId141">
              <w:r>
                <w:rPr>
                  <w:rFonts w:ascii="Arial" w:cs="Arial" w:eastAsia="Arial" w:hAnsi="Arial"/>
                  <w:sz w:val="18"/>
                  <w:szCs w:val="18"/>
                  <w:color w:val="0000FF"/>
                </w:rPr>
                <w:t>Offer Letter by and between the Registrant and Eric Easom,</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141">
              <w:r>
                <w:rPr>
                  <w:rFonts w:ascii="Arial" w:cs="Arial" w:eastAsia="Arial" w:hAnsi="Arial"/>
                  <w:sz w:val="18"/>
                  <w:szCs w:val="18"/>
                  <w:color w:val="0000FF"/>
                  <w:w w:val="99"/>
                </w:rPr>
                <w:t>dated November 19, 2019.</w:t>
              </w:r>
            </w:hyperlink>
          </w:p>
        </w:tc>
        <w:tc>
          <w:tcPr>
            <w:tcW w:w="20" w:type="dxa"/>
            <w:vAlign w:val="bottom"/>
            <w:tcBorders>
              <w:top w:val="single" w:sz="8" w:color="0000FF"/>
              <w:bottom w:val="single" w:sz="8" w:color="0000EE"/>
            </w:tcBorders>
          </w:tcPr>
          <w:p>
            <w:pPr>
              <w:spacing w:after="0"/>
              <w:rPr>
                <w:sz w:val="15"/>
                <w:szCs w:val="15"/>
                <w:color w:val="auto"/>
              </w:rPr>
            </w:pPr>
          </w:p>
        </w:tc>
        <w:tc>
          <w:tcPr>
            <w:tcW w:w="2660" w:type="dxa"/>
            <w:vAlign w:val="bottom"/>
            <w:tcBorders>
              <w:top w:val="single" w:sz="8" w:color="0000FF"/>
            </w:tcBorders>
            <w:gridSpan w:val="2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8"/>
                <w:szCs w:val="18"/>
                <w:color w:val="auto"/>
              </w:rPr>
            </w:pPr>
          </w:p>
        </w:tc>
        <w:tc>
          <w:tcPr>
            <w:tcW w:w="5060" w:type="dxa"/>
            <w:vAlign w:val="bottom"/>
            <w:gridSpan w:val="53"/>
          </w:tcPr>
          <w:p>
            <w:pPr>
              <w:spacing w:after="0"/>
              <w:rPr>
                <w:rFonts w:ascii="Arial" w:cs="Arial" w:eastAsia="Arial" w:hAnsi="Arial"/>
                <w:sz w:val="18"/>
                <w:szCs w:val="18"/>
                <w:color w:val="0000FF"/>
              </w:rPr>
            </w:pPr>
            <w:hyperlink r:id="rId142">
              <w:r>
                <w:rPr>
                  <w:rFonts w:ascii="Arial" w:cs="Arial" w:eastAsia="Arial" w:hAnsi="Arial"/>
                  <w:sz w:val="18"/>
                  <w:szCs w:val="18"/>
                  <w:color w:val="0000FF"/>
                </w:rPr>
                <w:t>Offer Letter by and between the Registrant and Lucy Day,</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142">
              <w:r>
                <w:rPr>
                  <w:rFonts w:ascii="Arial" w:cs="Arial" w:eastAsia="Arial" w:hAnsi="Arial"/>
                  <w:sz w:val="18"/>
                  <w:szCs w:val="18"/>
                  <w:color w:val="0000FF"/>
                  <w:w w:val="99"/>
                </w:rPr>
                <w:t>dated November 19, 2019.</w:t>
              </w:r>
            </w:hyperlink>
          </w:p>
        </w:tc>
        <w:tc>
          <w:tcPr>
            <w:tcW w:w="20" w:type="dxa"/>
            <w:vAlign w:val="bottom"/>
            <w:tcBorders>
              <w:top w:val="single" w:sz="8" w:color="0000FF"/>
              <w:bottom w:val="single" w:sz="8" w:color="0000EE"/>
            </w:tcBorders>
          </w:tcPr>
          <w:p>
            <w:pPr>
              <w:spacing w:after="0"/>
              <w:rPr>
                <w:sz w:val="15"/>
                <w:szCs w:val="15"/>
                <w:color w:val="auto"/>
              </w:rPr>
            </w:pPr>
          </w:p>
        </w:tc>
        <w:tc>
          <w:tcPr>
            <w:tcW w:w="2480" w:type="dxa"/>
            <w:vAlign w:val="bottom"/>
            <w:tcBorders>
              <w:top w:val="single" w:sz="8" w:color="0000FF"/>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8"/>
                <w:szCs w:val="18"/>
                <w:color w:val="auto"/>
              </w:rPr>
            </w:pPr>
          </w:p>
        </w:tc>
        <w:tc>
          <w:tcPr>
            <w:tcW w:w="5060" w:type="dxa"/>
            <w:vAlign w:val="bottom"/>
            <w:gridSpan w:val="53"/>
          </w:tcPr>
          <w:p>
            <w:pPr>
              <w:spacing w:after="0"/>
              <w:rPr>
                <w:rFonts w:ascii="Arial" w:cs="Arial" w:eastAsia="Arial" w:hAnsi="Arial"/>
                <w:sz w:val="18"/>
                <w:szCs w:val="18"/>
                <w:color w:val="0000FF"/>
              </w:rPr>
            </w:pPr>
            <w:hyperlink r:id="rId143">
              <w:r>
                <w:rPr>
                  <w:rFonts w:ascii="Arial" w:cs="Arial" w:eastAsia="Arial" w:hAnsi="Arial"/>
                  <w:sz w:val="18"/>
                  <w:szCs w:val="18"/>
                  <w:color w:val="0000FF"/>
                </w:rPr>
                <w:t>Offer Letter by and between the Registrant and Sanjay</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9"/>
              </w:rPr>
            </w:pPr>
            <w:hyperlink r:id="rId143">
              <w:r>
                <w:rPr>
                  <w:rFonts w:ascii="Arial" w:cs="Arial" w:eastAsia="Arial" w:hAnsi="Arial"/>
                  <w:sz w:val="18"/>
                  <w:szCs w:val="18"/>
                  <w:color w:val="0000FF"/>
                  <w:w w:val="99"/>
                </w:rPr>
                <w:t>Chanda, dated November 19, 2019.</w:t>
              </w:r>
            </w:hyperlink>
          </w:p>
        </w:tc>
        <w:tc>
          <w:tcPr>
            <w:tcW w:w="20" w:type="dxa"/>
            <w:vAlign w:val="bottom"/>
            <w:tcBorders>
              <w:top w:val="single" w:sz="8" w:color="0000FF"/>
              <w:bottom w:val="single" w:sz="8" w:color="0000EE"/>
            </w:tcBorders>
          </w:tcPr>
          <w:p>
            <w:pPr>
              <w:spacing w:after="0"/>
              <w:rPr>
                <w:sz w:val="15"/>
                <w:szCs w:val="15"/>
                <w:color w:val="auto"/>
              </w:rPr>
            </w:pPr>
          </w:p>
        </w:tc>
        <w:tc>
          <w:tcPr>
            <w:tcW w:w="1520" w:type="dxa"/>
            <w:vAlign w:val="bottom"/>
            <w:tcBorders>
              <w:top w:val="single" w:sz="8" w:color="0000FF"/>
            </w:tcBorders>
            <w:gridSpan w:val="12"/>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18"/>
                <w:szCs w:val="18"/>
                <w:color w:val="auto"/>
              </w:rPr>
            </w:pPr>
          </w:p>
        </w:tc>
        <w:tc>
          <w:tcPr>
            <w:tcW w:w="4440" w:type="dxa"/>
            <w:vAlign w:val="bottom"/>
            <w:tcBorders>
              <w:bottom w:val="single" w:sz="8" w:color="0000FF"/>
            </w:tcBorders>
            <w:gridSpan w:val="34"/>
          </w:tcPr>
          <w:p>
            <w:pPr>
              <w:spacing w:after="0"/>
              <w:rPr>
                <w:rFonts w:ascii="Arial" w:cs="Arial" w:eastAsia="Arial" w:hAnsi="Arial"/>
                <w:sz w:val="18"/>
                <w:szCs w:val="18"/>
                <w:color w:val="0000FF"/>
              </w:rPr>
            </w:pPr>
            <w:hyperlink r:id="rId144">
              <w:r>
                <w:rPr>
                  <w:rFonts w:ascii="Arial" w:cs="Arial" w:eastAsia="Arial" w:hAnsi="Arial"/>
                  <w:sz w:val="18"/>
                  <w:szCs w:val="18"/>
                  <w:color w:val="0000FF"/>
                </w:rPr>
                <w:t>License Agreement by and between the Registrant and</w:t>
              </w:r>
            </w:hyperlink>
          </w:p>
        </w:tc>
        <w:tc>
          <w:tcPr>
            <w:tcW w:w="620" w:type="dxa"/>
            <w:vAlign w:val="bottom"/>
            <w:gridSpan w:val="19"/>
          </w:tcPr>
          <w:p>
            <w:pPr>
              <w:spacing w:after="0"/>
              <w:rPr>
                <w:sz w:val="18"/>
                <w:szCs w:val="18"/>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60" w:type="dxa"/>
            <w:vAlign w:val="bottom"/>
            <w:gridSpan w:val="53"/>
          </w:tcPr>
          <w:p>
            <w:pPr>
              <w:spacing w:after="0" w:line="182" w:lineRule="exact"/>
              <w:rPr>
                <w:rFonts w:ascii="Arial" w:cs="Arial" w:eastAsia="Arial" w:hAnsi="Arial"/>
                <w:sz w:val="18"/>
                <w:szCs w:val="18"/>
                <w:color w:val="0000FF"/>
              </w:rPr>
            </w:pPr>
            <w:hyperlink r:id="rId144">
              <w:r>
                <w:rPr>
                  <w:rFonts w:ascii="Arial" w:cs="Arial" w:eastAsia="Arial" w:hAnsi="Arial"/>
                  <w:sz w:val="18"/>
                  <w:szCs w:val="18"/>
                  <w:color w:val="0000FF"/>
                </w:rPr>
                <w:t>Anacor Pharmaceuticals, Inc., dated November 20, 2019, as</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9"/>
              </w:rPr>
            </w:pPr>
            <w:hyperlink r:id="rId144">
              <w:r>
                <w:rPr>
                  <w:rFonts w:ascii="Arial" w:cs="Arial" w:eastAsia="Arial" w:hAnsi="Arial"/>
                  <w:sz w:val="18"/>
                  <w:szCs w:val="18"/>
                  <w:color w:val="0000FF"/>
                  <w:w w:val="99"/>
                </w:rPr>
                <w:t>amended on December 3,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2260" w:type="dxa"/>
            <w:vAlign w:val="bottom"/>
            <w:tcBorders>
              <w:top w:val="single" w:sz="8" w:color="0000FF"/>
            </w:tcBorders>
            <w:gridSpan w:val="26"/>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18"/>
                <w:szCs w:val="18"/>
                <w:color w:val="auto"/>
              </w:rPr>
            </w:pPr>
          </w:p>
        </w:tc>
        <w:tc>
          <w:tcPr>
            <w:tcW w:w="5060" w:type="dxa"/>
            <w:vAlign w:val="bottom"/>
            <w:gridSpan w:val="53"/>
          </w:tcPr>
          <w:p>
            <w:pPr>
              <w:spacing w:after="0"/>
              <w:rPr>
                <w:rFonts w:ascii="Arial" w:cs="Arial" w:eastAsia="Arial" w:hAnsi="Arial"/>
                <w:sz w:val="18"/>
                <w:szCs w:val="18"/>
                <w:color w:val="0000FF"/>
              </w:rPr>
            </w:pPr>
            <w:hyperlink r:id="rId145">
              <w:r>
                <w:rPr>
                  <w:rFonts w:ascii="Arial" w:cs="Arial" w:eastAsia="Arial" w:hAnsi="Arial"/>
                  <w:sz w:val="18"/>
                  <w:szCs w:val="18"/>
                  <w:color w:val="0000FF"/>
                </w:rPr>
                <w:t>License Agreement by and between the Registrant and Brii</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Borders>
              <w:top w:val="single" w:sz="8" w:color="0000FF"/>
              <w:bottom w:val="single" w:sz="8" w:color="0000FF"/>
            </w:tcBorders>
            <w:gridSpan w:val="25"/>
          </w:tcPr>
          <w:p>
            <w:pPr>
              <w:spacing w:after="0" w:line="182" w:lineRule="exact"/>
              <w:rPr>
                <w:rFonts w:ascii="Arial" w:cs="Arial" w:eastAsia="Arial" w:hAnsi="Arial"/>
                <w:sz w:val="18"/>
                <w:szCs w:val="18"/>
                <w:color w:val="0000FF"/>
                <w:w w:val="99"/>
              </w:rPr>
            </w:pPr>
            <w:hyperlink r:id="rId145">
              <w:r>
                <w:rPr>
                  <w:rFonts w:ascii="Arial" w:cs="Arial" w:eastAsia="Arial" w:hAnsi="Arial"/>
                  <w:sz w:val="18"/>
                  <w:szCs w:val="18"/>
                  <w:color w:val="0000FF"/>
                  <w:w w:val="99"/>
                </w:rPr>
                <w:t>Biosciences Limited, dated November 20, 2019.</w:t>
              </w:r>
            </w:hyperlink>
          </w:p>
        </w:tc>
        <w:tc>
          <w:tcPr>
            <w:tcW w:w="20" w:type="dxa"/>
            <w:vAlign w:val="bottom"/>
            <w:tcBorders>
              <w:top w:val="single" w:sz="8" w:color="0000FF"/>
              <w:bottom w:val="single" w:sz="8" w:color="0000EE"/>
            </w:tcBorders>
          </w:tcPr>
          <w:p>
            <w:pPr>
              <w:spacing w:after="0"/>
              <w:rPr>
                <w:sz w:val="15"/>
                <w:szCs w:val="15"/>
                <w:color w:val="auto"/>
              </w:rPr>
            </w:pPr>
          </w:p>
        </w:tc>
        <w:tc>
          <w:tcPr>
            <w:tcW w:w="920" w:type="dxa"/>
            <w:vAlign w:val="bottom"/>
            <w:tcBorders>
              <w:top w:val="single" w:sz="8" w:color="0000FF"/>
            </w:tcBorders>
            <w:gridSpan w:val="15"/>
          </w:tcPr>
          <w:p>
            <w:pPr>
              <w:spacing w:after="0"/>
              <w:rPr>
                <w:sz w:val="15"/>
                <w:szCs w:val="15"/>
                <w:color w:val="auto"/>
              </w:rPr>
            </w:pPr>
          </w:p>
        </w:tc>
        <w:tc>
          <w:tcPr>
            <w:tcW w:w="80" w:type="dxa"/>
            <w:vAlign w:val="bottom"/>
            <w:gridSpan w:val="2"/>
          </w:tcPr>
          <w:p>
            <w:pPr>
              <w:spacing w:after="0"/>
              <w:rPr>
                <w:sz w:val="15"/>
                <w:szCs w:val="15"/>
                <w:color w:val="auto"/>
              </w:rPr>
            </w:pPr>
          </w:p>
        </w:tc>
        <w:tc>
          <w:tcPr>
            <w:tcW w:w="14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8"/>
                <w:szCs w:val="18"/>
                <w:color w:val="auto"/>
              </w:rPr>
            </w:pPr>
          </w:p>
        </w:tc>
        <w:tc>
          <w:tcPr>
            <w:tcW w:w="5060" w:type="dxa"/>
            <w:vAlign w:val="bottom"/>
            <w:gridSpan w:val="53"/>
          </w:tcPr>
          <w:p>
            <w:pPr>
              <w:spacing w:after="0"/>
              <w:rPr>
                <w:rFonts w:ascii="Arial" w:cs="Arial" w:eastAsia="Arial" w:hAnsi="Arial"/>
                <w:sz w:val="18"/>
                <w:szCs w:val="18"/>
                <w:color w:val="0000FF"/>
              </w:rPr>
            </w:pPr>
            <w:hyperlink r:id="rId146">
              <w:r>
                <w:rPr>
                  <w:rFonts w:ascii="Arial" w:cs="Arial" w:eastAsia="Arial" w:hAnsi="Arial"/>
                  <w:sz w:val="18"/>
                  <w:szCs w:val="18"/>
                  <w:color w:val="0000FF"/>
                </w:rPr>
                <w:t>Amended and Restated Global Health Agreement by and</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0" w:type="dxa"/>
            <w:vAlign w:val="bottom"/>
            <w:tcBorders>
              <w:top w:val="single" w:sz="8" w:color="0000FF"/>
              <w:bottom w:val="single" w:sz="8" w:color="0000FF"/>
            </w:tcBorders>
            <w:gridSpan w:val="35"/>
          </w:tcPr>
          <w:p>
            <w:pPr>
              <w:spacing w:after="0" w:line="182" w:lineRule="exact"/>
              <w:rPr>
                <w:rFonts w:ascii="Arial" w:cs="Arial" w:eastAsia="Arial" w:hAnsi="Arial"/>
                <w:sz w:val="18"/>
                <w:szCs w:val="18"/>
                <w:color w:val="0000FF"/>
                <w:w w:val="98"/>
              </w:rPr>
            </w:pPr>
            <w:hyperlink r:id="rId146">
              <w:r>
                <w:rPr>
                  <w:rFonts w:ascii="Arial" w:cs="Arial" w:eastAsia="Arial" w:hAnsi="Arial"/>
                  <w:sz w:val="18"/>
                  <w:szCs w:val="18"/>
                  <w:color w:val="0000FF"/>
                  <w:w w:val="98"/>
                </w:rPr>
                <w:t>among the Registrant, Adjuvant Global Health Technology</w:t>
              </w:r>
            </w:hyperlink>
          </w:p>
        </w:tc>
        <w:tc>
          <w:tcPr>
            <w:tcW w:w="60" w:type="dxa"/>
            <w:vAlign w:val="bottom"/>
            <w:tcBorders>
              <w:bottom w:val="single" w:sz="8" w:color="0000FF"/>
            </w:tcBorders>
            <w:gridSpan w:val="3"/>
          </w:tcPr>
          <w:p>
            <w:pPr>
              <w:spacing w:after="0"/>
              <w:rPr>
                <w:sz w:val="15"/>
                <w:szCs w:val="15"/>
                <w:color w:val="auto"/>
              </w:rPr>
            </w:pPr>
          </w:p>
        </w:tc>
        <w:tc>
          <w:tcPr>
            <w:tcW w:w="180" w:type="dxa"/>
            <w:vAlign w:val="bottom"/>
            <w:gridSpan w:val="5"/>
          </w:tcPr>
          <w:p>
            <w:pPr>
              <w:spacing w:after="0"/>
              <w:rPr>
                <w:sz w:val="15"/>
                <w:szCs w:val="15"/>
                <w:color w:val="auto"/>
              </w:rPr>
            </w:pPr>
          </w:p>
        </w:tc>
        <w:tc>
          <w:tcPr>
            <w:tcW w:w="14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60" w:type="dxa"/>
            <w:vAlign w:val="bottom"/>
            <w:gridSpan w:val="53"/>
          </w:tcPr>
          <w:p>
            <w:pPr>
              <w:spacing w:after="0" w:line="182" w:lineRule="exact"/>
              <w:rPr>
                <w:rFonts w:ascii="Arial" w:cs="Arial" w:eastAsia="Arial" w:hAnsi="Arial"/>
                <w:sz w:val="18"/>
                <w:szCs w:val="18"/>
                <w:color w:val="0000FF"/>
              </w:rPr>
            </w:pPr>
            <w:hyperlink r:id="rId146">
              <w:r>
                <w:rPr>
                  <w:rFonts w:ascii="Arial" w:cs="Arial" w:eastAsia="Arial" w:hAnsi="Arial"/>
                  <w:sz w:val="18"/>
                  <w:szCs w:val="18"/>
                  <w:color w:val="0000FF"/>
                </w:rPr>
                <w:t>Fund L.P., and Adjuvant Global Health Technology Fund DE</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8"/>
              </w:rPr>
            </w:pPr>
            <w:hyperlink r:id="rId146">
              <w:r>
                <w:rPr>
                  <w:rFonts w:ascii="Arial" w:cs="Arial" w:eastAsia="Arial" w:hAnsi="Arial"/>
                  <w:sz w:val="18"/>
                  <w:szCs w:val="18"/>
                  <w:color w:val="0000FF"/>
                  <w:w w:val="98"/>
                </w:rPr>
                <w:t>L.P., dated March 5,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2720" w:type="dxa"/>
            <w:vAlign w:val="bottom"/>
            <w:tcBorders>
              <w:top w:val="single" w:sz="8" w:color="0000FF"/>
            </w:tcBorders>
            <w:gridSpan w:val="32"/>
          </w:tcPr>
          <w:p>
            <w:pPr>
              <w:spacing w:after="0"/>
              <w:rPr>
                <w:sz w:val="15"/>
                <w:szCs w:val="15"/>
                <w:color w:val="auto"/>
              </w:rPr>
            </w:pPr>
          </w:p>
        </w:tc>
        <w:tc>
          <w:tcPr>
            <w:tcW w:w="14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18"/>
                <w:szCs w:val="18"/>
                <w:color w:val="auto"/>
              </w:rPr>
            </w:pPr>
          </w:p>
        </w:tc>
        <w:tc>
          <w:tcPr>
            <w:tcW w:w="5060" w:type="dxa"/>
            <w:vAlign w:val="bottom"/>
            <w:gridSpan w:val="53"/>
          </w:tcPr>
          <w:p>
            <w:pPr>
              <w:spacing w:after="0"/>
              <w:rPr>
                <w:rFonts w:ascii="Arial" w:cs="Arial" w:eastAsia="Arial" w:hAnsi="Arial"/>
                <w:sz w:val="18"/>
                <w:szCs w:val="18"/>
                <w:color w:val="0000FF"/>
              </w:rPr>
            </w:pPr>
            <w:hyperlink r:id="rId147">
              <w:r>
                <w:rPr>
                  <w:rFonts w:ascii="Arial" w:cs="Arial" w:eastAsia="Arial" w:hAnsi="Arial"/>
                  <w:sz w:val="18"/>
                  <w:szCs w:val="18"/>
                  <w:color w:val="0000FF"/>
                </w:rPr>
                <w:t>Offer Letter by and between the Registrant and Joshua Eizen,</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8"/>
              </w:rPr>
            </w:pPr>
            <w:hyperlink r:id="rId147">
              <w:r>
                <w:rPr>
                  <w:rFonts w:ascii="Arial" w:cs="Arial" w:eastAsia="Arial" w:hAnsi="Arial"/>
                  <w:sz w:val="18"/>
                  <w:szCs w:val="18"/>
                  <w:color w:val="0000FF"/>
                  <w:w w:val="98"/>
                </w:rPr>
                <w:t>dated September 19, 2022.</w:t>
              </w:r>
            </w:hyperlink>
          </w:p>
        </w:tc>
        <w:tc>
          <w:tcPr>
            <w:tcW w:w="20" w:type="dxa"/>
            <w:vAlign w:val="bottom"/>
            <w:tcBorders>
              <w:top w:val="single" w:sz="8" w:color="0000FF"/>
              <w:bottom w:val="single" w:sz="8" w:color="0000EE"/>
            </w:tcBorders>
          </w:tcPr>
          <w:p>
            <w:pPr>
              <w:spacing w:after="0"/>
              <w:rPr>
                <w:sz w:val="15"/>
                <w:szCs w:val="15"/>
                <w:color w:val="auto"/>
              </w:rPr>
            </w:pPr>
          </w:p>
        </w:tc>
        <w:tc>
          <w:tcPr>
            <w:tcW w:w="2800" w:type="dxa"/>
            <w:vAlign w:val="bottom"/>
            <w:tcBorders>
              <w:top w:val="single" w:sz="8" w:color="0000FF"/>
            </w:tcBorders>
            <w:gridSpan w:val="35"/>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18"/>
                <w:szCs w:val="18"/>
                <w:color w:val="auto"/>
              </w:rPr>
            </w:pPr>
          </w:p>
        </w:tc>
        <w:tc>
          <w:tcPr>
            <w:tcW w:w="5060" w:type="dxa"/>
            <w:vAlign w:val="bottom"/>
            <w:gridSpan w:val="53"/>
          </w:tcPr>
          <w:p>
            <w:pPr>
              <w:spacing w:after="0"/>
              <w:rPr>
                <w:rFonts w:ascii="Arial" w:cs="Arial" w:eastAsia="Arial" w:hAnsi="Arial"/>
                <w:sz w:val="18"/>
                <w:szCs w:val="18"/>
                <w:color w:val="0000FF"/>
              </w:rPr>
            </w:pPr>
            <w:hyperlink r:id="rId148">
              <w:r>
                <w:rPr>
                  <w:rFonts w:ascii="Arial" w:cs="Arial" w:eastAsia="Arial" w:hAnsi="Arial"/>
                  <w:sz w:val="18"/>
                  <w:szCs w:val="18"/>
                  <w:color w:val="0000FF"/>
                </w:rPr>
                <w:t>Offer Letter by and between the Registrant and Kevin Krause,</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148">
              <w:r>
                <w:rPr>
                  <w:rFonts w:ascii="Arial" w:cs="Arial" w:eastAsia="Arial" w:hAnsi="Arial"/>
                  <w:sz w:val="18"/>
                  <w:szCs w:val="18"/>
                  <w:color w:val="0000FF"/>
                  <w:w w:val="99"/>
                </w:rPr>
                <w:t>dated November 19, 2019.</w:t>
              </w:r>
            </w:hyperlink>
          </w:p>
        </w:tc>
        <w:tc>
          <w:tcPr>
            <w:tcW w:w="20" w:type="dxa"/>
            <w:vAlign w:val="bottom"/>
            <w:tcBorders>
              <w:top w:val="single" w:sz="8" w:color="0000FF"/>
              <w:bottom w:val="single" w:sz="8" w:color="0000EE"/>
            </w:tcBorders>
          </w:tcPr>
          <w:p>
            <w:pPr>
              <w:spacing w:after="0"/>
              <w:rPr>
                <w:sz w:val="15"/>
                <w:szCs w:val="15"/>
                <w:color w:val="auto"/>
              </w:rPr>
            </w:pPr>
          </w:p>
        </w:tc>
        <w:tc>
          <w:tcPr>
            <w:tcW w:w="2820" w:type="dxa"/>
            <w:vAlign w:val="bottom"/>
            <w:tcBorders>
              <w:top w:val="single" w:sz="8" w:color="0000FF"/>
            </w:tcBorders>
            <w:gridSpan w:val="36"/>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18"/>
                <w:szCs w:val="18"/>
                <w:color w:val="auto"/>
              </w:rPr>
            </w:pPr>
          </w:p>
        </w:tc>
        <w:tc>
          <w:tcPr>
            <w:tcW w:w="5060" w:type="dxa"/>
            <w:vAlign w:val="bottom"/>
            <w:gridSpan w:val="53"/>
          </w:tcPr>
          <w:p>
            <w:pPr>
              <w:spacing w:after="0"/>
              <w:rPr>
                <w:rFonts w:ascii="Arial" w:cs="Arial" w:eastAsia="Arial" w:hAnsi="Arial"/>
                <w:sz w:val="18"/>
                <w:szCs w:val="18"/>
                <w:color w:val="0000FF"/>
              </w:rPr>
            </w:pPr>
            <w:hyperlink r:id="rId149">
              <w:r>
                <w:rPr>
                  <w:rFonts w:ascii="Arial" w:cs="Arial" w:eastAsia="Arial" w:hAnsi="Arial"/>
                  <w:sz w:val="18"/>
                  <w:szCs w:val="18"/>
                  <w:color w:val="0000FF"/>
                </w:rPr>
                <w:t>Offer Letter by and between the Registrant and Paul Eckburg,</w:t>
              </w:r>
            </w:hyperlink>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dated April 30, 2021.</w:t>
              </w:r>
            </w:hyperlink>
          </w:p>
        </w:tc>
        <w:tc>
          <w:tcPr>
            <w:tcW w:w="3240" w:type="dxa"/>
            <w:vAlign w:val="bottom"/>
            <w:tcBorders>
              <w:top w:val="single" w:sz="8" w:color="0000FF"/>
            </w:tcBorders>
            <w:gridSpan w:val="43"/>
          </w:tcPr>
          <w:p>
            <w:pPr>
              <w:spacing w:after="0"/>
              <w:rPr>
                <w:sz w:val="15"/>
                <w:szCs w:val="15"/>
                <w:color w:val="auto"/>
              </w:rPr>
            </w:pPr>
          </w:p>
        </w:tc>
        <w:tc>
          <w:tcPr>
            <w:tcW w:w="80" w:type="dxa"/>
            <w:vAlign w:val="bottom"/>
            <w:gridSpan w:val="4"/>
          </w:tcPr>
          <w:p>
            <w:pPr>
              <w:spacing w:after="0"/>
              <w:rPr>
                <w:sz w:val="15"/>
                <w:szCs w:val="15"/>
                <w:color w:val="auto"/>
              </w:rPr>
            </w:pPr>
          </w:p>
        </w:tc>
      </w:tr>
      <w:tr>
        <w:trPr>
          <w:trHeight w:val="844"/>
        </w:trPr>
        <w:tc>
          <w:tcPr>
            <w:tcW w:w="1020" w:type="dxa"/>
            <w:vAlign w:val="bottom"/>
          </w:tcPr>
          <w:p>
            <w:pPr>
              <w:spacing w:after="0"/>
              <w:rPr>
                <w:sz w:val="24"/>
                <w:szCs w:val="24"/>
                <w:color w:val="auto"/>
              </w:rPr>
            </w:pPr>
          </w:p>
        </w:tc>
        <w:tc>
          <w:tcPr>
            <w:tcW w:w="4740" w:type="dxa"/>
            <w:vAlign w:val="bottom"/>
            <w:gridSpan w:val="36"/>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31457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0"/>
                <w:szCs w:val="20"/>
                <w:color w:val="auto"/>
              </w:rPr>
            </w:pP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Filing Date</w:t>
            </w:r>
          </w:p>
        </w:tc>
      </w:tr>
      <w:tr>
        <w:trPr>
          <w:trHeight w:val="218"/>
        </w:trPr>
        <w:tc>
          <w:tcPr>
            <w:tcW w:w="6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March 4 2022</w:t>
            </w:r>
          </w:p>
        </w:tc>
      </w:tr>
      <w:tr>
        <w:trPr>
          <w:trHeight w:val="230"/>
        </w:trPr>
        <w:tc>
          <w:tcPr>
            <w:tcW w:w="6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333-263295</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March 4, 2022</w:t>
            </w:r>
          </w:p>
        </w:tc>
      </w:tr>
      <w:tr>
        <w:trPr>
          <w:trHeight w:val="229"/>
        </w:trPr>
        <w:tc>
          <w:tcPr>
            <w:tcW w:w="6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333-263295</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March 21, 2022</w:t>
            </w:r>
          </w:p>
        </w:tc>
      </w:tr>
      <w:tr>
        <w:trPr>
          <w:trHeight w:val="239"/>
        </w:trPr>
        <w:tc>
          <w:tcPr>
            <w:tcW w:w="6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333-263295</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March 4, 2022</w:t>
            </w:r>
          </w:p>
        </w:tc>
      </w:tr>
      <w:tr>
        <w:trPr>
          <w:trHeight w:val="625"/>
        </w:trPr>
        <w:tc>
          <w:tcPr>
            <w:tcW w:w="6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001-41331</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March 29, 2023</w:t>
            </w:r>
          </w:p>
        </w:tc>
      </w:tr>
      <w:tr>
        <w:trPr>
          <w:trHeight w:val="239"/>
        </w:trPr>
        <w:tc>
          <w:tcPr>
            <w:tcW w:w="6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333-263295</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March 4, 2022</w:t>
            </w:r>
          </w:p>
        </w:tc>
      </w:tr>
      <w:tr>
        <w:trPr>
          <w:trHeight w:val="432"/>
        </w:trPr>
        <w:tc>
          <w:tcPr>
            <w:tcW w:w="6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333-263295</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10.2</w:t>
            </w:r>
          </w:p>
        </w:tc>
        <w:tc>
          <w:tcPr>
            <w:tcW w:w="1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March 4,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tabs>
          <w:tab w:leader="none" w:pos="980" w:val="left"/>
          <w:tab w:leader="none" w:pos="2560" w:val="left"/>
          <w:tab w:leader="none" w:pos="356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333-263295</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March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60" w:type="dxa"/>
        <w:tblCellMar>
          <w:top w:w="0" w:type="dxa"/>
          <w:left w:w="0" w:type="dxa"/>
          <w:bottom w:w="0" w:type="dxa"/>
          <w:right w:w="0" w:type="dxa"/>
        </w:tblCellMar>
      </w:tblPr>
      <w:tr>
        <w:trPr>
          <w:trHeight w:val="239"/>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94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1700" w:type="dxa"/>
            <w:vAlign w:val="bottom"/>
          </w:tcPr>
          <w:p>
            <w:pPr>
              <w:jc w:val="center"/>
              <w:ind w:left="170"/>
              <w:spacing w:after="0"/>
              <w:rPr>
                <w:sz w:val="20"/>
                <w:szCs w:val="20"/>
                <w:color w:val="auto"/>
              </w:rPr>
            </w:pPr>
            <w:r>
              <w:rPr>
                <w:rFonts w:ascii="Arial" w:cs="Arial" w:eastAsia="Arial" w:hAnsi="Arial"/>
                <w:sz w:val="18"/>
                <w:szCs w:val="18"/>
                <w:color w:val="auto"/>
              </w:rPr>
              <w:t>March 4, 2022</w:t>
            </w:r>
          </w:p>
        </w:tc>
      </w:tr>
      <w:tr>
        <w:trPr>
          <w:trHeight w:val="423"/>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94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1700" w:type="dxa"/>
            <w:vAlign w:val="bottom"/>
          </w:tcPr>
          <w:p>
            <w:pPr>
              <w:jc w:val="center"/>
              <w:ind w:left="170"/>
              <w:spacing w:after="0"/>
              <w:rPr>
                <w:sz w:val="20"/>
                <w:szCs w:val="20"/>
                <w:color w:val="auto"/>
              </w:rPr>
            </w:pPr>
            <w:r>
              <w:rPr>
                <w:rFonts w:ascii="Arial" w:cs="Arial" w:eastAsia="Arial" w:hAnsi="Arial"/>
                <w:sz w:val="18"/>
                <w:szCs w:val="18"/>
                <w:color w:val="auto"/>
              </w:rPr>
              <w:t>March 4, 2022</w:t>
            </w:r>
          </w:p>
        </w:tc>
      </w:tr>
      <w:tr>
        <w:trPr>
          <w:trHeight w:val="239"/>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94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1700" w:type="dxa"/>
            <w:vAlign w:val="bottom"/>
          </w:tcPr>
          <w:p>
            <w:pPr>
              <w:jc w:val="center"/>
              <w:ind w:left="170"/>
              <w:spacing w:after="0"/>
              <w:rPr>
                <w:sz w:val="20"/>
                <w:szCs w:val="20"/>
                <w:color w:val="auto"/>
              </w:rPr>
            </w:pPr>
            <w:r>
              <w:rPr>
                <w:rFonts w:ascii="Arial" w:cs="Arial" w:eastAsia="Arial" w:hAnsi="Arial"/>
                <w:sz w:val="18"/>
                <w:szCs w:val="18"/>
                <w:color w:val="auto"/>
              </w:rPr>
              <w:t>March 4, 2022</w:t>
            </w:r>
          </w:p>
        </w:tc>
      </w:tr>
      <w:tr>
        <w:trPr>
          <w:trHeight w:val="432"/>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940" w:type="dxa"/>
            <w:vAlign w:val="bottom"/>
          </w:tcPr>
          <w:p>
            <w:pPr>
              <w:jc w:val="center"/>
              <w:spacing w:after="0"/>
              <w:rPr>
                <w:sz w:val="20"/>
                <w:szCs w:val="20"/>
                <w:color w:val="auto"/>
              </w:rPr>
            </w:pPr>
            <w:r>
              <w:rPr>
                <w:rFonts w:ascii="Arial" w:cs="Arial" w:eastAsia="Arial" w:hAnsi="Arial"/>
                <w:sz w:val="18"/>
                <w:szCs w:val="18"/>
                <w:color w:val="auto"/>
              </w:rPr>
              <w:t>10.10</w:t>
            </w:r>
          </w:p>
        </w:tc>
        <w:tc>
          <w:tcPr>
            <w:tcW w:w="1700" w:type="dxa"/>
            <w:vAlign w:val="bottom"/>
          </w:tcPr>
          <w:p>
            <w:pPr>
              <w:jc w:val="center"/>
              <w:ind w:left="170"/>
              <w:spacing w:after="0"/>
              <w:rPr>
                <w:sz w:val="20"/>
                <w:szCs w:val="20"/>
                <w:color w:val="auto"/>
              </w:rPr>
            </w:pPr>
            <w:r>
              <w:rPr>
                <w:rFonts w:ascii="Arial" w:cs="Arial" w:eastAsia="Arial" w:hAnsi="Arial"/>
                <w:sz w:val="18"/>
                <w:szCs w:val="18"/>
                <w:color w:val="auto"/>
              </w:rPr>
              <w:t>March 4, 2022</w:t>
            </w:r>
          </w:p>
        </w:tc>
      </w:tr>
      <w:tr>
        <w:trPr>
          <w:trHeight w:val="432"/>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10.11</w:t>
            </w:r>
          </w:p>
        </w:tc>
        <w:tc>
          <w:tcPr>
            <w:tcW w:w="1700" w:type="dxa"/>
            <w:vAlign w:val="bottom"/>
          </w:tcPr>
          <w:p>
            <w:pPr>
              <w:jc w:val="center"/>
              <w:ind w:left="170"/>
              <w:spacing w:after="0"/>
              <w:rPr>
                <w:sz w:val="20"/>
                <w:szCs w:val="20"/>
                <w:color w:val="auto"/>
              </w:rPr>
            </w:pPr>
            <w:r>
              <w:rPr>
                <w:rFonts w:ascii="Arial" w:cs="Arial" w:eastAsia="Arial" w:hAnsi="Arial"/>
                <w:sz w:val="18"/>
                <w:szCs w:val="18"/>
                <w:color w:val="auto"/>
              </w:rPr>
              <w:t>March 4, 2022</w:t>
            </w:r>
          </w:p>
        </w:tc>
      </w:tr>
      <w:tr>
        <w:trPr>
          <w:trHeight w:val="432"/>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940" w:type="dxa"/>
            <w:vAlign w:val="bottom"/>
          </w:tcPr>
          <w:p>
            <w:pPr>
              <w:jc w:val="center"/>
              <w:spacing w:after="0"/>
              <w:rPr>
                <w:sz w:val="20"/>
                <w:szCs w:val="20"/>
                <w:color w:val="auto"/>
              </w:rPr>
            </w:pPr>
            <w:r>
              <w:rPr>
                <w:rFonts w:ascii="Arial" w:cs="Arial" w:eastAsia="Arial" w:hAnsi="Arial"/>
                <w:sz w:val="18"/>
                <w:szCs w:val="18"/>
                <w:color w:val="auto"/>
              </w:rPr>
              <w:t>10.12</w:t>
            </w:r>
          </w:p>
        </w:tc>
        <w:tc>
          <w:tcPr>
            <w:tcW w:w="1700" w:type="dxa"/>
            <w:vAlign w:val="bottom"/>
          </w:tcPr>
          <w:p>
            <w:pPr>
              <w:jc w:val="center"/>
              <w:ind w:left="170"/>
              <w:spacing w:after="0"/>
              <w:rPr>
                <w:sz w:val="20"/>
                <w:szCs w:val="20"/>
                <w:color w:val="auto"/>
              </w:rPr>
            </w:pPr>
            <w:r>
              <w:rPr>
                <w:rFonts w:ascii="Arial" w:cs="Arial" w:eastAsia="Arial" w:hAnsi="Arial"/>
                <w:sz w:val="18"/>
                <w:szCs w:val="18"/>
                <w:color w:val="auto"/>
              </w:rPr>
              <w:t>March 4, 2022</w:t>
            </w:r>
          </w:p>
        </w:tc>
      </w:tr>
      <w:tr>
        <w:trPr>
          <w:trHeight w:val="432"/>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940" w:type="dxa"/>
            <w:vAlign w:val="bottom"/>
          </w:tcPr>
          <w:p>
            <w:pPr>
              <w:jc w:val="center"/>
              <w:spacing w:after="0"/>
              <w:rPr>
                <w:sz w:val="20"/>
                <w:szCs w:val="20"/>
                <w:color w:val="auto"/>
              </w:rPr>
            </w:pPr>
            <w:r>
              <w:rPr>
                <w:rFonts w:ascii="Arial" w:cs="Arial" w:eastAsia="Arial" w:hAnsi="Arial"/>
                <w:sz w:val="18"/>
                <w:szCs w:val="18"/>
                <w:color w:val="auto"/>
              </w:rPr>
              <w:t>10.13</w:t>
            </w:r>
          </w:p>
        </w:tc>
        <w:tc>
          <w:tcPr>
            <w:tcW w:w="1700" w:type="dxa"/>
            <w:vAlign w:val="bottom"/>
          </w:tcPr>
          <w:p>
            <w:pPr>
              <w:jc w:val="center"/>
              <w:ind w:left="170"/>
              <w:spacing w:after="0"/>
              <w:rPr>
                <w:sz w:val="20"/>
                <w:szCs w:val="20"/>
                <w:color w:val="auto"/>
              </w:rPr>
            </w:pPr>
            <w:r>
              <w:rPr>
                <w:rFonts w:ascii="Arial" w:cs="Arial" w:eastAsia="Arial" w:hAnsi="Arial"/>
                <w:sz w:val="18"/>
                <w:szCs w:val="18"/>
                <w:color w:val="auto"/>
              </w:rPr>
              <w:t>March 4, 2022</w:t>
            </w:r>
          </w:p>
        </w:tc>
      </w:tr>
      <w:tr>
        <w:trPr>
          <w:trHeight w:val="634"/>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940" w:type="dxa"/>
            <w:vAlign w:val="bottom"/>
          </w:tcPr>
          <w:p>
            <w:pPr>
              <w:jc w:val="center"/>
              <w:spacing w:after="0"/>
              <w:rPr>
                <w:sz w:val="20"/>
                <w:szCs w:val="20"/>
                <w:color w:val="auto"/>
              </w:rPr>
            </w:pPr>
            <w:r>
              <w:rPr>
                <w:rFonts w:ascii="Arial" w:cs="Arial" w:eastAsia="Arial" w:hAnsi="Arial"/>
                <w:sz w:val="18"/>
                <w:szCs w:val="18"/>
                <w:color w:val="auto"/>
              </w:rPr>
              <w:t>10.14</w:t>
            </w:r>
          </w:p>
        </w:tc>
        <w:tc>
          <w:tcPr>
            <w:tcW w:w="1700" w:type="dxa"/>
            <w:vAlign w:val="bottom"/>
          </w:tcPr>
          <w:p>
            <w:pPr>
              <w:jc w:val="center"/>
              <w:ind w:left="170"/>
              <w:spacing w:after="0"/>
              <w:rPr>
                <w:sz w:val="20"/>
                <w:szCs w:val="20"/>
                <w:color w:val="auto"/>
              </w:rPr>
            </w:pPr>
            <w:r>
              <w:rPr>
                <w:rFonts w:ascii="Arial" w:cs="Arial" w:eastAsia="Arial" w:hAnsi="Arial"/>
                <w:sz w:val="18"/>
                <w:szCs w:val="18"/>
                <w:color w:val="auto"/>
              </w:rPr>
              <w:t>March 4, 2022</w:t>
            </w:r>
          </w:p>
        </w:tc>
      </w:tr>
      <w:tr>
        <w:trPr>
          <w:trHeight w:val="432"/>
        </w:trPr>
        <w:tc>
          <w:tcPr>
            <w:tcW w:w="620" w:type="dxa"/>
            <w:vAlign w:val="bottom"/>
          </w:tcPr>
          <w:p>
            <w:pPr>
              <w:jc w:val="center"/>
              <w:ind w:right="170"/>
              <w:spacing w:after="0"/>
              <w:rPr>
                <w:sz w:val="20"/>
                <w:szCs w:val="20"/>
                <w:color w:val="auto"/>
              </w:rPr>
            </w:pPr>
            <w:r>
              <w:rPr>
                <w:rFonts w:ascii="Arial" w:cs="Arial" w:eastAsia="Arial" w:hAnsi="Arial"/>
                <w:sz w:val="18"/>
                <w:szCs w:val="18"/>
                <w:color w:val="auto"/>
                <w:w w:val="99"/>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333-263295</w:t>
            </w:r>
          </w:p>
        </w:tc>
        <w:tc>
          <w:tcPr>
            <w:tcW w:w="940" w:type="dxa"/>
            <w:vAlign w:val="bottom"/>
          </w:tcPr>
          <w:p>
            <w:pPr>
              <w:jc w:val="center"/>
              <w:spacing w:after="0"/>
              <w:rPr>
                <w:sz w:val="20"/>
                <w:szCs w:val="20"/>
                <w:color w:val="auto"/>
              </w:rPr>
            </w:pPr>
            <w:r>
              <w:rPr>
                <w:rFonts w:ascii="Arial" w:cs="Arial" w:eastAsia="Arial" w:hAnsi="Arial"/>
                <w:sz w:val="18"/>
                <w:szCs w:val="18"/>
                <w:color w:val="auto"/>
              </w:rPr>
              <w:t>10.15</w:t>
            </w:r>
          </w:p>
        </w:tc>
        <w:tc>
          <w:tcPr>
            <w:tcW w:w="1700" w:type="dxa"/>
            <w:vAlign w:val="bottom"/>
          </w:tcPr>
          <w:p>
            <w:pPr>
              <w:jc w:val="center"/>
              <w:ind w:left="170"/>
              <w:spacing w:after="0"/>
              <w:rPr>
                <w:sz w:val="20"/>
                <w:szCs w:val="20"/>
                <w:color w:val="auto"/>
              </w:rPr>
            </w:pPr>
            <w:r>
              <w:rPr>
                <w:rFonts w:ascii="Arial" w:cs="Arial" w:eastAsia="Arial" w:hAnsi="Arial"/>
                <w:sz w:val="18"/>
                <w:szCs w:val="18"/>
                <w:color w:val="auto"/>
              </w:rPr>
              <w:t>March 4, 2022</w:t>
            </w:r>
          </w:p>
        </w:tc>
      </w:tr>
      <w:tr>
        <w:trPr>
          <w:trHeight w:val="837"/>
        </w:trPr>
        <w:tc>
          <w:tcPr>
            <w:tcW w:w="620" w:type="dxa"/>
            <w:vAlign w:val="bottom"/>
          </w:tcPr>
          <w:p>
            <w:pPr>
              <w:jc w:val="center"/>
              <w:ind w:right="130"/>
              <w:spacing w:after="0"/>
              <w:rPr>
                <w:sz w:val="20"/>
                <w:szCs w:val="20"/>
                <w:color w:val="auto"/>
              </w:rPr>
            </w:pPr>
            <w:r>
              <w:rPr>
                <w:rFonts w:ascii="Arial" w:cs="Arial" w:eastAsia="Arial" w:hAnsi="Arial"/>
                <w:sz w:val="18"/>
                <w:szCs w:val="18"/>
                <w:color w:val="auto"/>
                <w:w w:val="99"/>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001-41331</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1700" w:type="dxa"/>
            <w:vAlign w:val="bottom"/>
          </w:tcPr>
          <w:p>
            <w:pPr>
              <w:ind w:left="220"/>
              <w:spacing w:after="0"/>
              <w:rPr>
                <w:sz w:val="20"/>
                <w:szCs w:val="20"/>
                <w:color w:val="auto"/>
              </w:rPr>
            </w:pPr>
            <w:r>
              <w:rPr>
                <w:rFonts w:ascii="Arial" w:cs="Arial" w:eastAsia="Arial" w:hAnsi="Arial"/>
                <w:sz w:val="18"/>
                <w:szCs w:val="18"/>
                <w:color w:val="auto"/>
                <w:w w:val="98"/>
              </w:rPr>
              <w:t>November 9, 2022</w:t>
            </w:r>
          </w:p>
        </w:tc>
      </w:tr>
      <w:tr>
        <w:trPr>
          <w:trHeight w:val="432"/>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9"/>
              </w:rPr>
              <w:t>001-41331</w:t>
            </w:r>
          </w:p>
        </w:tc>
        <w:tc>
          <w:tcPr>
            <w:tcW w:w="940" w:type="dxa"/>
            <w:vAlign w:val="bottom"/>
          </w:tcPr>
          <w:p>
            <w:pPr>
              <w:jc w:val="center"/>
              <w:spacing w:after="0"/>
              <w:rPr>
                <w:sz w:val="20"/>
                <w:szCs w:val="20"/>
                <w:color w:val="auto"/>
              </w:rPr>
            </w:pPr>
            <w:r>
              <w:rPr>
                <w:rFonts w:ascii="Arial" w:cs="Arial" w:eastAsia="Arial" w:hAnsi="Arial"/>
                <w:sz w:val="18"/>
                <w:szCs w:val="18"/>
                <w:color w:val="auto"/>
              </w:rPr>
              <w:t>10.17</w:t>
            </w:r>
          </w:p>
        </w:tc>
        <w:tc>
          <w:tcPr>
            <w:tcW w:w="1700" w:type="dxa"/>
            <w:vAlign w:val="bottom"/>
          </w:tcPr>
          <w:p>
            <w:pPr>
              <w:jc w:val="center"/>
              <w:ind w:left="170"/>
              <w:spacing w:after="0"/>
              <w:rPr>
                <w:sz w:val="20"/>
                <w:szCs w:val="20"/>
                <w:color w:val="auto"/>
              </w:rPr>
            </w:pPr>
            <w:r>
              <w:rPr>
                <w:rFonts w:ascii="Arial" w:cs="Arial" w:eastAsia="Arial" w:hAnsi="Arial"/>
                <w:sz w:val="18"/>
                <w:szCs w:val="18"/>
                <w:color w:val="auto"/>
                <w:w w:val="99"/>
              </w:rPr>
              <w:t>March 29, 2023</w:t>
            </w:r>
          </w:p>
        </w:tc>
      </w:tr>
      <w:tr>
        <w:trPr>
          <w:trHeight w:val="432"/>
        </w:trPr>
        <w:tc>
          <w:tcPr>
            <w:tcW w:w="62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9"/>
              </w:rPr>
              <w:t>001-41331</w:t>
            </w:r>
          </w:p>
        </w:tc>
        <w:tc>
          <w:tcPr>
            <w:tcW w:w="940" w:type="dxa"/>
            <w:vAlign w:val="bottom"/>
          </w:tcPr>
          <w:p>
            <w:pPr>
              <w:jc w:val="center"/>
              <w:spacing w:after="0"/>
              <w:rPr>
                <w:sz w:val="20"/>
                <w:szCs w:val="20"/>
                <w:color w:val="auto"/>
              </w:rPr>
            </w:pPr>
            <w:r>
              <w:rPr>
                <w:rFonts w:ascii="Arial" w:cs="Arial" w:eastAsia="Arial" w:hAnsi="Arial"/>
                <w:sz w:val="18"/>
                <w:szCs w:val="18"/>
                <w:color w:val="auto"/>
              </w:rPr>
              <w:t>10.18</w:t>
            </w:r>
          </w:p>
        </w:tc>
        <w:tc>
          <w:tcPr>
            <w:tcW w:w="1700" w:type="dxa"/>
            <w:vAlign w:val="bottom"/>
          </w:tcPr>
          <w:p>
            <w:pPr>
              <w:jc w:val="center"/>
              <w:ind w:left="170"/>
              <w:spacing w:after="0"/>
              <w:rPr>
                <w:sz w:val="20"/>
                <w:szCs w:val="20"/>
                <w:color w:val="auto"/>
              </w:rPr>
            </w:pPr>
            <w:r>
              <w:rPr>
                <w:rFonts w:ascii="Arial" w:cs="Arial" w:eastAsia="Arial" w:hAnsi="Arial"/>
                <w:sz w:val="18"/>
                <w:szCs w:val="18"/>
                <w:color w:val="auto"/>
                <w:w w:val="99"/>
              </w:rPr>
              <w:t>March 29, 2023</w:t>
            </w:r>
          </w:p>
        </w:tc>
      </w:tr>
    </w:tbl>
    <w:p>
      <w:pPr>
        <w:sectPr>
          <w:pgSz w:w="11900" w:h="16838" w:orient="portrait"/>
          <w:cols w:equalWidth="0" w:num="2">
            <w:col w:w="6180" w:space="100"/>
            <w:col w:w="4960"/>
          </w:cols>
          <w:pgMar w:left="320" w:top="985" w:right="3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rPr>
              <w:t>Incorporated by Reference</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40" w:type="dxa"/>
            <w:vAlign w:val="bottom"/>
            <w:gridSpan w:val="14"/>
          </w:tcPr>
          <w:p>
            <w:pPr>
              <w:ind w:left="520"/>
              <w:spacing w:after="0"/>
              <w:rPr>
                <w:sz w:val="20"/>
                <w:szCs w:val="20"/>
                <w:color w:val="auto"/>
              </w:rPr>
            </w:pPr>
            <w:r>
              <w:rPr>
                <w:rFonts w:ascii="Arial" w:cs="Arial" w:eastAsia="Arial" w:hAnsi="Arial"/>
                <w:sz w:val="18"/>
                <w:szCs w:val="18"/>
                <w:b w:val="1"/>
                <w:bCs w:val="1"/>
                <w:color w:val="auto"/>
              </w:rPr>
              <w:t>Description</w:t>
            </w:r>
          </w:p>
        </w:tc>
        <w:tc>
          <w:tcPr>
            <w:tcW w:w="680" w:type="dxa"/>
            <w:vAlign w:val="bottom"/>
          </w:tcPr>
          <w:p>
            <w:pPr>
              <w:ind w:left="120"/>
              <w:spacing w:after="0"/>
              <w:rPr>
                <w:sz w:val="20"/>
                <w:szCs w:val="20"/>
                <w:color w:val="auto"/>
              </w:rPr>
            </w:pPr>
            <w:r>
              <w:rPr>
                <w:rFonts w:ascii="Arial" w:cs="Arial" w:eastAsia="Arial" w:hAnsi="Arial"/>
                <w:sz w:val="18"/>
                <w:szCs w:val="18"/>
                <w:b w:val="1"/>
                <w:bCs w:val="1"/>
                <w:color w:val="auto"/>
              </w:rPr>
              <w:t>Form</w:t>
            </w:r>
          </w:p>
        </w:tc>
        <w:tc>
          <w:tcPr>
            <w:tcW w:w="120" w:type="dxa"/>
            <w:vAlign w:val="bottom"/>
          </w:tcPr>
          <w:p>
            <w:pPr>
              <w:spacing w:after="0"/>
              <w:rPr>
                <w:sz w:val="20"/>
                <w:szCs w:val="20"/>
                <w:color w:val="auto"/>
              </w:rPr>
            </w:pPr>
          </w:p>
        </w:tc>
        <w:tc>
          <w:tcPr>
            <w:tcW w:w="1340" w:type="dxa"/>
            <w:vAlign w:val="bottom"/>
          </w:tcPr>
          <w:p>
            <w:pPr>
              <w:ind w:left="34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1420" w:type="dxa"/>
            <w:vAlign w:val="bottom"/>
            <w:gridSpan w:val="3"/>
          </w:tcPr>
          <w:p>
            <w:pPr>
              <w:ind w:left="200"/>
              <w:spacing w:after="0"/>
              <w:rPr>
                <w:sz w:val="20"/>
                <w:szCs w:val="20"/>
                <w:color w:val="auto"/>
              </w:rPr>
            </w:pPr>
            <w:r>
              <w:rPr>
                <w:rFonts w:ascii="Arial" w:cs="Arial" w:eastAsia="Arial" w:hAnsi="Arial"/>
                <w:sz w:val="18"/>
                <w:szCs w:val="18"/>
                <w:b w:val="1"/>
                <w:bCs w:val="1"/>
                <w:color w:val="auto"/>
              </w:rPr>
              <w:t>Exhibit</w:t>
            </w:r>
          </w:p>
        </w:tc>
        <w:tc>
          <w:tcPr>
            <w:tcW w:w="1300" w:type="dxa"/>
            <w:vAlign w:val="bottom"/>
          </w:tcPr>
          <w:p>
            <w:pPr>
              <w:ind w:left="4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183"/>
        </w:trPr>
        <w:tc>
          <w:tcPr>
            <w:tcW w:w="10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23.1*</w:t>
            </w:r>
          </w:p>
        </w:tc>
        <w:tc>
          <w:tcPr>
            <w:tcW w:w="140" w:type="dxa"/>
            <w:vAlign w:val="bottom"/>
          </w:tcPr>
          <w:p>
            <w:pPr>
              <w:spacing w:after="0"/>
              <w:rPr>
                <w:sz w:val="15"/>
                <w:szCs w:val="15"/>
                <w:color w:val="auto"/>
              </w:rPr>
            </w:pPr>
          </w:p>
        </w:tc>
        <w:tc>
          <w:tcPr>
            <w:tcW w:w="5000" w:type="dxa"/>
            <w:vAlign w:val="bottom"/>
            <w:tcBorders>
              <w:top w:val="single" w:sz="8" w:color="auto"/>
            </w:tcBorders>
            <w:gridSpan w:val="14"/>
          </w:tcPr>
          <w:p>
            <w:pPr>
              <w:spacing w:after="0" w:line="182" w:lineRule="exact"/>
              <w:rPr>
                <w:sz w:val="20"/>
                <w:szCs w:val="20"/>
                <w:color w:val="auto"/>
              </w:rPr>
            </w:pPr>
            <w:r>
              <w:rPr>
                <w:rFonts w:ascii="Arial" w:cs="Arial" w:eastAsia="Arial" w:hAnsi="Arial"/>
                <w:sz w:val="18"/>
                <w:szCs w:val="18"/>
                <w:color w:val="0000FF"/>
              </w:rPr>
              <w:t>Consent of PricewaterhouseCoopers LLP, independent</w:t>
            </w: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2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registered public accounting firm.</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5120" w:type="dxa"/>
            <w:vAlign w:val="bottom"/>
            <w:gridSpan w:val="15"/>
          </w:tcPr>
          <w:p>
            <w:pPr>
              <w:spacing w:after="0"/>
              <w:rPr>
                <w:sz w:val="20"/>
                <w:szCs w:val="20"/>
                <w:color w:val="auto"/>
              </w:rPr>
            </w:pPr>
            <w:r>
              <w:rPr>
                <w:rFonts w:ascii="Arial" w:cs="Arial" w:eastAsia="Arial" w:hAnsi="Arial"/>
                <w:sz w:val="18"/>
                <w:szCs w:val="18"/>
                <w:color w:val="0000FF"/>
              </w:rPr>
              <w:t>Power of Attorney (incorporated by reference to the signature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2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page to this Annual Report on Form 10-K.)</w:t>
            </w:r>
          </w:p>
        </w:tc>
        <w:tc>
          <w:tcPr>
            <w:tcW w:w="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5120" w:type="dxa"/>
            <w:vAlign w:val="bottom"/>
            <w:gridSpan w:val="15"/>
          </w:tcPr>
          <w:p>
            <w:pPr>
              <w:spacing w:after="0"/>
              <w:rPr>
                <w:sz w:val="20"/>
                <w:szCs w:val="20"/>
                <w:color w:val="auto"/>
              </w:rPr>
            </w:pPr>
            <w:r>
              <w:rPr>
                <w:rFonts w:ascii="Arial" w:cs="Arial" w:eastAsia="Arial" w:hAnsi="Arial"/>
                <w:sz w:val="18"/>
                <w:szCs w:val="18"/>
                <w:color w:val="0000FF"/>
              </w:rPr>
              <w:t>Certification of Principal Executive Officer Pursuant to Rules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2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13a-14(a) and 15d-14(a) under the Securities Exchange Act</w:t>
            </w:r>
          </w:p>
        </w:tc>
        <w:tc>
          <w:tcPr>
            <w:tcW w:w="300" w:type="dxa"/>
            <w:vAlign w:val="bottom"/>
            <w:gridSpan w:val="5"/>
          </w:tcPr>
          <w:p>
            <w:pPr>
              <w:spacing w:after="0" w:line="182" w:lineRule="exact"/>
              <w:rPr>
                <w:sz w:val="20"/>
                <w:szCs w:val="20"/>
                <w:color w:val="auto"/>
              </w:rPr>
            </w:pPr>
            <w:r>
              <w:rPr>
                <w:rFonts w:ascii="Arial" w:cs="Arial" w:eastAsia="Arial" w:hAnsi="Arial"/>
                <w:sz w:val="18"/>
                <w:szCs w:val="18"/>
                <w:color w:val="0000FF"/>
              </w:rPr>
              <w:t>of</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1934, as Adopted Pursuant to Section 302 of the Sarbanes-</w:t>
            </w:r>
          </w:p>
        </w:tc>
        <w:tc>
          <w:tcPr>
            <w:tcW w:w="14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Oxley Act of 2002.</w:t>
            </w: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6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5120" w:type="dxa"/>
            <w:vAlign w:val="bottom"/>
            <w:gridSpan w:val="15"/>
          </w:tcPr>
          <w:p>
            <w:pPr>
              <w:spacing w:after="0"/>
              <w:rPr>
                <w:sz w:val="20"/>
                <w:szCs w:val="20"/>
                <w:color w:val="auto"/>
              </w:rPr>
            </w:pPr>
            <w:r>
              <w:rPr>
                <w:rFonts w:ascii="Arial" w:cs="Arial" w:eastAsia="Arial" w:hAnsi="Arial"/>
                <w:sz w:val="18"/>
                <w:szCs w:val="18"/>
                <w:color w:val="0000FF"/>
              </w:rPr>
              <w:t>Certification of Principal Financial Officer Pursuant to Rules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8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9"/>
              </w:rPr>
              <w:t>13a-14(a) and 15d-14(a) under the Securities Exchange Act</w:t>
            </w:r>
          </w:p>
        </w:tc>
        <w:tc>
          <w:tcPr>
            <w:tcW w:w="340" w:type="dxa"/>
            <w:vAlign w:val="bottom"/>
            <w:gridSpan w:val="6"/>
          </w:tcPr>
          <w:p>
            <w:pPr>
              <w:ind w:left="40"/>
              <w:spacing w:after="0" w:line="182" w:lineRule="exact"/>
              <w:rPr>
                <w:sz w:val="20"/>
                <w:szCs w:val="20"/>
                <w:color w:val="auto"/>
              </w:rPr>
            </w:pPr>
            <w:r>
              <w:rPr>
                <w:rFonts w:ascii="Arial" w:cs="Arial" w:eastAsia="Arial" w:hAnsi="Arial"/>
                <w:sz w:val="18"/>
                <w:szCs w:val="18"/>
                <w:color w:val="0000FF"/>
              </w:rPr>
              <w:t>of</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1934, as Adopted Pursuant to Section 302 of the Sarbanes-</w:t>
            </w:r>
          </w:p>
        </w:tc>
        <w:tc>
          <w:tcPr>
            <w:tcW w:w="14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6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Oxley Act of 2002.</w:t>
            </w:r>
          </w:p>
        </w:tc>
        <w:tc>
          <w:tcPr>
            <w:tcW w:w="100" w:type="dxa"/>
            <w:vAlign w:val="bottom"/>
            <w:gridSpan w:val="3"/>
          </w:tcPr>
          <w:p>
            <w:pPr>
              <w:spacing w:after="0"/>
              <w:rPr>
                <w:sz w:val="15"/>
                <w:szCs w:val="15"/>
                <w:color w:val="auto"/>
              </w:rPr>
            </w:pPr>
          </w:p>
        </w:tc>
        <w:tc>
          <w:tcPr>
            <w:tcW w:w="26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5120" w:type="dxa"/>
            <w:vAlign w:val="bottom"/>
            <w:gridSpan w:val="15"/>
          </w:tcPr>
          <w:p>
            <w:pPr>
              <w:spacing w:after="0"/>
              <w:rPr>
                <w:sz w:val="20"/>
                <w:szCs w:val="20"/>
                <w:color w:val="auto"/>
              </w:rPr>
            </w:pPr>
            <w:r>
              <w:rPr>
                <w:rFonts w:ascii="Arial" w:cs="Arial" w:eastAsia="Arial" w:hAnsi="Arial"/>
                <w:sz w:val="18"/>
                <w:szCs w:val="18"/>
                <w:color w:val="0000FF"/>
              </w:rPr>
              <w:t>Certification of Principal Executive Officer Pursuant to 18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6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8"/>
              </w:rPr>
              <w:t>U.S.C. Section 1350, as Adopted Pursuant to Section 906</w:t>
            </w:r>
          </w:p>
        </w:tc>
        <w:tc>
          <w:tcPr>
            <w:tcW w:w="560" w:type="dxa"/>
            <w:vAlign w:val="bottom"/>
            <w:gridSpan w:val="8"/>
          </w:tcPr>
          <w:p>
            <w:pPr>
              <w:ind w:left="100"/>
              <w:spacing w:after="0" w:line="182" w:lineRule="exact"/>
              <w:rPr>
                <w:sz w:val="20"/>
                <w:szCs w:val="20"/>
                <w:color w:val="auto"/>
              </w:rPr>
            </w:pPr>
            <w:r>
              <w:rPr>
                <w:rFonts w:ascii="Arial" w:cs="Arial" w:eastAsia="Arial" w:hAnsi="Arial"/>
                <w:sz w:val="18"/>
                <w:szCs w:val="18"/>
                <w:color w:val="0000FF"/>
              </w:rPr>
              <w:t>of</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the Sarbanes-Oxley Act of 2002.</w:t>
            </w:r>
          </w:p>
        </w:tc>
        <w:tc>
          <w:tcPr>
            <w:tcW w:w="2220" w:type="dxa"/>
            <w:vAlign w:val="bottom"/>
            <w:tcBorders>
              <w:top w:val="single" w:sz="8" w:color="0000FF"/>
            </w:tcBorders>
            <w:gridSpan w:val="8"/>
          </w:tcPr>
          <w:p>
            <w:pPr>
              <w:spacing w:after="0"/>
              <w:rPr>
                <w:sz w:val="15"/>
                <w:szCs w:val="15"/>
                <w:color w:val="auto"/>
              </w:rPr>
            </w:pPr>
          </w:p>
        </w:tc>
        <w:tc>
          <w:tcPr>
            <w:tcW w:w="26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4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rPr>
              <w:t>Certification of Principal Financial Officer Pursuant to 18</w:t>
            </w:r>
          </w:p>
        </w:tc>
        <w:tc>
          <w:tcPr>
            <w:tcW w:w="620" w:type="dxa"/>
            <w:vAlign w:val="bottom"/>
            <w:gridSpan w:val="9"/>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20" w:type="dxa"/>
            <w:vAlign w:val="bottom"/>
            <w:gridSpan w:val="15"/>
          </w:tcPr>
          <w:p>
            <w:pPr>
              <w:spacing w:after="0" w:line="182" w:lineRule="exact"/>
              <w:rPr>
                <w:sz w:val="20"/>
                <w:szCs w:val="20"/>
                <w:color w:val="auto"/>
              </w:rPr>
            </w:pPr>
            <w:r>
              <w:rPr>
                <w:rFonts w:ascii="Arial" w:cs="Arial" w:eastAsia="Arial" w:hAnsi="Arial"/>
                <w:sz w:val="18"/>
                <w:szCs w:val="18"/>
                <w:color w:val="0000FF"/>
              </w:rPr>
              <w:t>U.S.C. Section 1350, as Adopted Pursuant to Section 906 of</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the Sarbanes-Oxley Act of 2002.</w:t>
            </w:r>
          </w:p>
        </w:tc>
        <w:tc>
          <w:tcPr>
            <w:tcW w:w="2220" w:type="dxa"/>
            <w:vAlign w:val="bottom"/>
            <w:tcBorders>
              <w:top w:val="single" w:sz="8" w:color="0000FF"/>
            </w:tcBorders>
            <w:gridSpan w:val="8"/>
          </w:tcPr>
          <w:p>
            <w:pPr>
              <w:spacing w:after="0"/>
              <w:rPr>
                <w:sz w:val="15"/>
                <w:szCs w:val="15"/>
                <w:color w:val="auto"/>
              </w:rPr>
            </w:pPr>
          </w:p>
        </w:tc>
        <w:tc>
          <w:tcPr>
            <w:tcW w:w="26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97.1*</w:t>
            </w:r>
          </w:p>
        </w:tc>
        <w:tc>
          <w:tcPr>
            <w:tcW w:w="140" w:type="dxa"/>
            <w:vAlign w:val="bottom"/>
          </w:tcPr>
          <w:p>
            <w:pPr>
              <w:spacing w:after="0"/>
              <w:rPr>
                <w:sz w:val="18"/>
                <w:szCs w:val="18"/>
                <w:color w:val="auto"/>
              </w:rPr>
            </w:pPr>
          </w:p>
        </w:tc>
        <w:tc>
          <w:tcPr>
            <w:tcW w:w="2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Compensation Recovery Policy.</w:t>
            </w:r>
          </w:p>
        </w:tc>
        <w:tc>
          <w:tcPr>
            <w:tcW w:w="2580" w:type="dxa"/>
            <w:vAlign w:val="bottom"/>
            <w:gridSpan w:val="13"/>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8"/>
                <w:szCs w:val="18"/>
                <w:color w:val="auto"/>
              </w:rPr>
            </w:pPr>
          </w:p>
        </w:tc>
        <w:tc>
          <w:tcPr>
            <w:tcW w:w="5120" w:type="dxa"/>
            <w:vAlign w:val="bottom"/>
            <w:gridSpan w:val="15"/>
          </w:tcPr>
          <w:p>
            <w:pPr>
              <w:spacing w:after="0"/>
              <w:rPr>
                <w:sz w:val="20"/>
                <w:szCs w:val="20"/>
                <w:color w:val="auto"/>
              </w:rPr>
            </w:pPr>
            <w:r>
              <w:rPr>
                <w:rFonts w:ascii="Arial" w:cs="Arial" w:eastAsia="Arial" w:hAnsi="Arial"/>
                <w:sz w:val="18"/>
                <w:szCs w:val="18"/>
                <w:color w:val="auto"/>
              </w:rPr>
              <w:t>Inline XBRL Instance Document – the instance document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5"/>
          </w:tcPr>
          <w:p>
            <w:pPr>
              <w:spacing w:after="0" w:line="202" w:lineRule="exact"/>
              <w:rPr>
                <w:sz w:val="20"/>
                <w:szCs w:val="20"/>
                <w:color w:val="auto"/>
              </w:rPr>
            </w:pPr>
            <w:r>
              <w:rPr>
                <w:rFonts w:ascii="Arial" w:cs="Arial" w:eastAsia="Arial" w:hAnsi="Arial"/>
                <w:sz w:val="18"/>
                <w:szCs w:val="18"/>
                <w:color w:val="auto"/>
              </w:rPr>
              <w:t>does not appear in the Interactive Data File because XBRL</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20" w:type="dxa"/>
            <w:vAlign w:val="bottom"/>
            <w:gridSpan w:val="15"/>
          </w:tcPr>
          <w:p>
            <w:pPr>
              <w:spacing w:after="0"/>
              <w:rPr>
                <w:sz w:val="20"/>
                <w:szCs w:val="20"/>
                <w:color w:val="auto"/>
              </w:rPr>
            </w:pPr>
            <w:r>
              <w:rPr>
                <w:rFonts w:ascii="Arial" w:cs="Arial" w:eastAsia="Arial" w:hAnsi="Arial"/>
                <w:sz w:val="18"/>
                <w:szCs w:val="18"/>
                <w:color w:val="auto"/>
              </w:rPr>
              <w:t>tags are embedded within the Inline XBRL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9"/>
                <w:szCs w:val="19"/>
                <w:color w:val="auto"/>
              </w:rPr>
            </w:pPr>
          </w:p>
        </w:tc>
        <w:tc>
          <w:tcPr>
            <w:tcW w:w="512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7"/>
                <w:szCs w:val="17"/>
                <w:color w:val="auto"/>
              </w:rPr>
            </w:pPr>
          </w:p>
        </w:tc>
        <w:tc>
          <w:tcPr>
            <w:tcW w:w="5120" w:type="dxa"/>
            <w:vAlign w:val="bottom"/>
            <w:gridSpan w:val="15"/>
          </w:tcPr>
          <w:p>
            <w:pPr>
              <w:spacing w:after="0" w:line="202" w:lineRule="exact"/>
              <w:rPr>
                <w:sz w:val="20"/>
                <w:szCs w:val="20"/>
                <w:color w:val="auto"/>
              </w:rPr>
            </w:pPr>
            <w:r>
              <w:rPr>
                <w:rFonts w:ascii="Arial" w:cs="Arial" w:eastAsia="Arial" w:hAnsi="Arial"/>
                <w:sz w:val="18"/>
                <w:szCs w:val="18"/>
                <w:color w:val="auto"/>
              </w:rPr>
              <w:t>Inline XBRL Taxonomy Extension Calculation Linkbase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2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7"/>
                <w:szCs w:val="17"/>
                <w:color w:val="auto"/>
              </w:rPr>
            </w:pPr>
          </w:p>
        </w:tc>
        <w:tc>
          <w:tcPr>
            <w:tcW w:w="5120" w:type="dxa"/>
            <w:vAlign w:val="bottom"/>
            <w:gridSpan w:val="15"/>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2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9"/>
                <w:szCs w:val="19"/>
                <w:color w:val="auto"/>
              </w:rPr>
            </w:pPr>
          </w:p>
        </w:tc>
        <w:tc>
          <w:tcPr>
            <w:tcW w:w="512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7"/>
                <w:szCs w:val="17"/>
                <w:color w:val="auto"/>
              </w:rPr>
            </w:pPr>
          </w:p>
        </w:tc>
        <w:tc>
          <w:tcPr>
            <w:tcW w:w="5120" w:type="dxa"/>
            <w:vAlign w:val="bottom"/>
            <w:gridSpan w:val="15"/>
          </w:tcPr>
          <w:p>
            <w:pPr>
              <w:spacing w:after="0" w:line="202" w:lineRule="exact"/>
              <w:rPr>
                <w:sz w:val="20"/>
                <w:szCs w:val="20"/>
                <w:color w:val="auto"/>
              </w:rPr>
            </w:pPr>
            <w:r>
              <w:rPr>
                <w:rFonts w:ascii="Arial" w:cs="Arial" w:eastAsia="Arial" w:hAnsi="Arial"/>
                <w:sz w:val="18"/>
                <w:szCs w:val="18"/>
                <w:color w:val="auto"/>
              </w:rPr>
              <w:t>Inline XBRL Taxonomy Extension Presentation Linkbase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60" w:right="5240" w:hanging="1139"/>
        <w:spacing w:after="0" w:line="260" w:lineRule="auto"/>
        <w:tabs>
          <w:tab w:leader="none" w:pos="11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9512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09" w:lineRule="exact"/>
        <w:rPr>
          <w:sz w:val="20"/>
          <w:szCs w:val="20"/>
          <w:color w:val="auto"/>
        </w:rPr>
      </w:pPr>
    </w:p>
    <w:p>
      <w:pPr>
        <w:ind w:right="240" w:firstLine="8"/>
        <w:spacing w:after="0" w:line="285" w:lineRule="auto"/>
        <w:tabs>
          <w:tab w:leader="none" w:pos="1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Portions of this exhibit (indicated by [*]) have been omitted because the registrant has determined that the information is both not material and is the type that the registrant treats as private or confidential.</w:t>
      </w:r>
    </w:p>
    <w:p>
      <w:pPr>
        <w:spacing w:after="0" w:line="50" w:lineRule="exact"/>
        <w:rPr>
          <w:sz w:val="20"/>
          <w:szCs w:val="20"/>
          <w:color w:val="auto"/>
        </w:rPr>
      </w:pPr>
    </w:p>
    <w:p>
      <w:pPr>
        <w:ind w:right="120" w:firstLine="8"/>
        <w:spacing w:after="0" w:line="256" w:lineRule="auto"/>
        <w:tabs>
          <w:tab w:leader="none" w:pos="15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following materials are formatted in Inline XBRL (Extensible Business Reporting Language): (i) the cover page; (ii) the Balance Sheets as of December 31, 2023 and 2022; (iii) the Statements of Operations and Comprehensive Loss for the years ended December 31, 2023 and 2022; (iv) the Statements of Redeemable Convertible Preferred Stock and Stockholders’ Equity (Deficit) for the years ended December 31, 2023 and 2022; (vi) the Statements of Cash Flows for the years ended December 31, 2023 and 2022; (vii) Notes to Financial Statements tagged as blocks of text.</w:t>
      </w:r>
    </w:p>
    <w:p>
      <w:pPr>
        <w:spacing w:after="0" w:line="83" w:lineRule="exact"/>
        <w:rPr>
          <w:sz w:val="20"/>
          <w:szCs w:val="20"/>
          <w:color w:val="auto"/>
        </w:rPr>
      </w:pPr>
    </w:p>
    <w:p>
      <w:pPr>
        <w:jc w:val="both"/>
        <w:ind w:right="60" w:firstLine="8"/>
        <w:spacing w:after="0" w:line="263" w:lineRule="auto"/>
        <w:tabs>
          <w:tab w:leader="none" w:pos="1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certification attached as Exhibit 32.1 and Exhibit 32.2 that accompany this Annual Report is not deemed filed with the Securities and Exchange Commission and is not to be incorporated by reference into any filing of the Company under the Securities Act of 1933, as amended, or the Securities Exchange Act of 1934, as amended, whether made before or after the date of this Annual Report, irrespective of any general incorporation language contained in such filing.</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2" w:name="page103"/>
    <w:bookmarkEnd w:id="102"/>
    <w:p>
      <w:pPr>
        <w:jc w:val="center"/>
        <w:ind w:left="480"/>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ind w:right="280" w:firstLine="509"/>
        <w:spacing w:after="0" w:line="28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March 29, 2024</w:t>
      </w:r>
      <w:r>
        <w:rPr>
          <w:rFonts w:ascii="Arial" w:cs="Arial" w:eastAsia="Arial" w:hAnsi="Arial"/>
          <w:sz w:val="18"/>
          <w:szCs w:val="18"/>
          <w:b w:val="1"/>
          <w:bCs w:val="1"/>
          <w:color w:val="auto"/>
        </w:rPr>
        <w:t>.</w:t>
      </w:r>
    </w:p>
    <w:p>
      <w:pPr>
        <w:spacing w:after="0" w:line="1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AN2 Therapeutics, Inc.</w:t>
      </w:r>
    </w:p>
    <w:p>
      <w:pPr>
        <w:spacing w:after="0" w:line="225" w:lineRule="exact"/>
        <w:rPr>
          <w:sz w:val="20"/>
          <w:szCs w:val="20"/>
          <w:color w:val="auto"/>
        </w:rPr>
      </w:pPr>
    </w:p>
    <w:p>
      <w:pPr>
        <w:ind w:left="5580"/>
        <w:spacing w:after="0"/>
        <w:tabs>
          <w:tab w:leader="none" w:pos="8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Easom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17780</wp:posOffset>
            </wp:positionV>
            <wp:extent cx="32658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Eric Easom</w:t>
      </w:r>
    </w:p>
    <w:p>
      <w:pPr>
        <w:spacing w:after="0" w:line="18"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7" w:lineRule="exact"/>
        <w:rPr>
          <w:sz w:val="20"/>
          <w:szCs w:val="20"/>
          <w:color w:val="auto"/>
        </w:rPr>
      </w:pPr>
    </w:p>
    <w:p>
      <w:pPr>
        <w:ind w:left="558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Lucy O.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17780</wp:posOffset>
            </wp:positionV>
            <wp:extent cx="32658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Lucy O. Day</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30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KNOW ALL PERSONS BY THESE PRESENTS, that each person whose signature appears below constitutes and appoints Eric Easom and Lucy O. Day,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3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103" w:name="page104"/>
    <w:bookmarkEnd w:id="103"/>
    <w:p>
      <w:pPr>
        <w:ind w:right="2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93" w:right="339" w:bottom="1440" w:gutter="0" w:footer="0" w:header="0"/>
        </w:sectPr>
      </w:pPr>
    </w:p>
    <w:p>
      <w:pPr>
        <w:spacing w:after="0" w:line="190"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3571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8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Eric Easom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571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Eric Easom</w:t>
      </w:r>
    </w:p>
    <w:p>
      <w:pPr>
        <w:spacing w:after="0" w:line="288"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Lucy O.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571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Lucy O. Day</w:t>
      </w:r>
    </w:p>
    <w:p>
      <w:pPr>
        <w:spacing w:after="0" w:line="9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Joseph Zakrzewski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571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Joseph Zakrzewski</w:t>
      </w:r>
    </w:p>
    <w:p>
      <w:pPr>
        <w:spacing w:after="0" w:line="9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Kabeer Aziz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571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Kabeer Aziz</w:t>
      </w:r>
    </w:p>
    <w:p>
      <w:pPr>
        <w:spacing w:after="0" w:line="9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Maggie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571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Maggie FItzPatrick</w:t>
      </w:r>
    </w:p>
    <w:p>
      <w:pPr>
        <w:spacing w:after="0" w:line="9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Gilbert L.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571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Gilbert L. Marks</w:t>
      </w:r>
    </w:p>
    <w:p>
      <w:pPr>
        <w:spacing w:after="0" w:line="99"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 Patricia (Patty)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4"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Patricia (Patty) Martin</w:t>
      </w:r>
    </w:p>
    <w:p>
      <w:pPr>
        <w:spacing w:after="0" w:line="9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Rob Readnour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571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Rob Readnour</w:t>
      </w:r>
    </w:p>
    <w:p>
      <w:pPr>
        <w:spacing w:after="0" w:line="9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Melvin Spigelman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571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Melvin Spigelman</w:t>
      </w:r>
    </w:p>
    <w:p>
      <w:pPr>
        <w:spacing w:after="0" w:line="9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Stephanie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571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Stephanie Wong</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72"/>
        </w:trPr>
        <w:tc>
          <w:tcPr>
            <w:tcW w:w="488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1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39"/>
        </w:trPr>
        <w:tc>
          <w:tcPr>
            <w:tcW w:w="488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29, 2024</w:t>
            </w:r>
          </w:p>
        </w:tc>
      </w:tr>
      <w:tr>
        <w:trPr>
          <w:trHeight w:val="450"/>
        </w:trPr>
        <w:tc>
          <w:tcPr>
            <w:tcW w:w="488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9"/>
        </w:trPr>
        <w:tc>
          <w:tcPr>
            <w:tcW w:w="4880" w:type="dxa"/>
            <w:vAlign w:val="bottom"/>
          </w:tcPr>
          <w:p>
            <w:pPr>
              <w:jc w:val="center"/>
              <w:spacing w:after="0"/>
              <w:rPr>
                <w:sz w:val="20"/>
                <w:szCs w:val="20"/>
                <w:color w:val="auto"/>
              </w:rPr>
            </w:pPr>
            <w:r>
              <w:rPr>
                <w:rFonts w:ascii="Arial" w:cs="Arial" w:eastAsia="Arial" w:hAnsi="Arial"/>
                <w:sz w:val="18"/>
                <w:szCs w:val="18"/>
                <w:color w:val="auto"/>
                <w:w w:val="99"/>
              </w:rPr>
              <w:t>(Principal Financial Officer and Principal Accounting Officer)</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29, 2024</w:t>
            </w:r>
          </w:p>
        </w:tc>
      </w:tr>
      <w:tr>
        <w:trPr>
          <w:trHeight w:val="499"/>
        </w:trPr>
        <w:tc>
          <w:tcPr>
            <w:tcW w:w="4880" w:type="dxa"/>
            <w:vAlign w:val="bottom"/>
          </w:tcPr>
          <w:p>
            <w:pPr>
              <w:jc w:val="center"/>
              <w:spacing w:after="0"/>
              <w:rPr>
                <w:sz w:val="20"/>
                <w:szCs w:val="20"/>
                <w:color w:val="auto"/>
              </w:rPr>
            </w:pPr>
            <w:r>
              <w:rPr>
                <w:rFonts w:ascii="Arial" w:cs="Arial" w:eastAsia="Arial" w:hAnsi="Arial"/>
                <w:sz w:val="18"/>
                <w:szCs w:val="18"/>
                <w:color w:val="auto"/>
                <w:w w:val="99"/>
              </w:rPr>
              <w:t>Chair and 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29, 2024</w:t>
            </w:r>
          </w:p>
        </w:tc>
      </w:tr>
      <w:tr>
        <w:trPr>
          <w:trHeight w:val="500"/>
        </w:trPr>
        <w:tc>
          <w:tcPr>
            <w:tcW w:w="488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29, 2024</w:t>
            </w:r>
          </w:p>
        </w:tc>
      </w:tr>
      <w:tr>
        <w:trPr>
          <w:trHeight w:val="499"/>
        </w:trPr>
        <w:tc>
          <w:tcPr>
            <w:tcW w:w="488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29, 2024</w:t>
            </w:r>
          </w:p>
        </w:tc>
      </w:tr>
      <w:tr>
        <w:trPr>
          <w:trHeight w:val="499"/>
        </w:trPr>
        <w:tc>
          <w:tcPr>
            <w:tcW w:w="488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29, 2024</w:t>
            </w:r>
          </w:p>
        </w:tc>
      </w:tr>
      <w:tr>
        <w:trPr>
          <w:trHeight w:val="500"/>
        </w:trPr>
        <w:tc>
          <w:tcPr>
            <w:tcW w:w="488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29, 2024</w:t>
            </w:r>
          </w:p>
        </w:tc>
      </w:tr>
      <w:tr>
        <w:trPr>
          <w:trHeight w:val="499"/>
        </w:trPr>
        <w:tc>
          <w:tcPr>
            <w:tcW w:w="488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29, 2024</w:t>
            </w:r>
          </w:p>
        </w:tc>
      </w:tr>
      <w:tr>
        <w:trPr>
          <w:trHeight w:val="499"/>
        </w:trPr>
        <w:tc>
          <w:tcPr>
            <w:tcW w:w="488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29, 2024</w:t>
            </w:r>
          </w:p>
        </w:tc>
      </w:tr>
      <w:tr>
        <w:trPr>
          <w:trHeight w:val="500"/>
        </w:trPr>
        <w:tc>
          <w:tcPr>
            <w:tcW w:w="488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March 29, 2024</w:t>
            </w:r>
          </w:p>
        </w:tc>
      </w:tr>
    </w:tbl>
    <w:p>
      <w:pPr>
        <w:spacing w:after="0" w:line="347" w:lineRule="exact"/>
        <w:rPr>
          <w:sz w:val="20"/>
          <w:szCs w:val="20"/>
          <w:color w:val="auto"/>
        </w:rPr>
      </w:pPr>
    </w:p>
    <w:p>
      <w:pPr>
        <w:sectPr>
          <w:pgSz w:w="11900" w:h="16838" w:orient="portrait"/>
          <w:cols w:equalWidth="0" w:num="2">
            <w:col w:w="3120" w:space="720"/>
            <w:col w:w="7400"/>
          </w:cols>
          <w:pgMar w:left="320" w:top="1093" w:right="339" w:bottom="1440" w:gutter="0" w:footer="0" w:header="0"/>
          <w:type w:val="continuous"/>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04" w:name="page105"/>
    <w:bookmarkEnd w:id="104"/>
    <w:p>
      <w:pPr>
        <w:ind w:left="4300"/>
        <w:spacing w:after="0"/>
        <w:rPr>
          <w:sz w:val="20"/>
          <w:szCs w:val="20"/>
          <w:color w:val="auto"/>
        </w:rPr>
      </w:pPr>
      <w:r>
        <w:rPr>
          <w:rFonts w:ascii="Arial" w:cs="Arial" w:eastAsia="Arial" w:hAnsi="Arial"/>
          <w:sz w:val="18"/>
          <w:szCs w:val="18"/>
          <w:b w:val="1"/>
          <w:bCs w:val="1"/>
          <w:color w:val="auto"/>
        </w:rPr>
        <w:t>INDEX TO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 xml:space="preserve">Report of Independent Registered Public Accounting Firm </w:t>
      </w:r>
      <w:r>
        <w:rPr>
          <w:rFonts w:ascii="Arial" w:cs="Arial" w:eastAsia="Arial" w:hAnsi="Arial"/>
          <w:sz w:val="18"/>
          <w:szCs w:val="18"/>
          <w:u w:val="single" w:color="auto"/>
          <w:color w:val="000000"/>
        </w:rPr>
        <w:t>(PCAOB ID: 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38290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38290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Balance Sheets as of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26231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Statements of Operations and Comprehensive Loss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518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5182870" cy="8255"/>
                    </a:xfrm>
                    <a:prstGeom prst="rect">
                      <a:avLst/>
                    </a:prstGeom>
                    <a:noFill/>
                  </pic:spPr>
                </pic:pic>
              </a:graphicData>
            </a:graphic>
          </wp:anchor>
        </w:drawing>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8"/>
          <w:szCs w:val="18"/>
          <w:u w:val="single" w:color="auto"/>
          <w:color w:val="0000FF"/>
        </w:rPr>
        <w:t>Statements of Redeemable Convertible Preferred Stock and Stockholders’ Equity (Deficit)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66173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661733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-44450</wp:posOffset>
            </wp:positionV>
            <wp:extent cx="4762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476250" cy="8890"/>
                    </a:xfrm>
                    <a:prstGeom prst="rect">
                      <a:avLst/>
                    </a:prstGeom>
                    <a:noFill/>
                  </pic:spPr>
                </pic:pic>
              </a:graphicData>
            </a:graphic>
          </wp:anchor>
        </w:drawing>
      </w:r>
    </w:p>
    <w:p>
      <w:pPr>
        <w:spacing w:after="0" w:line="147" w:lineRule="exact"/>
        <w:rPr>
          <w:sz w:val="20"/>
          <w:szCs w:val="20"/>
          <w:color w:val="auto"/>
        </w:rPr>
      </w:pPr>
    </w:p>
    <w:p>
      <w:pPr>
        <w:ind w:right="4240"/>
        <w:spacing w:after="0" w:line="537" w:lineRule="auto"/>
        <w:rPr>
          <w:sz w:val="20"/>
          <w:szCs w:val="20"/>
          <w:color w:val="auto"/>
        </w:rPr>
      </w:pPr>
      <w:r>
        <w:rPr>
          <w:rFonts w:ascii="Arial" w:cs="Arial" w:eastAsia="Arial" w:hAnsi="Arial"/>
          <w:sz w:val="18"/>
          <w:szCs w:val="18"/>
          <w:u w:val="single" w:color="auto"/>
          <w:color w:val="0000FF"/>
        </w:rPr>
        <w:t>Statements of Cash Flows for the years ended December 31, 2023 and 2022 Notes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-464185</wp:posOffset>
            </wp:positionV>
            <wp:extent cx="38931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38931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-189865</wp:posOffset>
            </wp:positionV>
            <wp:extent cx="1714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F-2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F-4</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F-5</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F-6</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F-7</w:t>
      </w:r>
    </w:p>
    <w:p>
      <w:pPr>
        <w:sectPr>
          <w:pgSz w:w="11900" w:h="16838" w:orient="portrait"/>
          <w:cols w:equalWidth="0" w:num="2">
            <w:col w:w="10380" w:space="560"/>
            <w:col w:w="260"/>
          </w:cols>
          <w:pgMar w:left="340" w:top="1201" w:right="359" w:bottom="1440" w:gutter="0" w:footer="0" w:header="0"/>
        </w:sectPr>
      </w:pPr>
    </w:p>
    <w:bookmarkStart w:id="105" w:name="page106"/>
    <w:bookmarkEnd w:id="105"/>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AN2 Therapeutics, Inc.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1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have audited the accompanying balance sheets of AN2 Therapeutics, Inc. (the “Company”) as of December 31, 2023 and 2022, and the related statements of operations and comprehensive loss, of redeemable convertible preferred stock and stockholders’ equity (deficit) and of cash flows for each of the two years in the period ended December 31, 2023, including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10"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9"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21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As discussed in Note 2 to the financial statements, the Company will require additional financing to fund future operations. Management’s plans in regard to this matter are also described in Note 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29, 2024</w:t>
      </w:r>
    </w:p>
    <w:p>
      <w:pPr>
        <w:spacing w:after="0" w:line="212"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We have served as the Company’s auditor since 2021, which includes periods before the Company became subject to SEC reporting requirements.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jc w:val="center"/>
        <w:ind w:right="-59"/>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15,647</w:t>
            </w: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27,219</w:t>
            </w: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91,648</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68,840</w:t>
            </w: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3,212</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2,509</w:t>
            </w: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Right-of-use asset, net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w:t>
            </w:r>
          </w:p>
        </w:tc>
      </w:tr>
      <w:tr>
        <w:trPr>
          <w:trHeight w:val="223"/>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110,507</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98,621</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27,194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3,219</w:t>
            </w:r>
          </w:p>
        </w:tc>
      </w:tr>
      <w:tr>
        <w:trPr>
          <w:trHeight w:val="23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 long-term</w:t>
            </w: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1,043</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720</w:t>
            </w:r>
          </w:p>
        </w:tc>
      </w:tr>
      <w:tr>
        <w:trPr>
          <w:trHeight w:val="223"/>
        </w:trPr>
        <w:tc>
          <w:tcPr>
            <w:tcW w:w="772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138,744</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102,560</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2,676</w:t>
            </w: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2,122</w:t>
            </w: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Accrued compensation</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4,018</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2,168</w:t>
            </w: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6,681</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2,837</w:t>
            </w: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w:t>
            </w: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Options subject to repurchase, short-term</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r>
      <w:tr>
        <w:trPr>
          <w:trHeight w:val="223"/>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14,043</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7,186</w:t>
            </w: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Options subject to repurchase, long-term</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r>
      <w:tr>
        <w:trPr>
          <w:trHeight w:val="223"/>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14,043</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7,188</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197"/>
        </w:trPr>
        <w:tc>
          <w:tcPr>
            <w:tcW w:w="7720" w:type="dxa"/>
            <w:vAlign w:val="bottom"/>
          </w:tcPr>
          <w:p>
            <w:pPr>
              <w:ind w:left="280"/>
              <w:spacing w:after="0" w:line="197" w:lineRule="exact"/>
              <w:rPr>
                <w:sz w:val="20"/>
                <w:szCs w:val="20"/>
                <w:color w:val="auto"/>
              </w:rPr>
            </w:pPr>
            <w:r>
              <w:rPr>
                <w:rFonts w:ascii="Arial" w:cs="Arial" w:eastAsia="Arial" w:hAnsi="Arial"/>
                <w:sz w:val="18"/>
                <w:szCs w:val="18"/>
                <w:color w:val="auto"/>
              </w:rPr>
              <w:t>Preferred stock, $0.00001 par value; 10,000,000 shares authorized December 31, 2023</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5"/>
        </w:trPr>
        <w:tc>
          <w:tcPr>
            <w:tcW w:w="7720" w:type="dxa"/>
            <w:vAlign w:val="bottom"/>
          </w:tcPr>
          <w:p>
            <w:pPr>
              <w:ind w:left="280"/>
              <w:spacing w:after="0"/>
              <w:rPr>
                <w:sz w:val="20"/>
                <w:szCs w:val="20"/>
                <w:color w:val="auto"/>
              </w:rPr>
            </w:pPr>
            <w:r>
              <w:rPr>
                <w:rFonts w:ascii="Arial" w:cs="Arial" w:eastAsia="Arial" w:hAnsi="Arial"/>
                <w:sz w:val="18"/>
                <w:szCs w:val="18"/>
                <w:color w:val="auto"/>
              </w:rPr>
              <w:t>and 2022; no shares issued and outstanding at December 31, 2023 and 2022</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197"/>
        </w:trPr>
        <w:tc>
          <w:tcPr>
            <w:tcW w:w="772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Common stock, $0.00001 par value; 500,000,000 shares authorized at December 31, 2023</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2"/>
        </w:trPr>
        <w:tc>
          <w:tcPr>
            <w:tcW w:w="7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and 2022; 29,741,445 and 19,402,658 shares issued and outstanding at December 31,</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35"/>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2023 and 2022, respectively</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278,881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185,469</w:t>
            </w: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gain (loss)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(374 )</w:t>
            </w: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(154,455 )</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(89,723 )</w:t>
            </w:r>
          </w:p>
        </w:tc>
      </w:tr>
      <w:tr>
        <w:trPr>
          <w:trHeight w:val="223"/>
        </w:trPr>
        <w:tc>
          <w:tcPr>
            <w:tcW w:w="7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124,701</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95,372</w:t>
            </w:r>
          </w:p>
        </w:tc>
      </w:tr>
      <w:tr>
        <w:trPr>
          <w:trHeight w:val="223"/>
        </w:trPr>
        <w:tc>
          <w:tcPr>
            <w:tcW w:w="772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138,744</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102,560</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-3539490</wp:posOffset>
            </wp:positionV>
            <wp:extent cx="1111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-179070</wp:posOffset>
            </wp:positionV>
            <wp:extent cx="1111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7" w:name="page108"/>
    <w:bookmarkEnd w:id="107"/>
    <w:p>
      <w:pPr>
        <w:ind w:left="4480"/>
        <w:spacing w:after="0"/>
        <w:rPr>
          <w:sz w:val="20"/>
          <w:szCs w:val="20"/>
          <w:color w:val="auto"/>
        </w:rPr>
      </w:pPr>
      <w:r>
        <w:rPr>
          <w:rFonts w:ascii="Arial" w:cs="Arial" w:eastAsia="Arial" w:hAnsi="Arial"/>
          <w:sz w:val="18"/>
          <w:szCs w:val="18"/>
          <w:b w:val="1"/>
          <w:bCs w:val="1"/>
          <w:color w:val="auto"/>
        </w:rPr>
        <w:t>AN2 THERAPEUTICS, INC.</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STATEMENTS OF OPERATIONS AND COMPREHENSIVE LOSS</w:t>
      </w:r>
    </w:p>
    <w:p>
      <w:pPr>
        <w:ind w:left="3420"/>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3"/>
        </w:trPr>
        <w:tc>
          <w:tcPr>
            <w:tcW w:w="77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54,871</w:t>
            </w:r>
          </w:p>
        </w:tc>
        <w:tc>
          <w:tcPr>
            <w:tcW w:w="2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development—related party</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69,635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(69,635 )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(42,262 )</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4,903</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(64,732 )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(40,956 )</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Accretion to redemption value and cumulative dividends on preferred stock</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(1,820 )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(64,732 )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(42,776 )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(2.74 )</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178"/>
        </w:trPr>
        <w:tc>
          <w:tcPr>
            <w:tcW w:w="7720" w:type="dxa"/>
            <w:vAlign w:val="bottom"/>
            <w:tcBorders>
              <w:top w:val="single" w:sz="8" w:color="CFF0FC"/>
            </w:tcBorders>
          </w:tcPr>
          <w:p>
            <w:pPr>
              <w:ind w:left="20"/>
              <w:spacing w:after="0" w:line="177" w:lineRule="exact"/>
              <w:rPr>
                <w:sz w:val="20"/>
                <w:szCs w:val="20"/>
                <w:color w:val="auto"/>
              </w:rPr>
            </w:pPr>
            <w:r>
              <w:rPr>
                <w:rFonts w:ascii="Arial" w:cs="Arial" w:eastAsia="Arial" w:hAnsi="Arial"/>
                <w:sz w:val="18"/>
                <w:szCs w:val="18"/>
                <w:color w:val="auto"/>
              </w:rPr>
              <w:t>Weighted-average number of shares used in computing net loss per share,</w:t>
            </w: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23,600,107</w:t>
            </w:r>
          </w:p>
        </w:tc>
        <w:tc>
          <w:tcPr>
            <w:tcW w:w="28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15,340,134</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720" w:type="dxa"/>
            <w:vAlign w:val="bottom"/>
          </w:tcPr>
          <w:p>
            <w:pPr>
              <w:ind w:left="20"/>
              <w:spacing w:after="0" w:line="195" w:lineRule="exact"/>
              <w:rPr>
                <w:sz w:val="20"/>
                <w:szCs w:val="20"/>
                <w:color w:val="auto"/>
              </w:rPr>
            </w:pPr>
            <w:r>
              <w:rPr>
                <w:rFonts w:ascii="Arial" w:cs="Arial" w:eastAsia="Arial" w:hAnsi="Arial"/>
                <w:sz w:val="18"/>
                <w:szCs w:val="18"/>
                <w:color w:val="auto"/>
              </w:rPr>
              <w:t>basic and diluted</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Unrealized gain (loss) on investments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(64,083 )</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(41,303 )</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-1696720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-1397000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-1397000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-1096645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-770890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-753745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REDEEMABLE CONVERTIBLE PREFERRED STOCK AND STOCKHOLDERS’ EQUITY (DEFICIT)</w:t>
      </w: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113665</wp:posOffset>
            </wp:positionV>
            <wp:extent cx="34290" cy="5829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34290" cy="58293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3"/>
                <w:szCs w:val="13"/>
                <w:color w:val="auto"/>
              </w:rPr>
            </w:pPr>
          </w:p>
        </w:tc>
        <w:tc>
          <w:tcPr>
            <w:tcW w:w="1520" w:type="dxa"/>
            <w:vAlign w:val="bottom"/>
            <w:gridSpan w:val="4"/>
            <w:vMerge w:val="restart"/>
          </w:tcPr>
          <w:p>
            <w:pPr>
              <w:jc w:val="center"/>
              <w:ind w:right="77"/>
              <w:spacing w:after="0"/>
              <w:rPr>
                <w:sz w:val="20"/>
                <w:szCs w:val="20"/>
                <w:color w:val="auto"/>
              </w:rPr>
            </w:pPr>
            <w:r>
              <w:rPr>
                <w:rFonts w:ascii="Arial" w:cs="Arial" w:eastAsia="Arial" w:hAnsi="Arial"/>
                <w:sz w:val="13"/>
                <w:szCs w:val="13"/>
                <w:b w:val="1"/>
                <w:bCs w:val="1"/>
                <w:color w:val="auto"/>
                <w:w w:val="96"/>
              </w:rPr>
              <w:t>Redeemable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77"/>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18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center"/>
              <w:ind w:right="257"/>
              <w:spacing w:after="0" w:line="126"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center"/>
              <w:ind w:right="2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060" w:type="dxa"/>
            <w:vAlign w:val="bottom"/>
            <w:gridSpan w:val="3"/>
          </w:tcPr>
          <w:p>
            <w:pPr>
              <w:jc w:val="center"/>
              <w:ind w:left="257"/>
              <w:spacing w:after="0" w:line="135" w:lineRule="exact"/>
              <w:rPr>
                <w:sz w:val="20"/>
                <w:szCs w:val="20"/>
                <w:color w:val="auto"/>
              </w:rPr>
            </w:pPr>
            <w:r>
              <w:rPr>
                <w:rFonts w:ascii="Arial" w:cs="Arial" w:eastAsia="Arial" w:hAnsi="Arial"/>
                <w:sz w:val="13"/>
                <w:szCs w:val="13"/>
                <w:b w:val="1"/>
                <w:bCs w:val="1"/>
                <w:color w:val="auto"/>
                <w:w w:val="97"/>
              </w:rPr>
              <w:t>Convertible</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Comprehensiv</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52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3"/>
                <w:szCs w:val="13"/>
                <w:b w:val="1"/>
                <w:bCs w:val="1"/>
                <w:color w:val="auto"/>
                <w:w w:val="97"/>
              </w:rPr>
              <w:t>Preferred 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297"/>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217"/>
              <w:spacing w:after="0"/>
              <w:rPr>
                <w:sz w:val="20"/>
                <w:szCs w:val="20"/>
                <w:color w:val="auto"/>
              </w:rPr>
            </w:pPr>
            <w:r>
              <w:rPr>
                <w:rFonts w:ascii="Arial" w:cs="Arial" w:eastAsia="Arial" w:hAnsi="Arial"/>
                <w:sz w:val="13"/>
                <w:szCs w:val="13"/>
                <w:b w:val="1"/>
                <w:bCs w:val="1"/>
                <w:color w:val="auto"/>
              </w:rPr>
              <w:t>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7"/>
              <w:spacing w:after="0"/>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24"/>
        </w:trPr>
        <w:tc>
          <w:tcPr>
            <w:tcW w:w="3180" w:type="dxa"/>
            <w:vAlign w:val="bottom"/>
          </w:tcPr>
          <w:p>
            <w:pPr>
              <w:spacing w:after="0"/>
              <w:rPr>
                <w:sz w:val="10"/>
                <w:szCs w:val="10"/>
                <w:color w:val="auto"/>
              </w:rPr>
            </w:pPr>
          </w:p>
        </w:tc>
        <w:tc>
          <w:tcPr>
            <w:tcW w:w="78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0"/>
                <w:szCs w:val="10"/>
                <w:color w:val="auto"/>
              </w:rPr>
            </w:pPr>
          </w:p>
        </w:tc>
        <w:tc>
          <w:tcPr>
            <w:tcW w:w="620" w:type="dxa"/>
            <w:vAlign w:val="bottom"/>
            <w:gridSpan w:val="2"/>
          </w:tcPr>
          <w:p>
            <w:pPr>
              <w:ind w:left="40"/>
              <w:spacing w:after="0" w:line="124" w:lineRule="exact"/>
              <w:rPr>
                <w:sz w:val="20"/>
                <w:szCs w:val="20"/>
                <w:color w:val="auto"/>
              </w:rPr>
            </w:pPr>
            <w:r>
              <w:rPr>
                <w:rFonts w:ascii="Arial" w:cs="Arial" w:eastAsia="Arial" w:hAnsi="Arial"/>
                <w:sz w:val="13"/>
                <w:szCs w:val="13"/>
                <w:b w:val="1"/>
                <w:bCs w:val="1"/>
                <w:color w:val="auto"/>
              </w:rPr>
              <w:t>Amoun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restart"/>
          </w:tcPr>
          <w:p>
            <w:pPr>
              <w:jc w:val="center"/>
              <w:ind w:right="237"/>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right"/>
              <w:ind w:right="33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0"/>
                <w:szCs w:val="10"/>
                <w:color w:val="auto"/>
              </w:rPr>
            </w:pPr>
          </w:p>
        </w:tc>
        <w:tc>
          <w:tcPr>
            <w:tcW w:w="1100" w:type="dxa"/>
            <w:vAlign w:val="bottom"/>
            <w:gridSpan w:val="2"/>
            <w:vMerge w:val="restart"/>
          </w:tcPr>
          <w:p>
            <w:pPr>
              <w:jc w:val="center"/>
              <w:ind w:right="37"/>
              <w:spacing w:after="0"/>
              <w:rPr>
                <w:sz w:val="20"/>
                <w:szCs w:val="20"/>
                <w:color w:val="auto"/>
              </w:rPr>
            </w:pPr>
            <w:r>
              <w:rPr>
                <w:rFonts w:ascii="Arial" w:cs="Arial" w:eastAsia="Arial" w:hAnsi="Arial"/>
                <w:sz w:val="13"/>
                <w:szCs w:val="13"/>
                <w:b w:val="1"/>
                <w:bCs w:val="1"/>
                <w:color w:val="auto"/>
                <w:w w:val="95"/>
              </w:rPr>
              <w:t>Equity (Deficit)</w:t>
            </w:r>
          </w:p>
        </w:tc>
        <w:tc>
          <w:tcPr>
            <w:tcW w:w="0" w:type="dxa"/>
            <w:vAlign w:val="bottom"/>
          </w:tcPr>
          <w:p>
            <w:pPr>
              <w:spacing w:after="0"/>
              <w:rPr>
                <w:sz w:val="1"/>
                <w:szCs w:val="1"/>
                <w:color w:val="auto"/>
              </w:rPr>
            </w:pPr>
          </w:p>
        </w:tc>
      </w:tr>
      <w:tr>
        <w:trPr>
          <w:trHeight w:val="166"/>
        </w:trPr>
        <w:tc>
          <w:tcPr>
            <w:tcW w:w="318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1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b w:val="1"/>
                <w:bCs w:val="1"/>
                <w:color w:val="auto"/>
              </w:rPr>
              <w:t>Balances at December 31, 2021</w:t>
            </w:r>
          </w:p>
        </w:tc>
        <w:tc>
          <w:tcPr>
            <w:tcW w:w="780" w:type="dxa"/>
            <w:vAlign w:val="bottom"/>
            <w:shd w:val="clear" w:color="auto" w:fill="CFF0FC"/>
          </w:tcPr>
          <w:p>
            <w:pPr>
              <w:jc w:val="right"/>
              <w:ind w:right="77"/>
              <w:spacing w:after="0" w:line="124" w:lineRule="exact"/>
              <w:rPr>
                <w:sz w:val="20"/>
                <w:szCs w:val="20"/>
                <w:color w:val="auto"/>
              </w:rPr>
            </w:pPr>
            <w:r>
              <w:rPr>
                <w:rFonts w:ascii="Arial" w:cs="Arial" w:eastAsia="Arial" w:hAnsi="Arial"/>
                <w:sz w:val="13"/>
                <w:szCs w:val="13"/>
                <w:color w:val="auto"/>
              </w:rPr>
              <w:t>11,409,4</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60" w:type="dxa"/>
            <w:vAlign w:val="bottom"/>
            <w:shd w:val="clear" w:color="auto" w:fill="CFF0FC"/>
          </w:tcPr>
          <w:p>
            <w:pPr>
              <w:jc w:val="right"/>
              <w:ind w:right="77"/>
              <w:spacing w:after="0" w:line="124" w:lineRule="exact"/>
              <w:rPr>
                <w:sz w:val="20"/>
                <w:szCs w:val="20"/>
                <w:color w:val="auto"/>
              </w:rPr>
            </w:pPr>
            <w:r>
              <w:rPr>
                <w:rFonts w:ascii="Arial" w:cs="Arial" w:eastAsia="Arial" w:hAnsi="Arial"/>
                <w:sz w:val="13"/>
                <w:szCs w:val="13"/>
                <w:color w:val="auto"/>
                <w:w w:val="92"/>
              </w:rPr>
              <w:t>109,3</w:t>
            </w:r>
          </w:p>
        </w:tc>
        <w:tc>
          <w:tcPr>
            <w:tcW w:w="120" w:type="dxa"/>
            <w:vAlign w:val="bottom"/>
            <w:tcBorders>
              <w:right w:val="single" w:sz="8" w:color="auto"/>
            </w:tcBorders>
            <w:shd w:val="clear" w:color="auto" w:fill="CFF0FC"/>
          </w:tcPr>
          <w:p>
            <w:pPr>
              <w:spacing w:after="0"/>
              <w:rPr>
                <w:sz w:val="10"/>
                <w:szCs w:val="10"/>
                <w:color w:val="auto"/>
              </w:rPr>
            </w:pPr>
          </w:p>
        </w:tc>
        <w:tc>
          <w:tcPr>
            <w:tcW w:w="880" w:type="dxa"/>
            <w:vAlign w:val="bottom"/>
            <w:gridSpan w:val="2"/>
            <w:shd w:val="clear" w:color="auto" w:fill="CFF0FC"/>
          </w:tcPr>
          <w:p>
            <w:pPr>
              <w:jc w:val="right"/>
              <w:ind w:right="57"/>
              <w:spacing w:after="0" w:line="124" w:lineRule="exact"/>
              <w:rPr>
                <w:sz w:val="20"/>
                <w:szCs w:val="20"/>
                <w:color w:val="auto"/>
              </w:rPr>
            </w:pPr>
            <w:r>
              <w:rPr>
                <w:rFonts w:ascii="Arial" w:cs="Arial" w:eastAsia="Arial" w:hAnsi="Arial"/>
                <w:sz w:val="13"/>
                <w:szCs w:val="13"/>
                <w:color w:val="auto"/>
              </w:rPr>
              <w:t>2,730,29</w:t>
            </w: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88</w:t>
            </w:r>
          </w:p>
        </w:tc>
        <w:tc>
          <w:tcPr>
            <w:tcW w:w="28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19</w:t>
            </w:r>
          </w:p>
        </w:tc>
        <w:tc>
          <w:tcPr>
            <w:tcW w:w="120" w:type="dxa"/>
            <w:vAlign w:val="bottom"/>
            <w:tcBorders>
              <w:right w:val="single" w:sz="8" w:color="auto"/>
            </w:tcBorders>
            <w:shd w:val="clear" w:color="auto" w:fill="CFF0FC"/>
          </w:tcPr>
          <w:p>
            <w:pPr>
              <w:spacing w:after="0"/>
              <w:rPr>
                <w:sz w:val="14"/>
                <w:szCs w:val="14"/>
                <w:color w:val="auto"/>
              </w:rPr>
            </w:pPr>
          </w:p>
        </w:tc>
        <w:tc>
          <w:tcPr>
            <w:tcW w:w="88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8</w:t>
            </w:r>
          </w:p>
        </w:tc>
        <w:tc>
          <w:tcPr>
            <w:tcW w:w="50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(47,384 )</w:t>
            </w:r>
          </w:p>
        </w:tc>
        <w:tc>
          <w:tcPr>
            <w:tcW w:w="32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(47,411 )</w:t>
            </w:r>
          </w:p>
        </w:tc>
        <w:tc>
          <w:tcPr>
            <w:tcW w:w="0" w:type="dxa"/>
            <w:vAlign w:val="bottom"/>
          </w:tcPr>
          <w:p>
            <w:pPr>
              <w:spacing w:after="0"/>
              <w:rPr>
                <w:sz w:val="1"/>
                <w:szCs w:val="1"/>
                <w:color w:val="auto"/>
              </w:rPr>
            </w:pPr>
          </w:p>
        </w:tc>
      </w:tr>
      <w:tr>
        <w:trPr>
          <w:trHeight w:val="131"/>
        </w:trPr>
        <w:tc>
          <w:tcPr>
            <w:tcW w:w="3180" w:type="dxa"/>
            <w:vAlign w:val="bottom"/>
          </w:tcPr>
          <w:p>
            <w:pPr>
              <w:ind w:left="20"/>
              <w:spacing w:after="0" w:line="131" w:lineRule="exact"/>
              <w:rPr>
                <w:sz w:val="20"/>
                <w:szCs w:val="20"/>
                <w:color w:val="auto"/>
              </w:rPr>
            </w:pPr>
            <w:r>
              <w:rPr>
                <w:rFonts w:ascii="Arial" w:cs="Arial" w:eastAsia="Arial" w:hAnsi="Arial"/>
                <w:sz w:val="13"/>
                <w:szCs w:val="13"/>
                <w:color w:val="auto"/>
              </w:rPr>
              <w:t>Conversion of convertible preferred stock into</w:t>
            </w:r>
          </w:p>
        </w:tc>
        <w:tc>
          <w:tcPr>
            <w:tcW w:w="780" w:type="dxa"/>
            <w:vAlign w:val="bottom"/>
          </w:tcPr>
          <w:p>
            <w:pPr>
              <w:jc w:val="right"/>
              <w:ind w:right="57"/>
              <w:spacing w:after="0" w:line="131" w:lineRule="exact"/>
              <w:rPr>
                <w:sz w:val="20"/>
                <w:szCs w:val="20"/>
                <w:color w:val="auto"/>
              </w:rPr>
            </w:pPr>
            <w:r>
              <w:rPr>
                <w:rFonts w:ascii="Arial" w:cs="Arial" w:eastAsia="Arial" w:hAnsi="Arial"/>
                <w:sz w:val="13"/>
                <w:szCs w:val="13"/>
                <w:color w:val="auto"/>
              </w:rPr>
              <w:t>(11,409,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right"/>
              <w:ind w:right="77"/>
              <w:spacing w:after="0" w:line="131" w:lineRule="exact"/>
              <w:rPr>
                <w:sz w:val="20"/>
                <w:szCs w:val="20"/>
                <w:color w:val="auto"/>
              </w:rPr>
            </w:pPr>
            <w:r>
              <w:rPr>
                <w:rFonts w:ascii="Arial" w:cs="Arial" w:eastAsia="Arial" w:hAnsi="Arial"/>
                <w:sz w:val="13"/>
                <w:szCs w:val="13"/>
                <w:color w:val="auto"/>
              </w:rPr>
              <w:t>(111,</w:t>
            </w:r>
          </w:p>
        </w:tc>
        <w:tc>
          <w:tcPr>
            <w:tcW w:w="120" w:type="dxa"/>
            <w:vAlign w:val="bottom"/>
            <w:tcBorders>
              <w:right w:val="single" w:sz="8" w:color="auto"/>
            </w:tcBorders>
          </w:tcPr>
          <w:p>
            <w:pPr>
              <w:spacing w:after="0"/>
              <w:rPr>
                <w:sz w:val="11"/>
                <w:szCs w:val="11"/>
                <w:color w:val="auto"/>
              </w:rPr>
            </w:pPr>
          </w:p>
        </w:tc>
        <w:tc>
          <w:tcPr>
            <w:tcW w:w="880" w:type="dxa"/>
            <w:vAlign w:val="bottom"/>
            <w:gridSpan w:val="2"/>
          </w:tcPr>
          <w:p>
            <w:pPr>
              <w:jc w:val="right"/>
              <w:ind w:right="57"/>
              <w:spacing w:after="0" w:line="131" w:lineRule="exact"/>
              <w:rPr>
                <w:sz w:val="20"/>
                <w:szCs w:val="20"/>
                <w:color w:val="auto"/>
              </w:rPr>
            </w:pPr>
            <w:r>
              <w:rPr>
                <w:rFonts w:ascii="Arial" w:cs="Arial" w:eastAsia="Arial" w:hAnsi="Arial"/>
                <w:sz w:val="13"/>
                <w:szCs w:val="13"/>
                <w:color w:val="auto"/>
              </w:rPr>
              <w:t>11,409,4</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18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780" w:type="dxa"/>
            <w:vAlign w:val="bottom"/>
          </w:tcPr>
          <w:p>
            <w:pPr>
              <w:jc w:val="right"/>
              <w:spacing w:after="0"/>
              <w:rPr>
                <w:sz w:val="20"/>
                <w:szCs w:val="20"/>
                <w:color w:val="auto"/>
              </w:rPr>
            </w:pPr>
            <w:r>
              <w:rPr>
                <w:rFonts w:ascii="Arial" w:cs="Arial" w:eastAsia="Arial" w:hAnsi="Arial"/>
                <w:sz w:val="13"/>
                <w:szCs w:val="13"/>
                <w:color w:val="auto"/>
              </w:rPr>
              <w:t>488 )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139 )</w:t>
            </w:r>
          </w:p>
        </w:tc>
        <w:tc>
          <w:tcPr>
            <w:tcW w:w="120" w:type="dxa"/>
            <w:vAlign w:val="bottom"/>
            <w:tcBorders>
              <w:right w:val="single" w:sz="8" w:color="auto"/>
            </w:tcBorders>
          </w:tcPr>
          <w:p>
            <w:pPr>
              <w:spacing w:after="0"/>
              <w:rPr>
                <w:sz w:val="14"/>
                <w:szCs w:val="14"/>
                <w:color w:val="auto"/>
              </w:rPr>
            </w:pPr>
          </w:p>
        </w:tc>
        <w:tc>
          <w:tcPr>
            <w:tcW w:w="880" w:type="dxa"/>
            <w:vAlign w:val="bottom"/>
            <w:gridSpan w:val="2"/>
          </w:tcPr>
          <w:p>
            <w:pPr>
              <w:jc w:val="right"/>
              <w:ind w:right="57"/>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111,139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111,139</w:t>
            </w:r>
          </w:p>
        </w:tc>
        <w:tc>
          <w:tcPr>
            <w:tcW w:w="0" w:type="dxa"/>
            <w:vAlign w:val="bottom"/>
          </w:tcPr>
          <w:p>
            <w:pPr>
              <w:spacing w:after="0"/>
              <w:rPr>
                <w:sz w:val="1"/>
                <w:szCs w:val="1"/>
                <w:color w:val="auto"/>
              </w:rPr>
            </w:pPr>
          </w:p>
        </w:tc>
      </w:tr>
      <w:tr>
        <w:trPr>
          <w:trHeight w:val="131"/>
        </w:trPr>
        <w:tc>
          <w:tcPr>
            <w:tcW w:w="318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Issuance of common stock upon initial public offering,</w:t>
            </w: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net of underwriters’ commission and offering costs of</w:t>
            </w: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8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5,290,00</w:t>
            </w: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$8.9 million</w:t>
            </w: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88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70,366</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70,366</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Repurchase of early exercised stock options</w:t>
            </w: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(27,128 )</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(11 )</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4,391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4,391</w:t>
            </w:r>
          </w:p>
        </w:tc>
        <w:tc>
          <w:tcPr>
            <w:tcW w:w="0" w:type="dxa"/>
            <w:vAlign w:val="bottom"/>
          </w:tcPr>
          <w:p>
            <w:pPr>
              <w:spacing w:after="0"/>
              <w:rPr>
                <w:sz w:val="1"/>
                <w:szCs w:val="1"/>
                <w:color w:val="auto"/>
              </w:rPr>
            </w:pPr>
          </w:p>
        </w:tc>
      </w:tr>
      <w:tr>
        <w:trPr>
          <w:trHeight w:val="131"/>
        </w:trPr>
        <w:tc>
          <w:tcPr>
            <w:tcW w:w="318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Accretion to redemption value and cumulative</w:t>
            </w: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on preferred stock</w:t>
            </w: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92"/>
              </w:rPr>
              <w:t>1,820</w:t>
            </w:r>
          </w:p>
        </w:tc>
        <w:tc>
          <w:tcPr>
            <w:tcW w:w="1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(437 )</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(1,383 )</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(1,820 )</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rPr>
                <w:sz w:val="20"/>
                <w:szCs w:val="20"/>
                <w:color w:val="auto"/>
              </w:rPr>
            </w:pPr>
            <w:r>
              <w:rPr>
                <w:rFonts w:ascii="Arial" w:cs="Arial" w:eastAsia="Arial" w:hAnsi="Arial"/>
                <w:sz w:val="13"/>
                <w:szCs w:val="13"/>
                <w:color w:val="auto"/>
              </w:rPr>
              <w:t>Unrealized loss on available-for-sale investments</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(347 )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(347 )</w:t>
            </w:r>
          </w:p>
        </w:tc>
        <w:tc>
          <w:tcPr>
            <w:tcW w:w="0" w:type="dxa"/>
            <w:vAlign w:val="bottom"/>
          </w:tcPr>
          <w:p>
            <w:pPr>
              <w:spacing w:after="0"/>
              <w:rPr>
                <w:sz w:val="1"/>
                <w:szCs w:val="1"/>
                <w:color w:val="auto"/>
              </w:rPr>
            </w:pPr>
          </w:p>
        </w:tc>
      </w:tr>
      <w:tr>
        <w:trPr>
          <w:trHeight w:val="162"/>
        </w:trPr>
        <w:tc>
          <w:tcPr>
            <w:tcW w:w="3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78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right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(40,956 )</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(40,956 )</w:t>
            </w:r>
          </w:p>
        </w:tc>
        <w:tc>
          <w:tcPr>
            <w:tcW w:w="0" w:type="dxa"/>
            <w:vAlign w:val="bottom"/>
          </w:tcPr>
          <w:p>
            <w:pPr>
              <w:spacing w:after="0"/>
              <w:rPr>
                <w:sz w:val="1"/>
                <w:szCs w:val="1"/>
                <w:color w:val="auto"/>
              </w:rPr>
            </w:pPr>
          </w:p>
        </w:tc>
      </w:tr>
      <w:tr>
        <w:trPr>
          <w:trHeight w:val="124"/>
        </w:trPr>
        <w:tc>
          <w:tcPr>
            <w:tcW w:w="3180" w:type="dxa"/>
            <w:vAlign w:val="bottom"/>
          </w:tcPr>
          <w:p>
            <w:pPr>
              <w:ind w:left="20"/>
              <w:spacing w:after="0" w:line="124" w:lineRule="exact"/>
              <w:rPr>
                <w:sz w:val="20"/>
                <w:szCs w:val="20"/>
                <w:color w:val="auto"/>
              </w:rPr>
            </w:pPr>
            <w:r>
              <w:rPr>
                <w:rFonts w:ascii="Arial" w:cs="Arial" w:eastAsia="Arial" w:hAnsi="Arial"/>
                <w:sz w:val="13"/>
                <w:szCs w:val="13"/>
                <w:b w:val="1"/>
                <w:bCs w:val="1"/>
                <w:color w:val="auto"/>
              </w:rPr>
              <w:t>Balances at December 31, 2022</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80" w:type="dxa"/>
            <w:vAlign w:val="bottom"/>
            <w:gridSpan w:val="2"/>
          </w:tcPr>
          <w:p>
            <w:pPr>
              <w:jc w:val="right"/>
              <w:ind w:right="57"/>
              <w:spacing w:after="0" w:line="124" w:lineRule="exact"/>
              <w:rPr>
                <w:sz w:val="20"/>
                <w:szCs w:val="20"/>
                <w:color w:val="auto"/>
              </w:rPr>
            </w:pPr>
            <w:r>
              <w:rPr>
                <w:rFonts w:ascii="Arial" w:cs="Arial" w:eastAsia="Arial" w:hAnsi="Arial"/>
                <w:sz w:val="13"/>
                <w:szCs w:val="13"/>
                <w:color w:val="auto"/>
              </w:rPr>
              <w:t>19,402,6</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18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4"/>
                <w:szCs w:val="14"/>
                <w:color w:val="auto"/>
              </w:rPr>
            </w:pPr>
          </w:p>
        </w:tc>
        <w:tc>
          <w:tcPr>
            <w:tcW w:w="880" w:type="dxa"/>
            <w:vAlign w:val="bottom"/>
            <w:gridSpan w:val="2"/>
          </w:tcPr>
          <w:p>
            <w:pPr>
              <w:jc w:val="right"/>
              <w:ind w:right="5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185,469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(374 )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(89,723 )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95,372</w:t>
            </w:r>
          </w:p>
        </w:tc>
        <w:tc>
          <w:tcPr>
            <w:tcW w:w="0" w:type="dxa"/>
            <w:vAlign w:val="bottom"/>
          </w:tcPr>
          <w:p>
            <w:pPr>
              <w:spacing w:after="0"/>
              <w:rPr>
                <w:sz w:val="1"/>
                <w:szCs w:val="1"/>
                <w:color w:val="auto"/>
              </w:rPr>
            </w:pPr>
          </w:p>
        </w:tc>
      </w:tr>
      <w:tr>
        <w:trPr>
          <w:trHeight w:val="131"/>
        </w:trPr>
        <w:tc>
          <w:tcPr>
            <w:tcW w:w="318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Issuances of common stock in the “at the market”</w:t>
            </w: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offering, net of underwriter’s commission and offering</w:t>
            </w: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880" w:type="dxa"/>
            <w:vAlign w:val="bottom"/>
            <w:gridSpan w:val="2"/>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2,502,00</w:t>
            </w: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costs of $0.9 million</w:t>
            </w: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88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19,050</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19,050</w:t>
            </w:r>
          </w:p>
        </w:tc>
        <w:tc>
          <w:tcPr>
            <w:tcW w:w="0" w:type="dxa"/>
            <w:vAlign w:val="bottom"/>
          </w:tcPr>
          <w:p>
            <w:pPr>
              <w:spacing w:after="0"/>
              <w:rPr>
                <w:sz w:val="1"/>
                <w:szCs w:val="1"/>
                <w:color w:val="auto"/>
              </w:rPr>
            </w:pPr>
          </w:p>
        </w:tc>
      </w:tr>
      <w:tr>
        <w:trPr>
          <w:trHeight w:val="131"/>
        </w:trPr>
        <w:tc>
          <w:tcPr>
            <w:tcW w:w="3180" w:type="dxa"/>
            <w:vAlign w:val="bottom"/>
          </w:tcPr>
          <w:p>
            <w:pPr>
              <w:ind w:left="20"/>
              <w:spacing w:after="0" w:line="131" w:lineRule="exact"/>
              <w:rPr>
                <w:sz w:val="20"/>
                <w:szCs w:val="20"/>
                <w:color w:val="auto"/>
              </w:rPr>
            </w:pPr>
            <w:r>
              <w:rPr>
                <w:rFonts w:ascii="Arial" w:cs="Arial" w:eastAsia="Arial" w:hAnsi="Arial"/>
                <w:sz w:val="13"/>
                <w:szCs w:val="13"/>
                <w:color w:val="auto"/>
              </w:rPr>
              <w:t>Issuances of common stock in the Underwritten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Arial" w:cs="Arial" w:eastAsia="Arial" w:hAnsi="Arial"/>
                <w:sz w:val="13"/>
                <w:szCs w:val="13"/>
                <w:color w:val="auto"/>
              </w:rPr>
              <w:t>Offering, net of underwriter’s commission and offering</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8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7,777,77</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180" w:type="dxa"/>
            <w:vAlign w:val="bottom"/>
          </w:tcPr>
          <w:p>
            <w:pPr>
              <w:ind w:left="20"/>
              <w:spacing w:after="0"/>
              <w:rPr>
                <w:sz w:val="20"/>
                <w:szCs w:val="20"/>
                <w:color w:val="auto"/>
              </w:rPr>
            </w:pPr>
            <w:r>
              <w:rPr>
                <w:rFonts w:ascii="Arial" w:cs="Arial" w:eastAsia="Arial" w:hAnsi="Arial"/>
                <w:sz w:val="13"/>
                <w:szCs w:val="13"/>
                <w:color w:val="auto"/>
              </w:rPr>
              <w:t>costs of $4.5 million</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4"/>
                <w:szCs w:val="14"/>
                <w:color w:val="auto"/>
              </w:rPr>
            </w:pPr>
          </w:p>
        </w:tc>
        <w:tc>
          <w:tcPr>
            <w:tcW w:w="880" w:type="dxa"/>
            <w:vAlign w:val="bottom"/>
            <w:gridSpan w:val="2"/>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65,479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65,479</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 under the ESPP</w:t>
            </w: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88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44,009</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366</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131"/>
        </w:trPr>
        <w:tc>
          <w:tcPr>
            <w:tcW w:w="3180" w:type="dxa"/>
            <w:vAlign w:val="bottom"/>
          </w:tcPr>
          <w:p>
            <w:pPr>
              <w:ind w:left="20"/>
              <w:spacing w:after="0" w:line="131" w:lineRule="exact"/>
              <w:rPr>
                <w:sz w:val="20"/>
                <w:szCs w:val="20"/>
                <w:color w:val="auto"/>
              </w:rPr>
            </w:pPr>
            <w:r>
              <w:rPr>
                <w:rFonts w:ascii="Arial" w:cs="Arial" w:eastAsia="Arial" w:hAnsi="Arial"/>
                <w:sz w:val="13"/>
                <w:szCs w:val="13"/>
                <w:color w:val="auto"/>
              </w:rPr>
              <w:t>Issuance of common stock upon exercise of stock</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180" w:type="dxa"/>
            <w:vAlign w:val="bottom"/>
          </w:tcPr>
          <w:p>
            <w:pPr>
              <w:ind w:left="20"/>
              <w:spacing w:after="0"/>
              <w:rPr>
                <w:sz w:val="20"/>
                <w:szCs w:val="20"/>
                <w:color w:val="auto"/>
              </w:rPr>
            </w:pPr>
            <w:r>
              <w:rPr>
                <w:rFonts w:ascii="Arial" w:cs="Arial" w:eastAsia="Arial" w:hAnsi="Arial"/>
                <w:sz w:val="13"/>
                <w:szCs w:val="13"/>
                <w:color w:val="auto"/>
              </w:rPr>
              <w:t>options</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4"/>
                <w:szCs w:val="14"/>
                <w:color w:val="auto"/>
              </w:rPr>
            </w:pPr>
          </w:p>
        </w:tc>
        <w:tc>
          <w:tcPr>
            <w:tcW w:w="880" w:type="dxa"/>
            <w:vAlign w:val="bottom"/>
            <w:gridSpan w:val="2"/>
          </w:tcPr>
          <w:p>
            <w:pPr>
              <w:jc w:val="right"/>
              <w:ind w:right="57"/>
              <w:spacing w:after="0"/>
              <w:rPr>
                <w:sz w:val="20"/>
                <w:szCs w:val="20"/>
                <w:color w:val="auto"/>
              </w:rPr>
            </w:pPr>
            <w:r>
              <w:rPr>
                <w:rFonts w:ascii="Arial" w:cs="Arial" w:eastAsia="Arial" w:hAnsi="Arial"/>
                <w:sz w:val="13"/>
                <w:szCs w:val="13"/>
                <w:color w:val="auto"/>
              </w:rPr>
              <w:t>15,000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99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8,412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8,412</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Unrealized gain on available-for-sale investments</w:t>
            </w: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649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649</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rPr>
                <w:sz w:val="20"/>
                <w:szCs w:val="20"/>
                <w:color w:val="auto"/>
              </w:rPr>
            </w:pPr>
            <w:r>
              <w:rPr>
                <w:rFonts w:ascii="Arial" w:cs="Arial" w:eastAsia="Arial" w:hAnsi="Arial"/>
                <w:sz w:val="13"/>
                <w:szCs w:val="13"/>
                <w:color w:val="auto"/>
              </w:rPr>
              <w:t>Net loss</w:t>
            </w: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(64,732 )</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(64,732 )</w:t>
            </w:r>
          </w:p>
        </w:tc>
        <w:tc>
          <w:tcPr>
            <w:tcW w:w="0" w:type="dxa"/>
            <w:vAlign w:val="bottom"/>
          </w:tcPr>
          <w:p>
            <w:pPr>
              <w:spacing w:after="0"/>
              <w:rPr>
                <w:sz w:val="1"/>
                <w:szCs w:val="1"/>
                <w:color w:val="auto"/>
              </w:rPr>
            </w:pPr>
          </w:p>
        </w:tc>
      </w:tr>
      <w:tr>
        <w:trPr>
          <w:trHeight w:val="124"/>
        </w:trPr>
        <w:tc>
          <w:tcPr>
            <w:tcW w:w="318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b w:val="1"/>
                <w:bCs w:val="1"/>
                <w:color w:val="auto"/>
              </w:rPr>
              <w:t>Balances at December 31, 2023</w:t>
            </w: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0" w:type="dxa"/>
            <w:vAlign w:val="bottom"/>
            <w:gridSpan w:val="3"/>
            <w:shd w:val="clear" w:color="auto" w:fill="CFF0FC"/>
          </w:tcPr>
          <w:p>
            <w:pPr>
              <w:jc w:val="right"/>
              <w:ind w:right="57"/>
              <w:spacing w:after="0" w:line="124" w:lineRule="exact"/>
              <w:rPr>
                <w:sz w:val="20"/>
                <w:szCs w:val="20"/>
                <w:color w:val="auto"/>
              </w:rPr>
            </w:pPr>
            <w:r>
              <w:rPr>
                <w:rFonts w:ascii="Arial" w:cs="Arial" w:eastAsia="Arial" w:hAnsi="Arial"/>
                <w:sz w:val="13"/>
                <w:szCs w:val="13"/>
                <w:color w:val="auto"/>
              </w:rPr>
              <w:t>29,741,4</w:t>
            </w: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31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45</w:t>
            </w: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278,881</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275</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(154,455 )</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124,701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-1670685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-1786890</wp:posOffset>
            </wp:positionV>
            <wp:extent cx="9017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90170" cy="13716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-1670685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-1670685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-1670685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-1670685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-1670685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-24765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-8255</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-337820</wp:posOffset>
            </wp:positionV>
            <wp:extent cx="90170" cy="3511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90170" cy="3511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(64,732 )</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(40,956 )</w:t>
            </w: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772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8,412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4,391</w:t>
            </w:r>
          </w:p>
        </w:tc>
      </w:tr>
      <w:tr>
        <w:trPr>
          <w:trHeight w:val="229"/>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Non-cash operating lease expense</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77</w:t>
            </w:r>
          </w:p>
        </w:tc>
      </w:tr>
      <w:tr>
        <w:trPr>
          <w:trHeight w:val="230"/>
        </w:trPr>
        <w:tc>
          <w:tcPr>
            <w:tcW w:w="7720" w:type="dxa"/>
            <w:vAlign w:val="bottom"/>
          </w:tcPr>
          <w:p>
            <w:pPr>
              <w:ind w:left="400"/>
              <w:spacing w:after="0"/>
              <w:rPr>
                <w:sz w:val="20"/>
                <w:szCs w:val="20"/>
                <w:color w:val="auto"/>
              </w:rPr>
            </w:pPr>
            <w:r>
              <w:rPr>
                <w:rFonts w:ascii="Arial" w:cs="Arial" w:eastAsia="Arial" w:hAnsi="Arial"/>
                <w:sz w:val="18"/>
                <w:szCs w:val="18"/>
                <w:color w:val="auto"/>
              </w:rPr>
              <w:t>Net accretion of discount on investments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(2,855 )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(692 )</w:t>
            </w: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(1,026 )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(1,678 )</w:t>
            </w:r>
          </w:p>
        </w:tc>
      </w:tr>
      <w:tr>
        <w:trPr>
          <w:trHeight w:val="230"/>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2,497</w:t>
            </w: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Accrued compensation</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1,850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1,252</w:t>
            </w:r>
          </w:p>
        </w:tc>
      </w:tr>
      <w:tr>
        <w:trPr>
          <w:trHeight w:val="229"/>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3,844</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1,724</w:t>
            </w: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29"/>
        </w:trPr>
        <w:tc>
          <w:tcPr>
            <w:tcW w:w="7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666</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ind w:left="78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(53,288 )</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(33,462 )</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Purchases of investments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(132,178 )</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(93,836 )</w:t>
            </w:r>
          </w:p>
        </w:tc>
      </w:tr>
      <w:tr>
        <w:trPr>
          <w:trHeight w:val="229"/>
        </w:trPr>
        <w:tc>
          <w:tcPr>
            <w:tcW w:w="7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Maturities of investments</w:t>
            </w: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88,900</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72,065</w:t>
            </w:r>
          </w:p>
        </w:tc>
      </w:tr>
      <w:tr>
        <w:trPr>
          <w:trHeight w:val="223"/>
        </w:trPr>
        <w:tc>
          <w:tcPr>
            <w:tcW w:w="7720" w:type="dxa"/>
            <w:vAlign w:val="bottom"/>
          </w:tcPr>
          <w:p>
            <w:pPr>
              <w:ind w:left="78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(43,278 )</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(21,771 )</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197"/>
        </w:trPr>
        <w:tc>
          <w:tcPr>
            <w:tcW w:w="7720" w:type="dxa"/>
            <w:vAlign w:val="bottom"/>
          </w:tcPr>
          <w:p>
            <w:pPr>
              <w:ind w:left="280"/>
              <w:spacing w:after="0" w:line="197" w:lineRule="exact"/>
              <w:rPr>
                <w:sz w:val="20"/>
                <w:szCs w:val="20"/>
                <w:color w:val="auto"/>
              </w:rPr>
            </w:pPr>
            <w:r>
              <w:rPr>
                <w:rFonts w:ascii="Arial" w:cs="Arial" w:eastAsia="Arial" w:hAnsi="Arial"/>
                <w:sz w:val="18"/>
                <w:szCs w:val="18"/>
                <w:color w:val="auto"/>
              </w:rPr>
              <w:t>Proceeds from issuance of common stock from the Underwritten Offering, net of</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5"/>
        </w:trPr>
        <w:tc>
          <w:tcPr>
            <w:tcW w:w="7720" w:type="dxa"/>
            <w:vAlign w:val="bottom"/>
          </w:tcPr>
          <w:p>
            <w:pPr>
              <w:ind w:left="280"/>
              <w:spacing w:after="0"/>
              <w:rPr>
                <w:sz w:val="20"/>
                <w:szCs w:val="20"/>
                <w:color w:val="auto"/>
              </w:rPr>
            </w:pPr>
            <w:r>
              <w:rPr>
                <w:rFonts w:ascii="Arial" w:cs="Arial" w:eastAsia="Arial" w:hAnsi="Arial"/>
                <w:sz w:val="18"/>
                <w:szCs w:val="18"/>
                <w:color w:val="auto"/>
              </w:rPr>
              <w:t>commissions and offering expenses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65,479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197"/>
        </w:trPr>
        <w:tc>
          <w:tcPr>
            <w:tcW w:w="772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Proceeds from issuance of common stock from the “at-the-market” offering, net of</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35"/>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commissions and offering expenses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19,050</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Proceeds from issuance of common stock under the ESPP</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197"/>
        </w:trPr>
        <w:tc>
          <w:tcPr>
            <w:tcW w:w="7720" w:type="dxa"/>
            <w:vAlign w:val="bottom"/>
          </w:tcPr>
          <w:p>
            <w:pPr>
              <w:ind w:left="280"/>
              <w:spacing w:after="0" w:line="197" w:lineRule="exact"/>
              <w:rPr>
                <w:sz w:val="20"/>
                <w:szCs w:val="20"/>
                <w:color w:val="auto"/>
              </w:rPr>
            </w:pPr>
            <w:r>
              <w:rPr>
                <w:rFonts w:ascii="Arial" w:cs="Arial" w:eastAsia="Arial" w:hAnsi="Arial"/>
                <w:sz w:val="18"/>
                <w:szCs w:val="18"/>
                <w:color w:val="auto"/>
              </w:rPr>
              <w:t>Proceeds from issuance of common stock from the initial public offering, net of</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5"/>
        </w:trPr>
        <w:tc>
          <w:tcPr>
            <w:tcW w:w="7720" w:type="dxa"/>
            <w:vAlign w:val="bottom"/>
          </w:tcPr>
          <w:p>
            <w:pPr>
              <w:ind w:left="280"/>
              <w:spacing w:after="0"/>
              <w:rPr>
                <w:sz w:val="20"/>
                <w:szCs w:val="20"/>
                <w:color w:val="auto"/>
              </w:rPr>
            </w:pPr>
            <w:r>
              <w:rPr>
                <w:rFonts w:ascii="Arial" w:cs="Arial" w:eastAsia="Arial" w:hAnsi="Arial"/>
                <w:sz w:val="18"/>
                <w:szCs w:val="18"/>
                <w:color w:val="auto"/>
              </w:rPr>
              <w:t>underwriting discounts, commissions and offering expenses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70,366</w:t>
            </w:r>
          </w:p>
        </w:tc>
      </w:tr>
      <w:tr>
        <w:trPr>
          <w:trHeight w:val="230"/>
        </w:trPr>
        <w:tc>
          <w:tcPr>
            <w:tcW w:w="7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Repurchase of early exercised stock options</w:t>
            </w: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7720" w:type="dxa"/>
            <w:vAlign w:val="bottom"/>
          </w:tcPr>
          <w:p>
            <w:pPr>
              <w:ind w:left="78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84,994</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70,355</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(11,572 )</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15,122</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27,219</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12,097</w:t>
            </w: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at the end of the period</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15,647</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27,219</w:t>
            </w:r>
          </w:p>
        </w:tc>
      </w:tr>
      <w:tr>
        <w:trPr>
          <w:trHeight w:val="210"/>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Supplemental disclosure of noncash financing items</w:t>
            </w: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Conversion of redeemable convertible preferred stock into common stock</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111,139</w:t>
            </w:r>
          </w:p>
        </w:tc>
      </w:tr>
      <w:tr>
        <w:trPr>
          <w:trHeight w:val="239"/>
        </w:trPr>
        <w:tc>
          <w:tcPr>
            <w:tcW w:w="7720" w:type="dxa"/>
            <w:vAlign w:val="bottom"/>
          </w:tcPr>
          <w:p>
            <w:pPr>
              <w:ind w:left="20"/>
              <w:spacing w:after="0"/>
              <w:rPr>
                <w:sz w:val="20"/>
                <w:szCs w:val="20"/>
                <w:color w:val="auto"/>
              </w:rPr>
            </w:pPr>
            <w:r>
              <w:rPr>
                <w:rFonts w:ascii="Arial" w:cs="Arial" w:eastAsia="Arial" w:hAnsi="Arial"/>
                <w:sz w:val="18"/>
                <w:szCs w:val="18"/>
                <w:color w:val="auto"/>
              </w:rPr>
              <w:t>Accretion to redemption value and cumulative dividends on preferred stock</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-3245485</wp:posOffset>
            </wp:positionV>
            <wp:extent cx="1111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-2645410</wp:posOffset>
            </wp:positionV>
            <wp:extent cx="1111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-1076960</wp:posOffset>
            </wp:positionV>
            <wp:extent cx="1111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-467995</wp:posOffset>
            </wp:positionV>
            <wp:extent cx="1111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-450850</wp:posOffset>
            </wp:positionV>
            <wp:extent cx="1111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the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02" w:lineRule="exact"/>
        <w:rPr>
          <w:sz w:val="20"/>
          <w:szCs w:val="20"/>
          <w:color w:val="auto"/>
        </w:rPr>
      </w:pPr>
    </w:p>
    <w:p>
      <w:pPr>
        <w:ind w:right="320" w:firstLine="509"/>
        <w:spacing w:after="0" w:line="244" w:lineRule="auto"/>
        <w:rPr>
          <w:sz w:val="20"/>
          <w:szCs w:val="20"/>
          <w:color w:val="auto"/>
        </w:rPr>
      </w:pPr>
      <w:r>
        <w:rPr>
          <w:rFonts w:ascii="Arial" w:cs="Arial" w:eastAsia="Arial" w:hAnsi="Arial"/>
          <w:sz w:val="18"/>
          <w:szCs w:val="18"/>
          <w:color w:val="auto"/>
        </w:rPr>
        <w:t>AN2 Therapeutics, Inc. (the “Company”) is a clinical-stage biopharmaceutical company focused on developing treatments for rare, chronic, and serious infectious diseases with high unmet needs. The Company’s initial product candidate, epetraborole, is under development as a once-daily, oral treatment for patients with non-tuberculous mycobacterial (NTM) lung disease. The Company was incorporated in the state of Delaware in February 2017, began operations in November 2019, began trading on the Nasdaq Global Select Market on March 25, 2022 under the symbol “ANTX”, and is based in Menlo Park, California.</w:t>
      </w:r>
    </w:p>
    <w:p>
      <w:pPr>
        <w:spacing w:after="0" w:line="176"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Since launching operations in November 2019, the Company has devoted substantially all of its resources to performing research and development activities, including with respect to its initial product candidate, epetraborole, and other product candidates, business planning, hiring personnel, raising capital and providing general and administrative support for these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2" w:lineRule="exact"/>
        <w:rPr>
          <w:sz w:val="20"/>
          <w:szCs w:val="20"/>
          <w:color w:val="auto"/>
        </w:rPr>
      </w:pPr>
    </w:p>
    <w:p>
      <w:pPr>
        <w:ind w:right="560" w:firstLine="509"/>
        <w:spacing w:after="0" w:line="259" w:lineRule="auto"/>
        <w:rPr>
          <w:sz w:val="20"/>
          <w:szCs w:val="20"/>
          <w:color w:val="auto"/>
        </w:rPr>
      </w:pPr>
      <w:r>
        <w:rPr>
          <w:rFonts w:ascii="Arial" w:cs="Arial" w:eastAsia="Arial" w:hAnsi="Arial"/>
          <w:sz w:val="17"/>
          <w:szCs w:val="17"/>
          <w:color w:val="auto"/>
        </w:rPr>
        <w:t>On March 24, 2022, the Company’s registration statement on Form S-1 (File No. 333-263295) relating to its initial public offering (“IPO”) of common stock became effective. The IPO closed on March 29, 2022, at which time the Company issued an aggregate of</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4,600,000 shares of its common stock at a price to the public of $15.00 per share. In addition, immediately prior to the closing of the IPO, all outstanding shares of the Company’s redeemable convertible preferred stock automatically converted into 11,409,488 shares of common stock. The aggregate offering proceeds for shares sold in the IPO was $69.0 million. After deducting underwriting discounts and commissions of $4.8 million and offering costs paid or payable by the Company of $3.3 million, the net proceeds from the offering were approximately $60.9 million.</w:t>
      </w:r>
    </w:p>
    <w:p>
      <w:pPr>
        <w:spacing w:after="0" w:line="180"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On April 8, 2022, the underwriters from the IPO exercised an option to purchase 690,000 additional shares of the Company's common stock at a public offering price of $15.00 per share, resulting in additional gross proceeds to the Company of $10.4 million, and additional net proceeds of approximately $9.5 million. After giving effect to this exercise of the overallotment option, the total number of shares sold by the Company in the IPO increased to 5,290,000 shares with total net proceeds to the Company of approximately $70.4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0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On April 6, 2023, the Company entered into a sales agreement ("Sales Agreement") with Cowen and Company, LLC as the Company’s sales agent (“Agent”) to issue and sell up to an aggregate gross sales of $100.0 million in shares (“Shares”) of the Company’s common stock through an “at-the-market” equity offering program (“ATM Offering”). The Company will pay commissions to the Agent of up to 3.0% of the gross proceeds of the sale of the Shares sold under the Sales Agreement and reimburse the Agent for certain expenses. During the year ended December 31, 2023, the Company issued and sold 2,502,000 shares of common stock under the ATM Offering, resulting in net proceeds of $19.1 million, after deducting commissions and other offering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Offering</w:t>
      </w:r>
    </w:p>
    <w:p>
      <w:pPr>
        <w:spacing w:after="0" w:line="10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On August 15, 2023, the Company entered into an underwriting agreement (the "Underwriting Agreement") with Cowen and Company, LLC, Leerink Partners LLC and Evercore Group L.L.C. as representatives of several underwriters to issue and sell 7,777,778 shares of common stock at an offering price of $9.00 per share, resulting in net proceeds of $65.5 million, after deducting commissions and other offering costs (the "Underwritten Offering").</w:t>
      </w: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1" w:name="page112"/>
    <w:bookmarkEnd w:id="111"/>
    <w:p>
      <w:pPr>
        <w:jc w:val="center"/>
        <w:ind w:right="-7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Company’s financial statements have been prepared in accordance with United States generally accepted accounting principles (“U.S. GAAP”). Certain reclassifications have been made to the prior year presentation to conform to the current year presentation. The prior year presentation of "interest income" and "other expense" on the statements of operations and comprehensive loss has been condensed into "other income, net" and conformed to reflect the current year's presentation. The prior year presentation of issuance of common stock upon initial public offering has been condensed within the statements of redeemable convertible preferred stock and stockholders’ equity (deficit).</w:t>
      </w:r>
    </w:p>
    <w:p>
      <w:pPr>
        <w:spacing w:after="0" w:line="17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For all periods presented, shares of common stock and then existing redeemable convertible preferred stock and per share amounts have been adjusted on a retroactive basis to reflect our 2.352936-for-1 forward stock split, which was effected on March 18, 2022. The stock split did not change the par value of the common stock and redeemable convertible preferred stock or the authorized number of shares of common stock and redeemable convertible preferred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0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Prior to the Company’s IPO in March 2022, the Company’s operations had historically been financed through the issuance of redeemable convertible preferred stock. Since inception, the Company has incurred significant losses and negative net cash flows from operations. During the years ended December 31, 2023 and 2022, the Company incurred a net loss of $64.7 million and $41.0 million, respectively, and had cash flows used in operating activities of $53.3 million and $33.5 million, respectively. The Company has an accumulated deficit of $154.5 million and $89.7 million as of December 31, 2023 and 2022, respectively, and will require substantial additional capital for research and development activities. The Company anticipates incurring additional losses until such time, if ever, that it can generate significant sales of its product candidate currently in development.</w:t>
      </w:r>
    </w:p>
    <w:p>
      <w:pPr>
        <w:spacing w:after="0" w:line="185"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As of December 31, 2023, the Company had cash, cash equivalents, short-term investments and long-term investments of $134.5 million. Management believes that its cash, cash equivalents and investments as of December 31, 2023 will be sufficient to fund its current operating plan through at least 12 months from the issuance date of these financial statements. Future capital requirements will depend on many factors, including the timing and extent of spending on research and development, including costs for preclinical and nonclinical studies, clinical trials and clinical trial and material manufacturing.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2"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The Company operates and manages its business as one reportable and operating segment. The Company’s chief executive officer, who is the chief operating decision maker, reviews financial information on a company-wide basis for purposes of allocating resources and assessing financial performance.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including those related to research and development accruals, fair value of assets and liabilities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 capitalizes certain legal, accounting and other third-party fees that are directly related to the Company’s equity financings, including its Underwritten Offering in August 2023, ATM Offering filed in April 2023 and its IPO in 2022, until such financings are consummated. After consummation of the equity financing, these costs are recorded as a reduction of the proceeds received as a result of the financing. The Company capitalized certain legal, accounting and other third-party fees that were directly related to the Company’s Underwritten Offering, ATM Offering and IPO. After the completion of the IPO in March 2022, the total deferred offering costs of $3.3 million were offset against the proceeds from the IPO and reclassified to additional paid-in capital in the accompanying balance sheets. After the completion of the ATM Offering in June 2023, the total deferred offering costs of $0.9 million were offset against the proceeds from the ATM Offering and reclassified to additional paid-in capital in the accompanying balance sheets. After the completion of the Underwritten Offering in August 2023, the total deferred offering costs of $4.5 million were offset against the proceeds from the Underwritten Offering and reclassified to additional paid-in capital in the accompanying balance sheets. At December 31, 2023 and 2022, no deferred offering costs were included as non-current assets in the accompanying balance sheets.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All research and development costs, including work performed by third parties, are expensed as incurred. Research and development costs consist of salaries and other personnel-related expenses, including associated stock-based compensation, consulting fees, and facility costs, as well as fees paid to other entities that conduct certain research and development activities on behalf of the Company. Payments made prior to the receipt of goods or services to be used in research and development are capitalized until the goods are received or services are rendered.</w:t>
      </w:r>
    </w:p>
    <w:p>
      <w:pPr>
        <w:spacing w:after="0" w:line="17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As part of the process of preparing its financial statements, the Company estimates its accrued expenses.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contract manufacturing and clinical and other research organizations, academic research centers and other vendors in connection with research and development activities for which the Company has not yet been invoiced.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02"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Company recorded the redeemable convertible preferred stock at fair value on the dates of issuance, net of issuance costs. The carrying value of the redeemable convertible preferred stock was accreted to its redemption value. Immediately prior to the closing of the IPO, all outstanding shares of the Company’s redeemable convertible preferred stock were converted into shares of common stock and the related carrying value was reclassified to common stock and additional paid-in capital. There were no shares of redeemable convertible preferred stock outstanding as of December 31, 2023 and 2022.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The Company measures and recognizes compensation expense for equity-classified stock-based awards made to employees, directors and non-employees based on the grant date estimated fair value of each award. Compensation expense for employee and director awards is recognized on a straight-line basis over the requisite service period which is generally the vesting period for the entire award. Expense is adjusted for forfeitures as they occur. Compensation expense for non-employee awards is recognized in the same period and manner as if the Company had paid cash for the goods or services provided.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3" w:name="page114"/>
    <w:bookmarkEnd w:id="113"/>
    <w:p>
      <w:pPr>
        <w:jc w:val="center"/>
        <w:ind w:right="-13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3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valuation model used for calculating the fair value of stock options for stock compensation expense is the Black-Scholes option-pricing model (the Black-Scholes model). The Black-Scholes model requires management to make assumptions and judgments about the variables used in the calculation, including the expected term, the expected volatility of common stock, an assumed risk-free interest rate, and expected dividends the Company may pay. Management elected to apply the practical expedient for private companies and used the simplified method to determine the awards’ expected term. Volatility is based on an average of the historical volatilities of the common stock of entities with characteristics similar to the Company’s. The risk-free rate is based on the U.S. Treasury yield curve in effect at the time of grant for periods corresponding with the expected life of the option. The Company uses an assumed dividend yield of zero as the Company has never paid dividends and has no current plans to pay any dividends on its common stock.</w:t>
      </w:r>
    </w:p>
    <w:p>
      <w:pPr>
        <w:spacing w:after="0" w:line="180"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For option awards that contain performance conditions, compensation cost is recognized in the period in which it becomes probable that the performance condition will be satisfied. For option awards that vest upon a liquidity event or a change in control, the performance condition is not probable of being achieved until the event occurs. As a result, no compensation expense would be recognized until the performance-based vesting condition is achieved.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0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 xml:space="preserve">Prior to the Company's IPO, the absence of an active market for the Company’s common stock required the Company’s board of directors ("Board") to determine the fair value of its common stock for purposes of granting stock options. The fair value of the Company’s common stock was determined by the Company’s Board with assistance from management and an independent third-party valuation firm. Management’s approach to estimating the fair value of the Company’s common stock was consistent with the methods outlined in the American Institute of Certified Public Accountants’ Practice Aid, </w:t>
      </w:r>
      <w:r>
        <w:rPr>
          <w:rFonts w:ascii="Arial" w:cs="Arial" w:eastAsia="Arial" w:hAnsi="Arial"/>
          <w:sz w:val="18"/>
          <w:szCs w:val="18"/>
          <w:i w:val="1"/>
          <w:iCs w:val="1"/>
          <w:color w:val="auto"/>
        </w:rPr>
        <w:t>Valuation of Privately-Held- 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Determining the best estimated fair value of the Company’s common stock requires significant judgment and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several factors, including the Company’s stage of development, equity market conditions affecting comparable public companies, significant milestones and progress in research and development efforts. Since the completion of its IPO, the Company uses its stock price traded on the Nasdaq Global Select Market to determine the fair value of its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which consist of money market funds, corporate debt securities and corporate commercial paper, are stated at fair value.</w:t>
      </w:r>
    </w:p>
    <w:p>
      <w:pPr>
        <w:spacing w:after="0" w:line="234" w:lineRule="auto"/>
        <w:rPr>
          <w:sz w:val="20"/>
          <w:szCs w:val="20"/>
          <w:color w:val="auto"/>
        </w:rPr>
      </w:pPr>
      <w:r>
        <w:rPr>
          <w:rFonts w:ascii="Arial" w:cs="Arial" w:eastAsia="Arial" w:hAnsi="Arial"/>
          <w:sz w:val="18"/>
          <w:szCs w:val="18"/>
          <w:color w:val="auto"/>
        </w:rPr>
        <w:t>As of December 31, 2023 and 2022, the Company had cash and cash equivalents of $15.6 million and $27.2 million, respectively.</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02" w:lineRule="exact"/>
        <w:rPr>
          <w:sz w:val="20"/>
          <w:szCs w:val="20"/>
          <w:color w:val="auto"/>
        </w:rPr>
      </w:pPr>
    </w:p>
    <w:p>
      <w:pPr>
        <w:ind w:right="360" w:firstLine="509"/>
        <w:spacing w:after="0" w:line="242" w:lineRule="auto"/>
        <w:rPr>
          <w:sz w:val="20"/>
          <w:szCs w:val="20"/>
          <w:color w:val="auto"/>
        </w:rPr>
      </w:pPr>
      <w:r>
        <w:rPr>
          <w:rFonts w:ascii="Arial" w:cs="Arial" w:eastAsia="Arial" w:hAnsi="Arial"/>
          <w:sz w:val="18"/>
          <w:szCs w:val="18"/>
          <w:color w:val="auto"/>
        </w:rPr>
        <w:t>Investments consist of U.S. Treasury securities, commercial paper, and U.S. Government agency securities. All of the Company’s investments are classified as available -for-sale and are carried at estimated fair values and reported in cash equivalents, short-term investments or long-term investments. Management determines the appropriate classification of the investments at the time they are acquired and evaluates the appropriateness of such classifications at each balance sheet date. Investments with contractual maturities greater than 12 months are considered long-term investments. The cost of investments sold, if any, is based on the specific identification method.</w:t>
      </w:r>
    </w:p>
    <w:p>
      <w:pPr>
        <w:spacing w:after="0" w:line="17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Unrealized gains and losses on available-for-sale investments are reported in accumulated other comprehensive gain (loss) as a separate component of stockholders’ equity (deficit). 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other income (expense) in the statements of operations and comprehensive loss. If neither criterion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specifically related to the security, among other factors. Credit-related impairment losses, limited by the amount that the fair value is less than the amortized cost basis, are recorded through an allowance for credit losses in other income, net. Any unrealized losses from declines in fair value below the amortized cost basis as a result of non-credit factors are recognized in accumulated other comprehensive income (loss) as a separate component of stockholders’ equity, along with unrealized gains. Realized gains and losses and declines in fair value, if any, on available-for-sale securities are included in other income, net in the statements of operations and comprehensive loss.</w:t>
      </w:r>
    </w:p>
    <w:p>
      <w:pPr>
        <w:spacing w:after="0" w:line="18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to prepaid expenses and other current assets.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2023 and 2022, the Company had investments of $118.8 million and $72.1 million, respectively.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02"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cash equivalents and investments. The Company’s cash is invested through financial institutions in the United States. The Company’s investments consist of debt securities, issued by highly rated corporate entities or the U.S. government, and asset-backed securities. The Company’s exposure to any individual corporate entity is limited by its investment policy. Deposits may at times exceed federally insured limits, but minimal credit risk exists. The Company invests its cash equivalents in highly rated money market funds. The Company has not experienced any credit losses in such accounts and does not believe it is exposed to any significant credit risk on these funds.</w:t>
      </w:r>
    </w:p>
    <w:p>
      <w:pPr>
        <w:spacing w:after="0" w:line="179"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The Company is exposed to credit risk in the event of a default by the financial institutions holding its cash to the extent recorded on the balance sheets. In March 2023, one of the financial institutions utilized by the Company was closed by the California Department of Financial Protection and Innovation, which appointed the Federal Deposit Insurance Corporation as receiver. Through December 31, 2023, the Company has no off-balance sheet concentrations of credit risk.</w:t>
      </w: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w:t>
      </w:r>
    </w:p>
    <w:p>
      <w:pPr>
        <w:spacing w:after="0" w:line="10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September 2022, the Company received a cost-reimbursement contract award under which the Company is eligible to receive up to $17.8 million from the U.S. National Institute of Allergy and Infection Diseases (“NIAID”) to support preclinical, Phase 1 studies and other activities to enable advancement of epetraborole into late-stage development for acute systemic melioidosis and other biothreat pathogens. This project will be funded in whole or in part with Federal funds from the NIAID, National Institutes of Health, Department of Health and Human Services, under Contract No. 75N93022C00059. Accounting for this contract does not fall under ASC 606, Revenue from Contracts with Customers, as NIAID will not benefit directly from the advancement of epetraborole. As there is no authoritative guidance under U.S. GAAP on accounting for government assistance to for-profit business entities, the Company applied International Accounting Standards (IAS) 20, Accounting for Government Grants and Disclosure of Government Assistance, by analogy when accounting for the NIAID contract payments to the Company. Under IAS 20, government contract proceeds are recognized when there is reasonable assurance the conditions of the contract will be met and the contract funding will be received. For the NIAID contract, this occurs after the qualifying expenses related to the contract have been incurred, or the Company concludes the conditions of the contract have been substantially met. The income related to the reimbursement of operating expenses is then recorded as a reduction of those expenses (see Note 4—Funding Arrangements).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Agreements</w:t>
      </w:r>
    </w:p>
    <w:p>
      <w:pPr>
        <w:spacing w:after="0" w:line="102"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In September 2022, the Company entered into a subcontract agreement with the University of Georgia Research Foundation (“UGARF”) to receive up to $1.4 million from UGARF to support preclinical development of a boron-containing small molecule for Chagas disease.</w:t>
      </w:r>
    </w:p>
    <w:p>
      <w:pPr>
        <w:spacing w:after="0" w:line="169" w:lineRule="exact"/>
        <w:rPr>
          <w:sz w:val="20"/>
          <w:szCs w:val="20"/>
          <w:color w:val="auto"/>
        </w:rPr>
      </w:pPr>
    </w:p>
    <w:p>
      <w:pPr>
        <w:jc w:val="both"/>
        <w:ind w:right="140" w:firstLine="509"/>
        <w:spacing w:after="0" w:line="271" w:lineRule="auto"/>
        <w:rPr>
          <w:sz w:val="20"/>
          <w:szCs w:val="20"/>
          <w:color w:val="auto"/>
        </w:rPr>
      </w:pPr>
      <w:r>
        <w:rPr>
          <w:rFonts w:ascii="Arial" w:cs="Arial" w:eastAsia="Arial" w:hAnsi="Arial"/>
          <w:sz w:val="18"/>
          <w:szCs w:val="18"/>
          <w:color w:val="auto"/>
        </w:rPr>
        <w:t>In September 2023, the Company entered into a grant agreement with the Bill and Melinda Gates Foundation (“BMGF”) to fund up to $1.8 million to generate new boron-based lead compounds with the potential to be developed into drugs that treat tuberculosis and malaria.</w:t>
      </w:r>
    </w:p>
    <w:p>
      <w:pPr>
        <w:spacing w:after="0" w:line="15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recognizes grant proceeds in accordance with ASC 958-605, Revenue Recognition Not-for-Profit Entities, when qualifying costs are incurred and the conditions of the grant agreement have been met. When receipt of grant proceeds is reasonably assured, the Company records a reduction to the research and development expenses incurred and a corresponding grant receivable. Cash received from grants in advance of incurring qualifying costs is recorded as a liability and recognized as a reduction to the qualifying research and development expenses incurred (see Note 4—Funding Arrangements).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2"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Comprehensive loss includes net loss and certain changes in stockholders’ equity (deficit) that are excluded from net loss. The Company’s other comprehensive loss consists of net changes in unrealized gains and losses on its available-for-sale investments. For the years ended December 31, 2023 and 2022, the Company had $0.6 million of net unrealized gain and $0.3 million of net unrealized loss on available-for-sale investments, respectively.</w:t>
      </w: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unvested early exercise of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and is accreted to redemption.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redeemable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 because the impact of potentially dilutive securities would be anti-dilutive.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02"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the Company (i) is no longer an emerging growth company or (ii) affirmatively and irrevocably opts out of the extended transition period provided in the JOBS Act. The Company may take advantage of these provisions for up to five years (which is through March 2027), unless the Company ceases to be an emerging growth company at an earlier date. As a result, these financial statements may not be comparable to companies that comply with new or revised accounting pronouncements as of public company effective dates.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(“ASU 2016-13”), which requires an entity to utilize a new impairment model known as the current expected credit loss (“CECL”) model to 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In November 2019, the FASB issued ASU 2019-10, Financial Instruments—Credit Losses (Topic 326), Derivatives and Hedging (Topic 815) and Leases (Topic 842): Effective Dates, which defers the effective date of ASU 2016-13 to fiscal years beginning after December 15, 2022 for SEC reporting companies that are smaller reporting companies such as the Company. The Company adopted this standard beginning January 1, 2023. Adoption of this standard did not have a material impact on the Company's financial statements.</w:t>
      </w:r>
    </w:p>
    <w:p>
      <w:pPr>
        <w:spacing w:after="0" w:line="18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July 2018, the FASB issued ASU No. 2018-11, Leases (Topic 842): Targeted Improvements (“ASU 2018-11”). ASU 2018-11 provided an alternative method in addition to the modified retrospective transition method for ASU No. 2016-02, Leases: Amendments to the FASB Accounting Standards Codification (“ASU 2016-02”), issued in February 2016. Under ASU 2018-11, an entity may elect to initially apply the new lease standard at the adoption date and recognize a cumulative-effect adjustment to the opening balance of retained earnings in the period of adoption. Under ASU 2016-02, a lease is required to recognize assets and liabilities with lease terms of more than twelve months. ASU 2016-02 is effective for nonpublic business entities and public entities eligible to be Smaller Reporting Companies for fiscal years beginning after December 15,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37"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Company adopted the new standard on January 1, 2022 using the modified retrospective approach. The Company has elected to apply the transition method that allows companies to continue applying the guidance under the lease standard in effect at that time in the comparative periods presented in the financial statements and recognize a cumulative-effect adjustment to the opening balance of accumulated deficit on the date of adoption. The Company has elected to combine lease components (e.g., fixed rent payments) with non-lease components (e.g., common-area maintenance costs) on its facility and clinical research organization (“CRO”) embedded lease asset classes. The Company also elected the “package of practical expedients”, which permits the Company not to reassess under the new standard the Company’s prior conclusions about lease identification, lease classification and initial direct costs. The Company also elected the short-term lease practical expedients allowed under the standard. Lastly, the Company did not elect the practical expedient allowing the use-of-hindsight which would require the Company to reassess the lease term of its leases based on all facts and circumstances through the effective date.</w:t>
      </w:r>
    </w:p>
    <w:p>
      <w:pPr>
        <w:spacing w:after="0" w:line="180"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Results for reporting periods beginning after January 1, 2022 are presented under the new standard, while prior period amounts are not adjusted and continue to be reported under the accounting standards in effect for the prior period. Upon adoption of the new lease standard, on January 1, 2022, the Company capitalized operating lease right-of-use (ROU) assets of $50 thousand and $50 thousand of operating lease liabilities, within the balance sheets upon adoption.</w:t>
      </w:r>
    </w:p>
    <w:p>
      <w:pPr>
        <w:spacing w:after="0" w:line="17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November 2021, the FASB issued ASU No. 2021-10, Government Assistance (Topic 832) Disclosures by Business Entities about Government Assistance. Current U.S. GAAP has no specific authoritative guidance on the accounting for, or the disclosure of, government assistance received by business entities. The amendments in this update improve financial reporting by requiring disclosures that increase the transparency of transactions with a government accounted for by applying a grant or contribution accounting model by analogy, including the types of transactions, the accounting for those transactions, and the effect of those transactions on an entity’s financial statements. The amendments in this update require the following annual disclosures about transactions with a government that are accounted for by applying a grant or contribution accounting model by analogy, including: (1) information about the nature of the transactions and the related accounting policy used to account for the transactions; (2) the line items on the balance sheet and income statement that are affected by the transactions, and the amounts applicable to each financial statement line item; and (3) the significant terms and conditions of the transactions, including commitments and contingencies. The amendments in this update are effective for all entities within their scope for financial statements issued for annual periods beginning after December 15, 2021. Early application of the amendments is permitted. The Company adopted this update during the year ended December 31, 2022 and accounted for the NIAID contract in accordance with this update, which did not have a material impact on the Company's financial statements.</w:t>
      </w:r>
    </w:p>
    <w:p>
      <w:pPr>
        <w:spacing w:after="0" w:line="18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(a consensus of the FASB Emerging Issues Task Force)”. This update is intended to guide entities in evaluating the accounting for fees paid by a customer in a cloud computing arrangement by providing guidance for determining when the arrangement includes a software license. This standard was effective for financial statements issued by public companies for annual and interim periods beginning after December 15, 2019, and effective for financial statements issued by non-public entities for annual periods beginning after December 15, 2020. The Company adopted this standard beginning July 1, 2022, noting that this standard was applied prospectively. Adoption of this standard did not have a material impact on the Company's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2"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noted, the Company believes that the impact of recently issued standards that are not yet effective will not have a material impact on its financial statements and disclosures. As an "emerging growth" company, it has been the Company's intention to take advantage of certain temporary exemptions from various reporting requirements, as well as taking advantage of additional transitional relief.</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329"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(“ASU 2023-07”). The amendments in ASU 2023-07 are intended to improve reportable segment disclosure, primarily through enhanced disclosures about significant segment expenses. ASU 2023-07 is effective for annual periods beginning after December 15, 2023, and interim periods beginning after December 15, 2024. The amendments in this ASU should be applied retrospectively to all prior periods presented in the financial statements. Early adoption is permitted. The Company is evaluating the impact of this guidance on its financial statements and related disclosures.</w:t>
      </w:r>
    </w:p>
    <w:p>
      <w:pPr>
        <w:spacing w:after="0" w:line="71"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financial statements and related disclosures.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0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The Company adopted ASU 2016-13 beginning January 1, 2023. The Company records certain financial assets and liabilities at fair value.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68"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Level 1: Inputs which include quoted prices in active markets for identical assets and liabilities.</w:t>
      </w:r>
    </w:p>
    <w:p>
      <w:pPr>
        <w:spacing w:after="0" w:line="116" w:lineRule="exact"/>
        <w:rPr>
          <w:rFonts w:ascii="Times New Roman" w:cs="Times New Roman" w:eastAsia="Times New Roman" w:hAnsi="Times New Roman"/>
          <w:sz w:val="18"/>
          <w:szCs w:val="18"/>
          <w:color w:val="auto"/>
        </w:rPr>
      </w:pPr>
    </w:p>
    <w:p>
      <w:pPr>
        <w:ind w:left="1020" w:right="120" w:hanging="503"/>
        <w:spacing w:after="0" w:line="252" w:lineRule="auto"/>
        <w:tabs>
          <w:tab w:leader="none" w:pos="10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Level 2: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2"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154"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The Company’s primary financial instruments include cash, cash equivalents, short-term investments and long-term investments, prepaid expenses, accounts payable, and accrued liabilities. The carrying amounts of the Company’s financial instruments, other than cash equivalents, short- and long-term investments, approximate fair value due to their relatively short maturities.</w:t>
      </w:r>
    </w:p>
    <w:p>
      <w:pPr>
        <w:spacing w:after="0" w:line="169" w:lineRule="exact"/>
        <w:rPr>
          <w:sz w:val="20"/>
          <w:szCs w:val="20"/>
          <w:color w:val="auto"/>
        </w:rPr>
      </w:pPr>
    </w:p>
    <w:p>
      <w:pPr>
        <w:ind w:right="800" w:firstLine="509"/>
        <w:spacing w:after="0" w:line="271" w:lineRule="auto"/>
        <w:rPr>
          <w:sz w:val="20"/>
          <w:szCs w:val="20"/>
          <w:color w:val="auto"/>
        </w:rPr>
      </w:pPr>
      <w:r>
        <w:rPr>
          <w:rFonts w:ascii="Arial" w:cs="Arial" w:eastAsia="Arial" w:hAnsi="Arial"/>
          <w:sz w:val="18"/>
          <w:szCs w:val="18"/>
          <w:color w:val="auto"/>
        </w:rPr>
        <w:t>The following table presents the Company’s financial assets, which consist of cash equivalents and investments classified as available-for-sale investments, that are measured at fair value on a recurring basis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0"/>
        </w:trPr>
        <w:tc>
          <w:tcPr>
            <w:tcW w:w="5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13"/>
              <w:spacing w:after="0" w:line="160"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173"/>
              <w:spacing w:after="0" w:line="160"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173"/>
              <w:spacing w:after="0" w:line="160" w:lineRule="exact"/>
              <w:rPr>
                <w:sz w:val="20"/>
                <w:szCs w:val="20"/>
                <w:color w:val="auto"/>
              </w:rPr>
            </w:pPr>
            <w:r>
              <w:rPr>
                <w:rFonts w:ascii="Arial" w:cs="Arial" w:eastAsia="Arial" w:hAnsi="Arial"/>
                <w:sz w:val="14"/>
                <w:szCs w:val="14"/>
                <w:b w:val="1"/>
                <w:bCs w:val="1"/>
                <w:color w:val="auto"/>
                <w:w w:val="98"/>
              </w:rPr>
              <w:t>Unrealized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193"/>
              <w:spacing w:after="0" w:line="160" w:lineRule="exact"/>
              <w:rPr>
                <w:sz w:val="20"/>
                <w:szCs w:val="20"/>
                <w:color w:val="auto"/>
              </w:rPr>
            </w:pPr>
            <w:r>
              <w:rPr>
                <w:rFonts w:ascii="Arial" w:cs="Arial" w:eastAsia="Arial" w:hAnsi="Arial"/>
                <w:sz w:val="14"/>
                <w:szCs w:val="14"/>
                <w:b w:val="1"/>
                <w:bCs w:val="1"/>
                <w:color w:val="auto"/>
              </w:rPr>
              <w:t>Estimated</w:t>
            </w:r>
          </w:p>
        </w:tc>
      </w:tr>
      <w:tr>
        <w:trPr>
          <w:trHeight w:val="185"/>
        </w:trPr>
        <w:tc>
          <w:tcPr>
            <w:tcW w:w="5160" w:type="dxa"/>
            <w:vAlign w:val="bottom"/>
          </w:tcPr>
          <w:p>
            <w:pPr>
              <w:spacing w:after="0"/>
              <w:rPr>
                <w:sz w:val="16"/>
                <w:szCs w:val="16"/>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1120" w:type="dxa"/>
            <w:vAlign w:val="bottom"/>
          </w:tcPr>
          <w:p>
            <w:pPr>
              <w:ind w:left="280"/>
              <w:spacing w:after="0"/>
              <w:rPr>
                <w:sz w:val="20"/>
                <w:szCs w:val="20"/>
                <w:color w:val="auto"/>
              </w:rPr>
            </w:pPr>
            <w:r>
              <w:rPr>
                <w:rFonts w:ascii="Arial" w:cs="Arial" w:eastAsia="Arial" w:hAnsi="Arial"/>
                <w:sz w:val="18"/>
                <w:szCs w:val="18"/>
                <w:color w:val="auto"/>
              </w:rPr>
              <w:t>Level 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4,478</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4,478</w:t>
            </w:r>
          </w:p>
        </w:tc>
      </w:tr>
      <w:tr>
        <w:trPr>
          <w:trHeight w:val="230"/>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1120" w:type="dxa"/>
            <w:vAlign w:val="bottom"/>
          </w:tcPr>
          <w:p>
            <w:pPr>
              <w:ind w:left="28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15,680</w:t>
            </w:r>
          </w:p>
        </w:tc>
      </w:tr>
      <w:tr>
        <w:trPr>
          <w:trHeight w:val="230"/>
        </w:trPr>
        <w:tc>
          <w:tcPr>
            <w:tcW w:w="5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Treasury securities</w:t>
            </w:r>
          </w:p>
        </w:tc>
        <w:tc>
          <w:tcPr>
            <w:tcW w:w="1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1,246</w:t>
            </w: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1120" w:type="dxa"/>
            <w:vAlign w:val="bottom"/>
          </w:tcPr>
          <w:p>
            <w:pPr>
              <w:ind w:left="28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41,517</w:t>
            </w:r>
          </w:p>
        </w:tc>
      </w:tr>
      <w:tr>
        <w:trPr>
          <w:trHeight w:val="229"/>
        </w:trPr>
        <w:tc>
          <w:tcPr>
            <w:tcW w:w="5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Government agency securities</w:t>
            </w:r>
          </w:p>
        </w:tc>
        <w:tc>
          <w:tcPr>
            <w:tcW w:w="1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19,504</w:t>
            </w: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Asset Backed Securities</w:t>
            </w:r>
          </w:p>
        </w:tc>
        <w:tc>
          <w:tcPr>
            <w:tcW w:w="1120" w:type="dxa"/>
            <w:vAlign w:val="bottom"/>
          </w:tcPr>
          <w:p>
            <w:pPr>
              <w:ind w:left="28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8,779</w:t>
            </w:r>
          </w:p>
        </w:tc>
      </w:tr>
      <w:tr>
        <w:trPr>
          <w:trHeight w:val="230"/>
        </w:trPr>
        <w:tc>
          <w:tcPr>
            <w:tcW w:w="5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Debt Securities</w:t>
            </w:r>
          </w:p>
        </w:tc>
        <w:tc>
          <w:tcPr>
            <w:tcW w:w="1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4,922</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Treasury securities</w:t>
            </w:r>
          </w:p>
        </w:tc>
        <w:tc>
          <w:tcPr>
            <w:tcW w:w="1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Level 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23,673</w:t>
            </w: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rPr>
              <w:t>U.S. Government agency securities</w:t>
            </w:r>
          </w:p>
        </w:tc>
        <w:tc>
          <w:tcPr>
            <w:tcW w:w="1120" w:type="dxa"/>
            <w:vAlign w:val="bottom"/>
          </w:tcPr>
          <w:p>
            <w:pPr>
              <w:ind w:left="28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3,521</w:t>
            </w:r>
          </w:p>
        </w:tc>
      </w:tr>
      <w:tr>
        <w:trPr>
          <w:trHeight w:val="26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CFF0FC"/>
          </w:tcPr>
          <w:p>
            <w:pPr>
              <w:spacing w:after="0"/>
              <w:rPr>
                <w:sz w:val="22"/>
                <w:szCs w:val="22"/>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123,045</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123,320</w:t>
            </w:r>
          </w:p>
        </w:tc>
      </w:tr>
      <w:tr>
        <w:trPr>
          <w:trHeight w:val="416"/>
        </w:trPr>
        <w:tc>
          <w:tcPr>
            <w:tcW w:w="5160" w:type="dxa"/>
            <w:vAlign w:val="bottom"/>
            <w:tcBorders>
              <w:top w:val="single" w:sz="8" w:color="CFF0FC"/>
            </w:tcBorders>
          </w:tcPr>
          <w:p>
            <w:pPr>
              <w:spacing w:after="0"/>
              <w:rPr>
                <w:sz w:val="24"/>
                <w:szCs w:val="24"/>
                <w:color w:val="auto"/>
              </w:rPr>
            </w:pPr>
          </w:p>
        </w:tc>
        <w:tc>
          <w:tcPr>
            <w:tcW w:w="11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F-15</w:t>
            </w: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746"/>
        </w:trPr>
        <w:tc>
          <w:tcPr>
            <w:tcW w:w="5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-788035</wp:posOffset>
            </wp:positionV>
            <wp:extent cx="77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-770890</wp:posOffset>
            </wp:positionV>
            <wp:extent cx="774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-788035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-770890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-788035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-770890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0"/>
        </w:trPr>
        <w:tc>
          <w:tcPr>
            <w:tcW w:w="5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14"/>
              <w:spacing w:after="0" w:line="160"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174"/>
              <w:spacing w:after="0" w:line="160"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174"/>
              <w:spacing w:after="0" w:line="160" w:lineRule="exact"/>
              <w:rPr>
                <w:sz w:val="20"/>
                <w:szCs w:val="20"/>
                <w:color w:val="auto"/>
              </w:rPr>
            </w:pPr>
            <w:r>
              <w:rPr>
                <w:rFonts w:ascii="Arial" w:cs="Arial" w:eastAsia="Arial" w:hAnsi="Arial"/>
                <w:sz w:val="14"/>
                <w:szCs w:val="14"/>
                <w:b w:val="1"/>
                <w:bCs w:val="1"/>
                <w:color w:val="auto"/>
                <w:w w:val="98"/>
              </w:rPr>
              <w:t>Unrealized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194"/>
              <w:spacing w:after="0" w:line="160" w:lineRule="exact"/>
              <w:rPr>
                <w:sz w:val="20"/>
                <w:szCs w:val="20"/>
                <w:color w:val="auto"/>
              </w:rPr>
            </w:pPr>
            <w:r>
              <w:rPr>
                <w:rFonts w:ascii="Arial" w:cs="Arial" w:eastAsia="Arial" w:hAnsi="Arial"/>
                <w:sz w:val="14"/>
                <w:szCs w:val="14"/>
                <w:b w:val="1"/>
                <w:bCs w:val="1"/>
                <w:color w:val="auto"/>
              </w:rPr>
              <w:t>Estimated</w:t>
            </w:r>
          </w:p>
        </w:tc>
      </w:tr>
      <w:tr>
        <w:trPr>
          <w:trHeight w:val="185"/>
        </w:trPr>
        <w:tc>
          <w:tcPr>
            <w:tcW w:w="51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Level 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10,152</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10,152</w:t>
            </w:r>
          </w:p>
        </w:tc>
      </w:tr>
      <w:tr>
        <w:trPr>
          <w:trHeight w:val="230"/>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Level 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29,168</w:t>
            </w:r>
          </w:p>
        </w:tc>
      </w:tr>
      <w:tr>
        <w:trPr>
          <w:trHeight w:val="229"/>
        </w:trPr>
        <w:tc>
          <w:tcPr>
            <w:tcW w:w="5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Level 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27,621</w:t>
            </w: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U.S. Government agency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12,051</w:t>
            </w: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Level 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1,223</w:t>
            </w:r>
          </w:p>
        </w:tc>
      </w:tr>
      <w:tr>
        <w:trPr>
          <w:trHeight w:val="229"/>
        </w:trPr>
        <w:tc>
          <w:tcPr>
            <w:tcW w:w="5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U.S. Government agency securities</w:t>
            </w:r>
          </w:p>
        </w:tc>
        <w:tc>
          <w:tcPr>
            <w:tcW w:w="1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Level 2</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1,996</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82,585</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(380 )</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82,211</w:t>
            </w:r>
          </w:p>
        </w:tc>
      </w:tr>
      <w:tr>
        <w:trPr>
          <w:trHeight w:val="20"/>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-179070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-179070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-179070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pacing w:after="0" w:line="15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 classifies its investments in commercial paper, corporate debt securities, U.S. government agency securities and asset-backed securities as Level 2 within the fair value hierarchy. The fair values of these investments are estimated by taking into consideration valuations obtained from third-party pricing services. The pricing services utilize industry standard valuation models, including both income-and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year ended December 31, 2023.</w:t>
      </w:r>
    </w:p>
    <w:p>
      <w:pPr>
        <w:spacing w:after="0" w:line="185"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As of December 31, 2023, none of the Company’s available-for-sale investments that were in an unrealized loss position had been in an unrealized loss position for more than 12 months. During the years ended December 31, 2023 and 2022, the Company did not sell any available-for-sale investments.</w:t>
      </w:r>
    </w:p>
    <w:p>
      <w:pPr>
        <w:spacing w:after="0" w:line="169"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 Company’s short-term investments had maturities of less than one year from the balance sheet date. The Company’s long-term investments had maturities of between one and two years from the balance sheet date.</w:t>
      </w:r>
    </w:p>
    <w:p>
      <w:pPr>
        <w:spacing w:after="0" w:line="154"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Company does not intend to sell the securities in an unrealized loss position and does not expect they will be required to sell the securities before recovery of the unamortized cost basis. Additionally, the Company evaluated its securities for credit losses and considered the decline in market value to be primarily attributable to current economic and market conditions and not credit related. Accordingly, no allowance for credit losses has been recognized as of December 31, 2023 and 2022. During the years ended December 31, 2023 and 2022, the Company did not recognize any impairment losses related to investments.</w:t>
      </w:r>
    </w:p>
    <w:p>
      <w:pPr>
        <w:spacing w:after="0" w:line="176"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As of December 31, 2023 and 2022, the Company had accrued interest receivable of $0.4 million and $0.2 million, respectively, which was included in prepaid expenses and other current assets on the balance sheets.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Funding Arrangements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Contract</w:t>
      </w:r>
    </w:p>
    <w:p>
      <w:pPr>
        <w:spacing w:after="0" w:line="102"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In September 2022, the Company received a cost-reimbursed contract award from the NIAID to support preclinical, Phase 1 studies and other activities to enable the advancement of epetraborole into late-stage development for acute systemic melioidosis and other biothreat pathogens. The Company can receive up to $17.8 million in funding over a total term of 48 months, consisting of a base period and seven option periods. In July 2023, the NIAID exercised one of seven available options under the NIAID contract (No: 75N93022C00059), resulting in an increase in committed contract funding of $0.7 million, for a total of $5.0 million. Funding for this option extends the estimated completion of the contract by 13 months beyond the base period of 18 months (April 2025). As of December 31, 2023, a total of $5.0 million of funding for the 18-month base period plus an additional 13 months for a total of 31 months has been committed.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0" w:name="page121"/>
    <w:bookmarkEnd w:id="120"/>
    <w:p>
      <w:pPr>
        <w:jc w:val="center"/>
        <w:ind w:right="-5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329"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During the year ended December 31, 2023, the Company recorded income of $0.9 million as reduction in research and development operating expenses under the NIAID contract, of which $0.5 million was received during the year. As of December 31, 2023, the Company had recorded a receivable of $0.4 million which was included in prepaid expenses and other current assets on the balance sheets. The Company did not recognize any income under this agreement during the year ended December 31, 2022.</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UGARF Grant</w:t>
      </w:r>
    </w:p>
    <w:p>
      <w:pPr>
        <w:spacing w:after="0" w:line="10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September 2022, the Company entered into a subcontract agreement with the UGARF to conduct preclinical activities on behalf of UGARF (“UGARF Agreement”). UGARF reimburses the Company under an award from The Wellcome Trust. The Company is eligible to receive up to $1.4 million from UGARF to support preclinical development of a boron-containing small molecule for Chagas disease. As of December 31, 2023, the Company had recorded a grant receivable of $0.6 million which was included in prepaid expenses and other current assets on the balance sheets. During the year ended December 31, 2023, the Company recorded income of $1.3 million as a reduction in research and development operating expenses under the UGARF agreement. The Company did not recognize any income under this agreement during the year ended December 31,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BMGF Grant</w:t>
      </w:r>
    </w:p>
    <w:p>
      <w:pPr>
        <w:spacing w:after="0" w:line="10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September 2023, the Company received a cost-reimbursement contract award from the Bill and Melinda Gates Foundation (“BMGF Agreement”) under which the Company was awarded $1.8 million to support the discovery of novel, boron containing small molecules for the treatment of tuberculosis and malaria. The Company is required to apply the funds it receives under the BMGF Agreement solely toward direct costs related to this research program. The Company received $1.0 million of funding in advance and tracks and reports eligible expenses incurred to the BMGF. Any unspent funds and any funds spent that have not yet been incurred are recorded as part of other current liabilities on the balance sheets. As of December 31, 2023, the Company had recorded $0.7 million to other current liabilities. During the year ended December 31, 2023, the Company recorded income of $0.3 million as a reduction in research and development operating expenses under the BMGF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Collaboration and License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Anacor Licensing Agreement</w:t>
      </w:r>
    </w:p>
    <w:p>
      <w:pPr>
        <w:spacing w:after="0" w:line="10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November 2019, the Company entered into an exclusive worldwide license agreement with Anacor Pharmaceuticals, Inc. (“Anacor”) for certain compounds and other intellectual property controlled by Anacor for the treatment, diagnosis, or prevention of all human diseases (the “Anacor License”). The Anacor License will expire upon expiration of the last to expire royalty term. Either party may terminate the Anacor License for the other party’s material breach following a cure period or immediately upon certain insolvency events relating to the other party. The Company has the right to terminate the agreement at its convenience upon 90-day written notice until the first regulatory approval or one-year notice thereafter. Furthermore, upon termination of the Anacor License for any of the foregoing reasons, the rights and licenses within will terminate.</w:t>
      </w:r>
    </w:p>
    <w:p>
      <w:pPr>
        <w:spacing w:after="0" w:line="185" w:lineRule="exact"/>
        <w:rPr>
          <w:sz w:val="20"/>
          <w:szCs w:val="20"/>
          <w:color w:val="auto"/>
        </w:rPr>
      </w:pPr>
    </w:p>
    <w:p>
      <w:pPr>
        <w:jc w:val="both"/>
        <w:ind w:right="180" w:firstLine="509"/>
        <w:spacing w:after="0" w:line="241" w:lineRule="auto"/>
        <w:rPr>
          <w:sz w:val="20"/>
          <w:szCs w:val="20"/>
          <w:color w:val="auto"/>
        </w:rPr>
      </w:pPr>
      <w:r>
        <w:rPr>
          <w:rFonts w:ascii="Arial" w:cs="Arial" w:eastAsia="Arial" w:hAnsi="Arial"/>
          <w:sz w:val="18"/>
          <w:szCs w:val="18"/>
          <w:color w:val="auto"/>
        </w:rPr>
        <w:t>In exchange for the worldwide, sublicensable, exclusive right and licenses to develop, manufacture, and commercialize the specified compounds, the Company paid Anacor a non-refundable $2.0 million upfront payment and granted Anacor shares of Series A redeemable convertible preferred stock.</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3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 agreed to make further payments to Anacor upon achievement of various development milestones for an aggregate maximum of $2.0 million, upon achievement of various commercial and sales threshold milestones for an aggregate maximum payment of $125.0 million, and up to 50% of royalties received under certain sublicensing arrangements. Royalties are subject to certain customary reductions, including lack of patent coverage and generic product entry. The Company also agreed to pay Anacor non-refundable, non-creditable sales royalties on a tiered marginal royalty rate based on the country’s status as a developing or developed country as defined in the license agreement. Sales royalties are a percentage of net sales, as specified in the Anacor License, and range from mid-single digits for developing countries (as classified by the World Bank) and single to mid-teens for all other countries or the China, Hong Kong, Taiwan and Macau territories, upon reaching a minimum of net sales in the low-teen millions. The sales royalties are required to be paid on a product-by-product and country-by-country basis, until the latest to occur of 15 years following the date of first commercial sale of a product, the expiration of all regulatory or data exclusivity, or the date upon of the expiration of the last to expire valid claim of a licensed patent covering such product in such country. Currently, the date of the expiration of the last to expire valid claim of a licensed patent covering epetraborole in the licensed territory is June 2028. In addition, Anacor is entitled to certain milestone payments upon a change of control of the Company.</w:t>
      </w:r>
    </w:p>
    <w:p>
      <w:pPr>
        <w:spacing w:after="0" w:line="183"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In December 2021, the Company entered into an amendment to the Anacor License for certain compounds and other intellectual property controlled by Anacor for the treatment, diagnosis, or prevention of certain bacterial pathogens (the “Anacor License Amendment”). The Anacor License Amendment has no impact on the Anacor License financial terms.</w:t>
      </w:r>
    </w:p>
    <w:p>
      <w:pPr>
        <w:spacing w:after="0" w:line="169" w:lineRule="exact"/>
        <w:rPr>
          <w:sz w:val="20"/>
          <w:szCs w:val="20"/>
          <w:color w:val="auto"/>
        </w:rPr>
      </w:pPr>
    </w:p>
    <w:p>
      <w:pPr>
        <w:ind w:right="340" w:firstLine="509"/>
        <w:spacing w:after="0" w:line="247" w:lineRule="auto"/>
        <w:rPr>
          <w:sz w:val="20"/>
          <w:szCs w:val="20"/>
          <w:color w:val="auto"/>
        </w:rPr>
      </w:pPr>
      <w:r>
        <w:rPr>
          <w:rFonts w:ascii="Arial" w:cs="Arial" w:eastAsia="Arial" w:hAnsi="Arial"/>
          <w:sz w:val="18"/>
          <w:szCs w:val="18"/>
          <w:color w:val="auto"/>
        </w:rPr>
        <w:t>None of the development, regulatory, commercial or sales milestones or royalty payments were recognized during the year ended December 31, 2023. As a result, the Company did not record any research and development expense—related party in the statements of operations for the year ended December 31, 2023. During the year ended December 31, 2022, the Company recorded $1.0 million in research and development expense—related party to Anacor upon the achievement of development milestones.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Brii Biosciences Agreement</w:t>
      </w:r>
    </w:p>
    <w:p>
      <w:pPr>
        <w:spacing w:after="0" w:line="102"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In November 2019, the Company entered into a license agreement granting Brii Biosciences Limited the exclusive development and commercialization rights of certain compounds in China, Hong Kong, Taiwan, and Macau for the treatment of human diseases. The Company did not receive an upfront payment but is eligible to receive up to $15.0 million in the aggregate for development and regulatory milestones and up to $150.0 million in commercial milestones upon achieving sales thresholds. The Company is also entitled to tiered mid-single digits to high-first decile percentage sales-based royalties. The sales royalties are required to be paid on a product-by-product and region- by-region basis, until the latest to occur of 15 years following the date of first commercial sale of a product, the expiration of all regulatory or data exclusivity, or the date upon the expiration of the last to expire claim of a licensed patent covering the composition of matter or approved use of such product in such region. The last to expire valid claim of a licensed patent covering the composition of matter or approved use of such product in the licensed territory is June 2028. Future milestone payments and royalties will be accounted for under ASC 606.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104"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In May 2021, the Company entered into an operating lease agreement for its principal office in Menlo Park, California. In September 2021, the lease was amended to extend the term to expire in August 2022. In July 2022, the lease was amended to exercise a renewal option and extend the term to expire in August 2023. In July 2023, the lease was further amended to exercise a renewal option and extend the term to expire in August 2024. At the time of amendment, the Company determined that this lease meets the criteria for a short-term lease. Under the lease agreement, the Company has one additional 12-month renewal option through August 2025.</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not entered into any finance lease agreements as of December 31, 2023.</w:t>
      </w:r>
    </w:p>
    <w:p>
      <w:pPr>
        <w:spacing w:after="0" w:line="1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total lease expense during the year ended December 31, 2023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4080" w:type="dxa"/>
            <w:vAlign w:val="bottom"/>
          </w:tcPr>
          <w:p>
            <w:pPr>
              <w:spacing w:after="0"/>
              <w:rPr>
                <w:sz w:val="14"/>
                <w:szCs w:val="14"/>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rPr>
              <w:t>Statements of Operations and Comprehensive</w:t>
            </w:r>
          </w:p>
        </w:tc>
        <w:tc>
          <w:tcPr>
            <w:tcW w:w="14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408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 Classification</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35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Operating expenses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Short-term lease expense</w:t>
            </w:r>
          </w:p>
        </w:tc>
        <w:tc>
          <w:tcPr>
            <w:tcW w:w="3560" w:type="dxa"/>
            <w:vAlign w:val="bottom"/>
          </w:tcPr>
          <w:p>
            <w:pPr>
              <w:jc w:val="cente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r>
      <w:tr>
        <w:trPr>
          <w:trHeight w:val="263"/>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expense</w:t>
            </w:r>
          </w:p>
        </w:tc>
        <w:tc>
          <w:tcPr>
            <w:tcW w:w="35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ind w:right="680" w:firstLine="509"/>
        <w:spacing w:after="0" w:line="271" w:lineRule="auto"/>
        <w:rPr>
          <w:sz w:val="20"/>
          <w:szCs w:val="20"/>
          <w:color w:val="auto"/>
        </w:rPr>
      </w:pPr>
      <w:r>
        <w:rPr>
          <w:rFonts w:ascii="Arial" w:cs="Arial" w:eastAsia="Arial" w:hAnsi="Arial"/>
          <w:sz w:val="18"/>
          <w:szCs w:val="18"/>
          <w:color w:val="auto"/>
        </w:rPr>
        <w:t>The Company paid $50 thousand and $80 thousand in operating cash flows from operating leases for amounts included in the measurement of liabilities during the years ended December 31, 2023 and 2022, respectively.</w:t>
      </w:r>
    </w:p>
    <w:p>
      <w:pPr>
        <w:spacing w:after="0" w:line="154" w:lineRule="exact"/>
        <w:rPr>
          <w:sz w:val="20"/>
          <w:szCs w:val="20"/>
          <w:color w:val="auto"/>
        </w:rPr>
      </w:pPr>
    </w:p>
    <w:p>
      <w:pPr>
        <w:ind w:right="560" w:firstLine="509"/>
        <w:spacing w:after="0" w:line="271" w:lineRule="auto"/>
        <w:rPr>
          <w:sz w:val="20"/>
          <w:szCs w:val="20"/>
          <w:color w:val="auto"/>
        </w:rPr>
      </w:pPr>
      <w:r>
        <w:rPr>
          <w:rFonts w:ascii="Arial" w:cs="Arial" w:eastAsia="Arial" w:hAnsi="Arial"/>
          <w:sz w:val="18"/>
          <w:szCs w:val="18"/>
          <w:color w:val="auto"/>
        </w:rPr>
        <w:t>As of December 31, 2023, all leases were determined to be short-term leases. As of December 31, 2022, the weighted-average remaining lease term and discount rate for operating leases was 0.67 years and 5.1%,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Components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69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development-related expenses</w:t>
            </w:r>
          </w:p>
        </w:tc>
        <w:tc>
          <w:tcPr>
            <w:tcW w:w="90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6,555</w:t>
            </w:r>
          </w:p>
        </w:tc>
        <w:tc>
          <w:tcPr>
            <w:tcW w:w="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2,517</w:t>
            </w: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Accrued professional services expenses</w:t>
            </w:r>
          </w:p>
        </w:tc>
        <w:tc>
          <w:tcPr>
            <w:tcW w:w="900" w:type="dxa"/>
            <w:vAlign w:val="bottom"/>
          </w:tcPr>
          <w:p>
            <w:pPr>
              <w:spacing w:after="0"/>
              <w:rPr>
                <w:sz w:val="19"/>
                <w:szCs w:val="19"/>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198</w:t>
            </w:r>
          </w:p>
        </w:tc>
      </w:tr>
      <w:tr>
        <w:trPr>
          <w:trHeight w:val="230"/>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122</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6,681</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2,837</w:t>
            </w:r>
          </w:p>
        </w:tc>
      </w:tr>
      <w:tr>
        <w:trPr>
          <w:trHeight w:val="20"/>
        </w:trPr>
        <w:tc>
          <w:tcPr>
            <w:tcW w:w="6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-179705</wp:posOffset>
            </wp:positionV>
            <wp:extent cx="1028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02"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The Company was not subject to any material legal proceedings as of December 31, 2023 and 2022, and the Company is not currently a party to any legal proceeding that, if determined adversely to the Company, in management’s opinion, is currently expected to individually or in the aggregate have a material adverse effect on the Company’s business, financial condition or results of operations taken as a whole.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0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 as permitted under Delaware law and in accordance with its certification of incorporation, as amended, and bylaws, and pursuant to indemnification agreements with certain of its officers and directors, indemnifies its officers and directors for certain events or occurrences, subject to certain limits, which the officer or director is or was serving at the Company’s request in such capacity. The term of the indemnification period lasts as long as an officer or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limits the Company’s exposure and may enable it to recover a portion of any future amounts paid. The Company believes that the fair value of these indemnification obligations is minimal. Accordingly, the Company has not recognized any liabilities relating to these obligations for any period presented.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Adjuvant Global Health Agreement</w:t>
      </w:r>
    </w:p>
    <w:p>
      <w:pPr>
        <w:spacing w:after="0" w:line="102"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In conjunction with Adjuvant Global Health Technology Fund L.P.’s (“Adjuvant”) investment in the Company’s Series A redeemable convertible preferred stock financing in 2019 and 2020, the Company entered into a Global Health Agreement with Adjuvant, pursuant to which the Company agreed to support the creation of innovative and affordable drugs to treat disease, through public health programs and private purchasers in Low and Lower-Middle-Income Countries (as such terms are defined by the World Bank and in the agreement).</w:t>
      </w:r>
    </w:p>
    <w:p>
      <w:pPr>
        <w:spacing w:after="0" w:line="174"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Adjuvant’s investment supports the development of the Company’s product candidate, epetraborole, for use in melioidosis-endemic and melioidosis-at-risk countries as defined in the agreement. These global access commitments became effective as of the Series A redeemable convertible preferred stock financing closing date and will remain in effect until the latter of either that Adjuvant ceases to be a shareholder of the Company, or ten years following epetraborole approval for the treatment of melioidosis by a regulatory authority.</w:t>
      </w:r>
    </w:p>
    <w:p>
      <w:pPr>
        <w:spacing w:after="0" w:line="17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Global Health Agreement contains various affirmative and negative covenants agreed to by the Company, including its use of reasonably diligent endeavors to develop the agreed-upon products using non-dilutive funding and make accessible to people in need in the target countries so long as the Company does not sell products at a loss. Other covenants include prohibition of use of investment for propaganda, attempt to influence legislation, influence of any public election or voter registration drive or promotion of terrorist activities, as well as compliance with certain environmental, social and governance requirements and anti-corruption requirements. If the Company does not maintain compliance with these non-financial covenants, Adjuvant may be entitled to repayment for any portion of its investment that is not used for the purposes outlined in the Global Health Agreement.</w:t>
      </w:r>
    </w:p>
    <w:p>
      <w:pPr>
        <w:spacing w:after="0" w:line="185"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In conjunction with Adjuvant’s investment in the Company’s Series B redeemable convertible preferred stock financing in 2021, the Company entered into an Amended and Restated Global Health Agreement (the “Adjuvant Amendment”). The Adjuvant Amendment expands Adjuvant’s investment support to include the development of the Company’s product candidate, epetraborole, for use in tuberculosis-endemic and tuberculosis-at-risk countries as defined in the agreement.</w:t>
      </w:r>
    </w:p>
    <w:p>
      <w:pPr>
        <w:spacing w:after="0" w:line="17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connection with Adjuvant’s investment in the Company’s common stock as part of the IPO, the Company entered into an Amended and Restated Global Health Agreement dated March 24, 2022 (the “Adjuvant IPO Amendment”). As part of the Adjuvant IPO Amendment, Adjuvant purchased 166,666 shares of the Company's common stock in March 2022 for a total additional investment of $2.5 million, which is subject to Adjuvant’s right of repayment should the Company not utilize the proceeds from Adjuvant’s investment towards the agreed-upon purpose. The Company has complied with all applicable covenants as of December 31, 2023. As of December 31, 2023, the $2.5 million of proceeds from Adjuvant’s IPO investment, as well as the proceeds from Adjuvant’s Series A and B redeemable convertible preferred stock investments, were fully utilized to support the epetraborole development program, which overlaps with the melioidosis and other global health development programs.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02"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The Company’s certificate of incorporation, as amended, authorizes the Company to issue up to 500,000,000 shares of $0.00001 par value common stock. Holders of common stock are entitled to one vote per share on all matters to be voted upon by the stockholders of the Company.</w:t>
      </w:r>
    </w:p>
    <w:p>
      <w:pPr>
        <w:spacing w:after="0" w:line="169"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Subject to the preferences that may be applicable to any outstanding shares of preferred stock, the holders of common stock are entitled to receive ratably such dividends, if any, as may be declared by the Board. No dividends have been declared to date.</w:t>
      </w:r>
    </w:p>
    <w:p>
      <w:pPr>
        <w:spacing w:after="0" w:line="15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On April 6, 2023, the Company entered into a Sales Agreement with Cowen and Company, LLC as the Company’s Agent, to issue and sell up to an aggregate gross sales of $100.0 million in Shares of the Company’s common stock through the ATM Offering. During the year ended December 31, 2023, the Company issued and sold 2,502,000 shares of common stock under the ATM program, resulting in net proceeds of $19.1 million, after deducting commissions and other offering costs.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37"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On August 15, 2023, the Company entered into an Underwriting Agreement with Cowen and Company, LLC, Leerink Partners LLC and Evercore Group L.L.C. as representatives of several underwriters to issue and sell 7,777,778 shares of common stock at an offering price of $9.00 per share through the Underwritten Offering, resulting in net proceeds of $65.5 million, after deducting commissions and other offering costs.</w:t>
      </w:r>
    </w:p>
    <w:p>
      <w:pPr>
        <w:spacing w:after="0" w:line="17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Shares of common stock reserved for future issuance, on an as-if-converted basis, as of December 31, 2023 and 2022, consists of the following:</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19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3"/>
        </w:trPr>
        <w:tc>
          <w:tcPr>
            <w:tcW w:w="6140" w:type="dxa"/>
            <w:vAlign w:val="bottom"/>
          </w:tcPr>
          <w:p>
            <w:pPr>
              <w:spacing w:after="0"/>
              <w:rPr>
                <w:sz w:val="15"/>
                <w:szCs w:val="15"/>
                <w:color w:val="auto"/>
              </w:rPr>
            </w:pPr>
          </w:p>
        </w:tc>
        <w:tc>
          <w:tcPr>
            <w:tcW w:w="13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issued and outstanding</w:t>
            </w:r>
          </w:p>
        </w:tc>
        <w:tc>
          <w:tcPr>
            <w:tcW w:w="13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3,930,306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2,796,241</w:t>
            </w: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Stock options, authorized for future issuance</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1,254,721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1,627,680</w:t>
            </w:r>
          </w:p>
        </w:tc>
      </w:tr>
      <w:tr>
        <w:trPr>
          <w:trHeight w:val="229"/>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ESPP, authorized for future issuance</w:t>
            </w:r>
          </w:p>
        </w:tc>
        <w:tc>
          <w:tcPr>
            <w:tcW w:w="13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337,017</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187,000</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5,522,044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4,610,921</w:t>
            </w:r>
          </w:p>
        </w:tc>
      </w:tr>
      <w:tr>
        <w:trPr>
          <w:trHeight w:val="20"/>
        </w:trPr>
        <w:tc>
          <w:tcPr>
            <w:tcW w:w="6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-179705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2"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The Company’s certificate of incorporation, as amended, authorizes the Company to issue up to 10,000,000 shares of $0.00001 par value preferred stock. The preferred stock is not convertible. No shares of preferred stock were issued and outstanding at December 31, 2023 and 2022.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 Incentive Plan and Stock-Based Compensation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Equity Incentive Plan</w:t>
      </w:r>
    </w:p>
    <w:p>
      <w:pPr>
        <w:spacing w:after="0" w:line="102"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Company adopted the 2022 Equity Incentive Plan (the “2022 Plan”) effective upon the closing of the IPO, which provides for the granting of incentive stock options (“ISOs”) to the Company's employees, and for the grant of nonstatutory stock options (“NSOs”), stock appreciation rights, restricted stock awards, restricted stock unit awards, performance awards, and other forms of awards to employees, directors, and consultants. As of December 31, 2023, no stock appreciation rights, restricted stock awards, restricted stock unit awards or performance awards were issued.</w:t>
      </w:r>
    </w:p>
    <w:p>
      <w:pPr>
        <w:spacing w:after="0" w:line="176"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Company initially reserved for issuance 1,870,000 new shares of common stock pursuant to the 2022 Plan. The Company’s 2017 Equity Incentive Plan (the “2017 Plan”) was terminated in 2022; however, shares underlying outstanding stock awards granted under the 2017 Plan will continue to be governed by the 2017 Plan. Shares available under the 2017 Plan were added to the available shares in the 2022 Plan. Shares underlying outstanding stock awards granted under the 2017 Plan that expire or are repurchased by, forfeited to, cancelled or withheld by the Company will also be reserved for issuance under the 2022 Plan.</w:t>
      </w:r>
    </w:p>
    <w:p>
      <w:pPr>
        <w:spacing w:after="0" w:line="17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maximum number of shares of the Company’s common stock that may be issued under the 2022 Plan will not exceed 4,423,920 shares of the Company's common stock, which is the sum of (i) 1,870,000 new shares, plus (ii) 2,553,920 shares related to the 2017 Plan. In addition, the number of shares of the Company’s common stock reserved for issuance under the 2022 Plan will automatically increase on January 1 of each year for a period of ten years, beginning on January 1, 2023 and continuing through January 1, 2032, in an amount equal to (1) 4% of the total number of shares of the Company’s common stock outstanding on December 31 of the immediately preceding year, or</w:t>
      </w:r>
    </w:p>
    <w:p>
      <w:pPr>
        <w:spacing w:after="0" w:line="4" w:lineRule="exact"/>
        <w:rPr>
          <w:sz w:val="20"/>
          <w:szCs w:val="20"/>
          <w:color w:val="auto"/>
        </w:rPr>
      </w:pPr>
    </w:p>
    <w:p>
      <w:pPr>
        <w:ind w:firstLine="8"/>
        <w:spacing w:after="0" w:line="279" w:lineRule="auto"/>
        <w:tabs>
          <w:tab w:leader="none" w:pos="27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lesser number of shares determined by the Board no later than December 31 of the immediately preceding year. The maximum number of shares of the Company's common stock that may be issued on the exercise of stock options under the 2022 Plan is 13,271,760 shares.</w:t>
      </w:r>
    </w:p>
    <w:p>
      <w:pPr>
        <w:spacing w:after="0" w:line="149" w:lineRule="exact"/>
        <w:rPr>
          <w:sz w:val="20"/>
          <w:szCs w:val="20"/>
          <w:color w:val="auto"/>
        </w:rPr>
      </w:pPr>
    </w:p>
    <w:p>
      <w:pPr>
        <w:ind w:right="280" w:firstLine="509"/>
        <w:spacing w:after="0" w:line="259" w:lineRule="auto"/>
        <w:rPr>
          <w:sz w:val="20"/>
          <w:szCs w:val="20"/>
          <w:color w:val="auto"/>
        </w:rPr>
      </w:pPr>
      <w:r>
        <w:rPr>
          <w:rFonts w:ascii="Arial" w:cs="Arial" w:eastAsia="Arial" w:hAnsi="Arial"/>
          <w:sz w:val="17"/>
          <w:szCs w:val="17"/>
          <w:color w:val="auto"/>
        </w:rPr>
        <w:t>Since the date of incorporation and through December 31, 2023, the Company issued stock options to its employees, directors and consultants. As of December 31, 2023, 1,254,721 shares of common stock remained available for future issuance under the 2022 Plan.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37"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ISOs granted to newly hired employees under the 2022 Plan generally vest 25% after the completion of 12 months of service, and the balance vests in equal monthly installments over the next 36 months of service and expire ten years from the grant date, unless subject to provisions regarding 10% stockholders. ISOs granted to existing employees generally vest ratably over a 48-month period of service and expire ten years from the grant date. NSOs vest in accordance with the terms of the specific agreement under which the options were provided and expire ten years from the date of grant.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2"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Company’s statements of operations and comprehensive loss during the years ended December 31, 2023 and 2022 (in thousands):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4,236</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1,688</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4,176</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2,703</w:t>
            </w:r>
          </w:p>
        </w:tc>
      </w:tr>
      <w:tr>
        <w:trPr>
          <w:trHeight w:val="263"/>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8,412</w:t>
            </w: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4,391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-25400</wp:posOffset>
            </wp:positionV>
            <wp:extent cx="939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939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Stock Options</w:t>
      </w:r>
    </w:p>
    <w:p>
      <w:pPr>
        <w:spacing w:after="0" w:line="102"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 Company estimated the fair value of stock options using the Black-Scholes option pricing model. The fair value of employee and non-employee stock options is being amortized on the straight-line basis over the requisite service period of the awards.</w:t>
      </w:r>
    </w:p>
    <w:p>
      <w:pPr>
        <w:spacing w:after="0" w:line="154"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Black-Scholes option pricing model requires the use of highly subjective assumptions which determine the fair value of stock-based awards. These assumptions include:</w:t>
      </w:r>
    </w:p>
    <w:p>
      <w:pPr>
        <w:spacing w:after="0" w:line="46" w:lineRule="exact"/>
        <w:rPr>
          <w:sz w:val="20"/>
          <w:szCs w:val="20"/>
          <w:color w:val="auto"/>
        </w:rPr>
      </w:pPr>
    </w:p>
    <w:p>
      <w:pPr>
        <w:ind w:left="1020" w:right="460" w:hanging="503"/>
        <w:spacing w:after="0" w:line="252" w:lineRule="auto"/>
        <w:tabs>
          <w:tab w:leader="none" w:pos="10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Expected Term—The expected term represents the period that stock-based awards are expected to be outstanding. The expected term for option grants is determined using the simplified method. The simplified method deems the term to be the average of the time-to-vesting and the contractual term of the stock-based awards.</w:t>
      </w:r>
    </w:p>
    <w:p>
      <w:pPr>
        <w:spacing w:after="0" w:line="62" w:lineRule="exact"/>
        <w:rPr>
          <w:rFonts w:ascii="Times New Roman" w:cs="Times New Roman" w:eastAsia="Times New Roman" w:hAnsi="Times New Roman"/>
          <w:sz w:val="18"/>
          <w:szCs w:val="18"/>
          <w:color w:val="auto"/>
        </w:rPr>
      </w:pPr>
    </w:p>
    <w:p>
      <w:pPr>
        <w:jc w:val="both"/>
        <w:ind w:left="1020" w:right="80" w:hanging="503"/>
        <w:spacing w:after="0" w:line="252" w:lineRule="auto"/>
        <w:tabs>
          <w:tab w:leader="none" w:pos="10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Expected Volatility—Since the Company has limited trading history for its common stock, the expected volatility is based on the average volatility for comparable publicly traded biotechnology companies over a period equal to the expected term of the stock option grants. The comparable companies were chosen based on their similar size, stage in the life cycle and area of specialty.</w:t>
      </w:r>
    </w:p>
    <w:p>
      <w:pPr>
        <w:spacing w:after="0" w:line="62"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Risk-Free Interest Rate—The risk-free interest rate is based on the U.S. Treasury zero-coupon issues in effect at the time of grant for periods corresponding with the expected term of option.</w:t>
      </w:r>
    </w:p>
    <w:p>
      <w:pPr>
        <w:spacing w:after="0" w:line="4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color w:val="auto"/>
        </w:rPr>
        <w:t>Expected Dividend Rate—The Company has never paid dividends on its common stock and has no plans to pay dividends on its common stock. Therefore, the Company used an expected dividend yield of zero.</w:t>
      </w:r>
    </w:p>
    <w:p>
      <w:pPr>
        <w:spacing w:after="0" w:line="154"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For options granted to non-employee consultants, the fair value of these options is also remeasured using the Black-Scholes option pricing model reflecting the same assumptions as applied to employee options in each of the reported periods, other than the expected term, which is assumed to be the remaining contractual term of the option.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weighted average assumptions were used to value options granted during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1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250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1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2022</w:t>
            </w:r>
          </w:p>
        </w:tc>
        <w:tc>
          <w:tcPr>
            <w:tcW w:w="1120" w:type="dxa"/>
            <w:vAlign w:val="bottom"/>
          </w:tcPr>
          <w:p>
            <w:pPr>
              <w:spacing w:after="0"/>
              <w:rPr>
                <w:sz w:val="16"/>
                <w:szCs w:val="16"/>
                <w:color w:val="auto"/>
              </w:rPr>
            </w:pPr>
          </w:p>
        </w:tc>
      </w:tr>
      <w:tr>
        <w:trPr>
          <w:trHeight w:val="223"/>
        </w:trPr>
        <w:tc>
          <w:tcPr>
            <w:tcW w:w="114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30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5.98 years</w:t>
            </w:r>
          </w:p>
        </w:tc>
        <w:tc>
          <w:tcPr>
            <w:tcW w:w="138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5.94 years</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Expected volatility</w:t>
            </w:r>
          </w:p>
        </w:tc>
        <w:tc>
          <w:tcPr>
            <w:tcW w:w="4500" w:type="dxa"/>
            <w:vAlign w:val="bottom"/>
            <w:gridSpan w:val="3"/>
          </w:tcPr>
          <w:p>
            <w:pPr>
              <w:jc w:val="right"/>
              <w:ind w:right="20"/>
              <w:spacing w:after="0"/>
              <w:rPr>
                <w:sz w:val="20"/>
                <w:szCs w:val="20"/>
                <w:color w:val="auto"/>
              </w:rPr>
            </w:pPr>
            <w:r>
              <w:rPr>
                <w:rFonts w:ascii="Arial" w:cs="Arial" w:eastAsia="Arial" w:hAnsi="Arial"/>
                <w:sz w:val="18"/>
                <w:szCs w:val="18"/>
                <w:color w:val="auto"/>
              </w:rPr>
              <w:t>90.8 %</w:t>
            </w:r>
          </w:p>
        </w:tc>
        <w:tc>
          <w:tcPr>
            <w:tcW w:w="2500" w:type="dxa"/>
            <w:vAlign w:val="bottom"/>
            <w:gridSpan w:val="2"/>
          </w:tcPr>
          <w:p>
            <w:pPr>
              <w:jc w:val="right"/>
              <w:ind w:right="1040"/>
              <w:spacing w:after="0"/>
              <w:rPr>
                <w:sz w:val="20"/>
                <w:szCs w:val="20"/>
                <w:color w:val="auto"/>
              </w:rPr>
            </w:pPr>
            <w:r>
              <w:rPr>
                <w:rFonts w:ascii="Arial" w:cs="Arial" w:eastAsia="Arial" w:hAnsi="Arial"/>
                <w:sz w:val="18"/>
                <w:szCs w:val="18"/>
                <w:color w:val="auto"/>
              </w:rPr>
              <w:t>83.4 %</w:t>
            </w:r>
          </w:p>
        </w:tc>
      </w:tr>
      <w:tr>
        <w:trPr>
          <w:trHeight w:val="229"/>
        </w:trPr>
        <w:tc>
          <w:tcPr>
            <w:tcW w:w="114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500" w:type="dxa"/>
            <w:vAlign w:val="bottom"/>
            <w:gridSpan w:val="3"/>
          </w:tcPr>
          <w:p>
            <w:pPr>
              <w:jc w:val="right"/>
              <w:ind w:right="20"/>
              <w:spacing w:after="0"/>
              <w:rPr>
                <w:sz w:val="20"/>
                <w:szCs w:val="20"/>
                <w:color w:val="auto"/>
              </w:rPr>
            </w:pPr>
            <w:r>
              <w:rPr>
                <w:rFonts w:ascii="Arial" w:cs="Arial" w:eastAsia="Arial" w:hAnsi="Arial"/>
                <w:sz w:val="18"/>
                <w:szCs w:val="18"/>
                <w:color w:val="auto"/>
              </w:rPr>
              <w:t>4.04 %</w:t>
            </w:r>
          </w:p>
        </w:tc>
        <w:tc>
          <w:tcPr>
            <w:tcW w:w="2500" w:type="dxa"/>
            <w:vAlign w:val="bottom"/>
            <w:gridSpan w:val="2"/>
          </w:tcPr>
          <w:p>
            <w:pPr>
              <w:jc w:val="right"/>
              <w:ind w:right="1040"/>
              <w:spacing w:after="0"/>
              <w:rPr>
                <w:sz w:val="20"/>
                <w:szCs w:val="20"/>
                <w:color w:val="auto"/>
              </w:rPr>
            </w:pPr>
            <w:r>
              <w:rPr>
                <w:rFonts w:ascii="Arial" w:cs="Arial" w:eastAsia="Arial" w:hAnsi="Arial"/>
                <w:sz w:val="18"/>
                <w:szCs w:val="18"/>
                <w:color w:val="auto"/>
              </w:rPr>
              <w:t>3.07 %</w:t>
            </w:r>
          </w:p>
        </w:tc>
      </w:tr>
      <w:tr>
        <w:trPr>
          <w:trHeight w:val="239"/>
        </w:trPr>
        <w:tc>
          <w:tcPr>
            <w:tcW w:w="114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0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right"/>
              <w:ind w:right="1220"/>
              <w:spacing w:after="0"/>
              <w:rPr>
                <w:sz w:val="20"/>
                <w:szCs w:val="20"/>
                <w:color w:val="auto"/>
              </w:rPr>
            </w:pPr>
            <w:r>
              <w:rPr>
                <w:rFonts w:ascii="Arial" w:cs="Arial" w:eastAsia="Arial" w:hAnsi="Arial"/>
                <w:sz w:val="18"/>
                <w:szCs w:val="18"/>
                <w:color w:val="auto"/>
              </w:rPr>
              <w:t>—</w:t>
            </w:r>
          </w:p>
        </w:tc>
      </w:tr>
      <w:tr>
        <w:trPr>
          <w:trHeight w:val="427"/>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500" w:type="dxa"/>
            <w:vAlign w:val="bottom"/>
            <w:gridSpan w:val="3"/>
          </w:tcPr>
          <w:p>
            <w:pPr>
              <w:jc w:val="right"/>
              <w:ind w:right="2940"/>
              <w:spacing w:after="0"/>
              <w:rPr>
                <w:sz w:val="20"/>
                <w:szCs w:val="20"/>
                <w:color w:val="auto"/>
              </w:rPr>
            </w:pPr>
            <w:r>
              <w:rPr>
                <w:rFonts w:ascii="Arial" w:cs="Arial" w:eastAsia="Arial" w:hAnsi="Arial"/>
                <w:sz w:val="18"/>
                <w:szCs w:val="18"/>
                <w:color w:val="auto"/>
              </w:rPr>
              <w:t>F-22</w:t>
            </w: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45"/>
        </w:trPr>
        <w:tc>
          <w:tcPr>
            <w:tcW w:w="11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-1053465</wp:posOffset>
            </wp:positionV>
            <wp:extent cx="5700395" cy="145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 Activity</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stock plan activity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8"/>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75"/>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320" w:type="dxa"/>
            <w:vAlign w:val="bottom"/>
          </w:tcPr>
          <w:p>
            <w:pPr>
              <w:jc w:val="right"/>
              <w:ind w:right="195"/>
              <w:spacing w:after="0"/>
              <w:rPr>
                <w:sz w:val="20"/>
                <w:szCs w:val="20"/>
                <w:color w:val="auto"/>
              </w:rPr>
            </w:pPr>
            <w:r>
              <w:rPr>
                <w:rFonts w:ascii="Arial" w:cs="Arial" w:eastAsia="Arial" w:hAnsi="Arial"/>
                <w:sz w:val="14"/>
                <w:szCs w:val="14"/>
                <w:b w:val="1"/>
                <w:bCs w:val="1"/>
                <w:color w:val="auto"/>
              </w:rPr>
              <w:t>Total Options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35"/>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280" w:type="dxa"/>
            <w:vAlign w:val="bottom"/>
          </w:tcPr>
          <w:p>
            <w:pPr>
              <w:jc w:val="center"/>
              <w:ind w:right="68"/>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255"/>
              <w:spacing w:after="0"/>
              <w:rPr>
                <w:sz w:val="20"/>
                <w:szCs w:val="20"/>
                <w:color w:val="auto"/>
              </w:rPr>
            </w:pPr>
            <w:r>
              <w:rPr>
                <w:rFonts w:ascii="Arial" w:cs="Arial" w:eastAsia="Arial" w:hAnsi="Arial"/>
                <w:sz w:val="14"/>
                <w:szCs w:val="14"/>
                <w:b w:val="1"/>
                <w:bCs w:val="1"/>
                <w:color w:val="auto"/>
              </w:rPr>
              <w:t>Aggregate</w:t>
            </w:r>
          </w:p>
        </w:tc>
      </w:tr>
      <w:tr>
        <w:trPr>
          <w:trHeight w:val="185"/>
        </w:trPr>
        <w:tc>
          <w:tcPr>
            <w:tcW w:w="5780" w:type="dxa"/>
            <w:vAlign w:val="bottom"/>
          </w:tcPr>
          <w:p>
            <w:pPr>
              <w:spacing w:after="0"/>
              <w:rPr>
                <w:sz w:val="16"/>
                <w:szCs w:val="16"/>
                <w:color w:val="auto"/>
              </w:rPr>
            </w:pPr>
          </w:p>
        </w:tc>
        <w:tc>
          <w:tcPr>
            <w:tcW w:w="13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6"/>
                <w:szCs w:val="16"/>
                <w:color w:val="auto"/>
              </w:rPr>
            </w:pPr>
          </w:p>
        </w:tc>
        <w:tc>
          <w:tcPr>
            <w:tcW w:w="124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Contractual Life</w:t>
            </w:r>
          </w:p>
        </w:tc>
        <w:tc>
          <w:tcPr>
            <w:tcW w:w="140" w:type="dxa"/>
            <w:vAlign w:val="bottom"/>
          </w:tcPr>
          <w:p>
            <w:pPr>
              <w:spacing w:after="0"/>
              <w:rPr>
                <w:sz w:val="16"/>
                <w:szCs w:val="16"/>
                <w:color w:val="auto"/>
              </w:rPr>
            </w:pPr>
          </w:p>
        </w:tc>
        <w:tc>
          <w:tcPr>
            <w:tcW w:w="124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rPr>
              <w:t>Intrinsic Value</w:t>
            </w: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2,796,241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10.13</w:t>
            </w:r>
          </w:p>
        </w:tc>
        <w:tc>
          <w:tcPr>
            <w:tcW w:w="13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8.81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5,793</w:t>
            </w:r>
          </w:p>
        </w:tc>
      </w:tr>
      <w:tr>
        <w:trPr>
          <w:trHeight w:val="230"/>
        </w:trPr>
        <w:tc>
          <w:tcPr>
            <w:tcW w:w="57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1,224,932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(15,000 )</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57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(75,867 )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2023</w:t>
            </w: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3,930,306</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10.86</w:t>
            </w:r>
          </w:p>
        </w:tc>
        <w:tc>
          <w:tcPr>
            <w:tcW w:w="138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8.14</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37,853</w:t>
            </w:r>
          </w:p>
        </w:tc>
      </w:tr>
      <w:tr>
        <w:trPr>
          <w:trHeight w:val="210"/>
        </w:trPr>
        <w:tc>
          <w:tcPr>
            <w:tcW w:w="5780" w:type="dxa"/>
            <w:vAlign w:val="bottom"/>
          </w:tcPr>
          <w:p>
            <w:pPr>
              <w:ind w:left="20"/>
              <w:spacing w:after="0"/>
              <w:rPr>
                <w:sz w:val="20"/>
                <w:szCs w:val="20"/>
                <w:color w:val="auto"/>
              </w:rPr>
            </w:pPr>
            <w:r>
              <w:rPr>
                <w:rFonts w:ascii="Arial" w:cs="Arial" w:eastAsia="Arial" w:hAnsi="Arial"/>
                <w:sz w:val="18"/>
                <w:szCs w:val="18"/>
                <w:color w:val="auto"/>
              </w:rPr>
              <w:t>Exercisable as of December 31, 2023</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1,847,955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9.34</w:t>
            </w:r>
          </w:p>
        </w:tc>
        <w:tc>
          <w:tcPr>
            <w:tcW w:w="1380" w:type="dxa"/>
            <w:vAlign w:val="bottom"/>
            <w:gridSpan w:val="2"/>
          </w:tcPr>
          <w:p>
            <w:pPr>
              <w:jc w:val="right"/>
              <w:ind w:right="48"/>
              <w:spacing w:after="0"/>
              <w:rPr>
                <w:sz w:val="20"/>
                <w:szCs w:val="20"/>
                <w:color w:val="auto"/>
              </w:rPr>
            </w:pPr>
            <w:r>
              <w:rPr>
                <w:rFonts w:ascii="Arial" w:cs="Arial" w:eastAsia="Arial" w:hAnsi="Arial"/>
                <w:sz w:val="18"/>
                <w:szCs w:val="18"/>
                <w:color w:val="auto"/>
              </w:rPr>
              <w:t>7.53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20,612</w:t>
            </w:r>
          </w:p>
        </w:tc>
      </w:tr>
      <w:tr>
        <w:trPr>
          <w:trHeight w:val="20"/>
        </w:trPr>
        <w:tc>
          <w:tcPr>
            <w:tcW w:w="5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-196850</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-179705</wp:posOffset>
            </wp:positionV>
            <wp:extent cx="857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7"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As of December 31, 2023, there was unrecognized stock-based compensation expense of $18.0 million related to unvested stock options which the Company expects to recognize over a weighted-average period of 2.2 years.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Weighted-average grant-date fair value of the options granted during the year ended December 31, 2023 was $9.53 per share.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Early Exercise of Stock Options</w:t>
      </w:r>
    </w:p>
    <w:p>
      <w:pPr>
        <w:spacing w:after="0" w:line="10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Company’s 2017 Plan permitted early exercise of certain stock options prior to vesting to certain directors, officers, and employees. Any shares issued pursuant to unvested options are restricted and subject to repurchase by the Company until the conditions for vesting are met. The amounts paid for shares purchased under an early exercise of stock options and subject to repurchase by the Company are reported as options subject to repurchase, short and long-term on the balance sheet and is reclassified to common stock and additional paid-in capital as such shares vest. Upon termination of employment of an option-holder, the Company has the right to repurchase, at the original purchase price, any unvested options.</w:t>
      </w:r>
    </w:p>
    <w:p>
      <w:pPr>
        <w:spacing w:after="0" w:line="17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As of December 31, 2023, there were 5,040 unvested common shares outstanding that were issued upon the early exercise of stock options prior to the vesting of the underlying shares which are subject to repurchase by the Company at the original issuance price upon termination of the stockholders’ services. The right to repurchase these shares generally lapses with respect to 25% of the shares underlying the option after one year of service to the Company and 1/48th of the shares underlying the original grant per month for 36 months thereafter. The shares purchased by the option -holders pursuant to the early exercise of stock options are not deemed, for accounting purposes, to be issued until those shares vest. As of December 31, 2023, the Company recorded an insignificant amount of liabilities associated with the cash received for shares issued subject to repurchase rights, recorded within the options subject to repurchase, short-term, and options subject to repurchase, long-term on the Company’s balance sheets.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Employee Stock Purchase Plan</w:t>
      </w:r>
    </w:p>
    <w:p>
      <w:pPr>
        <w:spacing w:after="0" w:line="102"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The Company’s 2022 Employee Stock Purchase Plan (“ESPP”) has two components: a component that is intended to qualify as an “employee stock purchase plan” under Section 423 of the Code (the 423 Component) and a component that is not intended to qualify (the Non-423 Component). The ESPP allows eligible employees to purchase shares of the Company’s common stock at a discount through payroll deductions of up to 15% of their eligible compensation. At the end of each offering period, employees are able to purchase shares at 85% of the lower of the fair market value of the Company’s common stock at the beginning of the offering period or at the end of each applicable purchase period.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7" w:name="page128"/>
    <w:bookmarkEnd w:id="127"/>
    <w:p>
      <w:pPr>
        <w:jc w:val="center"/>
        <w:ind w:right="60"/>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37"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auto"/>
        </w:rPr>
        <w:t>Subject to adjustment in the case of certain capitalization events, 187,000 shares of the Company’s common stock were available for purchase at the adoption of the ESPP. Pursuant to the ESPP, the annual share increase pursuant to the evergreen provision is determined based on the least of (i) 1% of the Company’s common stock outstanding as of December 31 of the immediately preceding year, (ii) 561,000 shares, or (iii) such number of shares as determined by the Board. Accordingly, effective January 1, 2023, the number of shares in the ESPP increased by 194,026 shares, representing 1% of the prior year end’s common stock outstanding</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As of December 31, 2023, 337,017 shares of common stock remained available for issuance under the ESPP.</w:t>
      </w:r>
    </w:p>
    <w:p>
      <w:pPr>
        <w:spacing w:after="0" w:line="176"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color w:val="auto"/>
        </w:rPr>
        <w:t>The Company began recording stock-based compensation expense for its ESPP on October 1, 2022. During the years ended December 31, 2023 and 2022, the Company recognized $0.2 million and $0.1 million, respectively, in stock-based compensation expense related to the ESPP.</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04"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Company is liable for income taxes in the United States. For the years ended December 31, 2023 and 2022, the Company did not have any income for income tax purposes and therefore, no tax liability or expense has been recorded in these financial statements.</w:t>
      </w:r>
    </w:p>
    <w:p>
      <w:pPr>
        <w:spacing w:after="0" w:line="154"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provision for income taxes differs from the tax expense that would result by applying the statutory federal income tax rate to loss before taxes due to the following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tax benefit at statutory rate</w:t>
            </w:r>
          </w:p>
        </w:tc>
        <w:tc>
          <w:tcPr>
            <w:tcW w:w="96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(13,593 )</w:t>
            </w:r>
          </w:p>
        </w:tc>
        <w:tc>
          <w:tcPr>
            <w:tcW w:w="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(8,601 )</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State tax benefit at statutory rate, net of federal tax benefit</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(4,917 )</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(3,053 )</w:t>
            </w: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valuation allowance</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20,047</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12,347</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Research and development tax credits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(2,030 )</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(988 )</w:t>
            </w:r>
          </w:p>
        </w:tc>
      </w:tr>
      <w:tr>
        <w:trPr>
          <w:trHeight w:val="23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493</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295</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-179070</wp:posOffset>
            </wp:positionV>
            <wp:extent cx="1111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reflects the effective income tax rate reconciliation for the ended December 31, 2023 and 2022 (in thousands):</w:t>
      </w:r>
    </w:p>
    <w:p>
      <w:pPr>
        <w:spacing w:after="0" w:line="221"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r>
      <w:tr>
        <w:trPr>
          <w:trHeight w:val="223"/>
        </w:trPr>
        <w:tc>
          <w:tcPr>
            <w:tcW w:w="8760" w:type="dxa"/>
            <w:vAlign w:val="bottom"/>
            <w:gridSpan w:val="2"/>
          </w:tcPr>
          <w:p>
            <w:pPr>
              <w:ind w:left="280"/>
              <w:spacing w:after="0"/>
              <w:rPr>
                <w:sz w:val="20"/>
                <w:szCs w:val="20"/>
                <w:color w:val="auto"/>
              </w:rPr>
            </w:pPr>
            <w:r>
              <w:rPr>
                <w:rFonts w:ascii="Arial" w:cs="Arial" w:eastAsia="Arial" w:hAnsi="Arial"/>
                <w:sz w:val="18"/>
                <w:szCs w:val="18"/>
                <w:color w:val="auto"/>
              </w:rPr>
              <w:t>Statutory rate</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21.0 %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76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-0.7 %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-0.7 %</w:t>
            </w:r>
          </w:p>
        </w:tc>
      </w:tr>
      <w:tr>
        <w:trPr>
          <w:trHeight w:val="229"/>
        </w:trPr>
        <w:tc>
          <w:tcPr>
            <w:tcW w:w="8760" w:type="dxa"/>
            <w:vAlign w:val="bottom"/>
            <w:gridSpan w:val="2"/>
          </w:tcPr>
          <w:p>
            <w:pPr>
              <w:ind w:left="280"/>
              <w:spacing w:after="0"/>
              <w:rPr>
                <w:sz w:val="20"/>
                <w:szCs w:val="20"/>
                <w:color w:val="auto"/>
              </w:rPr>
            </w:pPr>
            <w:r>
              <w:rPr>
                <w:rFonts w:ascii="Arial" w:cs="Arial" w:eastAsia="Arial" w:hAnsi="Arial"/>
                <w:sz w:val="18"/>
                <w:szCs w:val="18"/>
                <w:color w:val="auto"/>
              </w:rPr>
              <w:t>State taxes, net of the federal tax benefit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7.6 %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8760" w:type="dxa"/>
            <w:vAlign w:val="bottom"/>
            <w:gridSpan w:val="2"/>
          </w:tcPr>
          <w:p>
            <w:pPr>
              <w:ind w:left="280"/>
              <w:spacing w:after="0"/>
              <w:rPr>
                <w:sz w:val="20"/>
                <w:szCs w:val="20"/>
                <w:color w:val="auto"/>
              </w:rPr>
            </w:pPr>
            <w:r>
              <w:rPr>
                <w:rFonts w:ascii="Arial" w:cs="Arial" w:eastAsia="Arial" w:hAnsi="Arial"/>
                <w:sz w:val="18"/>
                <w:szCs w:val="18"/>
                <w:color w:val="auto"/>
              </w:rPr>
              <w:t>R&amp;D credit benefit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3.1 %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7680" w:type="dxa"/>
            <w:vAlign w:val="bottom"/>
          </w:tcPr>
          <w:p>
            <w:pPr>
              <w:ind w:left="280"/>
              <w:spacing w:after="0"/>
              <w:rPr>
                <w:sz w:val="20"/>
                <w:szCs w:val="20"/>
                <w:color w:val="auto"/>
              </w:rPr>
            </w:pPr>
            <w:r>
              <w:rPr>
                <w:rFonts w:ascii="Arial" w:cs="Arial" w:eastAsia="Arial" w:hAnsi="Arial"/>
                <w:sz w:val="18"/>
                <w:szCs w:val="18"/>
                <w:color w:val="auto"/>
              </w:rPr>
              <w:t>Change in valuation allowance</w:t>
            </w:r>
          </w:p>
        </w:tc>
        <w:tc>
          <w:tcPr>
            <w:tcW w:w="10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-31.0 %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-30.1 %</w:t>
            </w:r>
          </w:p>
        </w:tc>
      </w:tr>
      <w:tr>
        <w:trPr>
          <w:trHeight w:val="20"/>
        </w:trPr>
        <w:tc>
          <w:tcPr>
            <w:tcW w:w="7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680" w:type="dxa"/>
            <w:vAlign w:val="bottom"/>
          </w:tcPr>
          <w:p>
            <w:pPr>
              <w:ind w:left="28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0.0 %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0.0 %</w:t>
            </w:r>
          </w:p>
        </w:tc>
      </w:tr>
      <w:tr>
        <w:trPr>
          <w:trHeight w:val="20"/>
        </w:trPr>
        <w:tc>
          <w:tcPr>
            <w:tcW w:w="7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6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7"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Recognition of deferred tax assets is appropriate when realization of such assets is more likely than not. Based upon the weight of available positive and negative evidence, which includes the Company’s historical operating performance and the U.S. cumulative net losses in all prior periods, the Company has provided a valuation allowance against its U.S. deferred tax assets. The valuation allowance increased by $20.0 million from December 31, 2022 to December 31, 2023 due to generation of current year net operating losses, capitalization of research and development costs, and research and development credits claimed.</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237" w:lineRule="exact"/>
        <w:rPr>
          <w:sz w:val="20"/>
          <w:szCs w:val="20"/>
          <w:color w:val="auto"/>
        </w:rPr>
      </w:pPr>
    </w:p>
    <w:p>
      <w:pPr>
        <w:ind w:right="500" w:firstLine="509"/>
        <w:spacing w:after="0" w:line="253" w:lineRule="auto"/>
        <w:rPr>
          <w:sz w:val="20"/>
          <w:szCs w:val="20"/>
          <w:color w:val="auto"/>
        </w:rPr>
      </w:pPr>
      <w:r>
        <w:rPr>
          <w:rFonts w:ascii="Arial" w:cs="Arial" w:eastAsia="Arial" w:hAnsi="Arial"/>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2022</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20,778</w:t>
            </w:r>
          </w:p>
        </w:tc>
        <w:tc>
          <w:tcPr>
            <w:tcW w:w="6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13,709</w:t>
            </w: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Capital research expenditures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14,014</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5,337</w:t>
            </w: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Tax credit carryforwards</w:t>
            </w:r>
          </w:p>
        </w:tc>
        <w:tc>
          <w:tcPr>
            <w:tcW w:w="96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4,406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1,836</w:t>
            </w: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2,568</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887</w:t>
            </w: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r>
      <w:tr>
        <w:trPr>
          <w:trHeight w:val="22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deferred tax assets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41,818</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21,771</w:t>
            </w: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Valuation allowance</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(41,818 )</w:t>
            </w: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(21,771 )</w:t>
            </w: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deferred tax assets</w:t>
            </w:r>
          </w:p>
        </w:tc>
        <w:tc>
          <w:tcPr>
            <w:tcW w:w="96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7"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As of December 31, 2023, the Company had $58.2 million of federal and $122.6 million of state net operating loss available to offset future taxable income. The federal net operating loss carryforwards do not expire. The state net operating loss carryforwards begin to expire in 2037. The Company also has federal and California state research and development credits of $3.4 million and $1.3 million, respectively. The federal tax credit carryforwards will expire in 2041 if not utilized. The state tax credit carryforwards do not expire.</w:t>
      </w:r>
    </w:p>
    <w:p>
      <w:pPr>
        <w:spacing w:after="0" w:line="174"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Utilization of the net operating loss carryforwards is subject to an annual limitation due to the ownership change limitations provided by the Internal Revenue Code of 1986, as amended, and similar state provisions.</w:t>
      </w:r>
    </w:p>
    <w:p>
      <w:pPr>
        <w:spacing w:after="0" w:line="154"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The Company is not currently in a taxable position and no net operating loss carryforwards or credits have been used to date.</w:t>
      </w:r>
    </w:p>
    <w:p>
      <w:pPr>
        <w:spacing w:after="0" w:line="174"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As of December 31, 2023 and 2022, the Company has unrecognized tax benefits of $1.5 million and $0.8 million, respectively. As of December 31, 2023, the total amount of unrecognized tax benefits would not affect the effective tax rate, if recognized, due to the valuation allowance that currently offsets deferred tax assets. The Company does not expect the unrecognized tax benefits to change significantly over the next 12 months. A reconciliation of the beginning and ending amount of unrecognized tax benefits for the years ended December 31, 2023 and 2022 was as follows (in thousands):</w:t>
      </w:r>
    </w:p>
    <w:p>
      <w:pPr>
        <w:spacing w:after="0" w:line="199"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2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year</w:t>
            </w:r>
          </w:p>
        </w:tc>
        <w:tc>
          <w:tcPr>
            <w:tcW w:w="104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6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Additions related to current year positions</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end of year</w:t>
            </w: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20" w:firstLine="509"/>
        <w:spacing w:after="0" w:line="253" w:lineRule="auto"/>
        <w:rPr>
          <w:sz w:val="20"/>
          <w:szCs w:val="20"/>
          <w:color w:val="auto"/>
        </w:rPr>
      </w:pPr>
      <w:r>
        <w:rPr>
          <w:rFonts w:ascii="Arial" w:cs="Arial" w:eastAsia="Arial" w:hAnsi="Arial"/>
          <w:sz w:val="18"/>
          <w:szCs w:val="18"/>
          <w:color w:val="auto"/>
        </w:rPr>
        <w:t>The Company recognizes interest and penalties related to unrecognized tax benefits within the income tax expense line in the statements of operations. Accrued interest and penalties are included within the related tax liability line in the balance sheet. No accrued interest and penalties have been recorded through December 31, 2023.</w:t>
      </w:r>
    </w:p>
    <w:p>
      <w:pPr>
        <w:spacing w:after="0" w:line="16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 files income tax returns in the U.S. federal jurisdiction and California, Illinois, New York, South Carolina, Virginia and New York City state and city jurisdictions. The Company is not currently under audit by the Internal Revenue Service or other similar state or local authorities. Carryover attributes beginning December 31, 2020 and December 31, 2019, respectively, remain open to adjustment by the U.S. and state taxing authorities to which the Company is subject.</w:t>
      </w: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AN2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 Continued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the basic and diluted net loss per share (in thousands, except for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7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(64,732 )</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(40,956 )</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Add accretion to redemption value and cumulative dividends on preferred stock</w:t>
            </w: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(1,820 )</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(64,732 )</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(42,776 )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line="197" w:lineRule="exact"/>
              <w:rPr>
                <w:sz w:val="20"/>
                <w:szCs w:val="20"/>
                <w:color w:val="auto"/>
              </w:rPr>
            </w:pPr>
            <w:r>
              <w:rPr>
                <w:rFonts w:ascii="Arial" w:cs="Arial" w:eastAsia="Arial" w:hAnsi="Arial"/>
                <w:sz w:val="18"/>
                <w:szCs w:val="18"/>
                <w:color w:val="auto"/>
              </w:rPr>
              <w:t>Weighted-average common shares outstanding used to calculate net loss per</w:t>
            </w:r>
          </w:p>
        </w:tc>
        <w:tc>
          <w:tcPr>
            <w:tcW w:w="380" w:type="dxa"/>
            <w:vAlign w:val="bottom"/>
          </w:tcPr>
          <w:p>
            <w:pPr>
              <w:spacing w:after="0"/>
              <w:rPr>
                <w:sz w:val="17"/>
                <w:szCs w:val="17"/>
                <w:color w:val="auto"/>
              </w:rPr>
            </w:pPr>
          </w:p>
        </w:tc>
        <w:tc>
          <w:tcPr>
            <w:tcW w:w="1300" w:type="dxa"/>
            <w:vAlign w:val="bottom"/>
            <w:vMerge w:val="restart"/>
          </w:tcPr>
          <w:p>
            <w:pPr>
              <w:jc w:val="right"/>
              <w:ind w:right="35"/>
              <w:spacing w:after="0"/>
              <w:rPr>
                <w:sz w:val="20"/>
                <w:szCs w:val="20"/>
                <w:color w:val="auto"/>
              </w:rPr>
            </w:pPr>
            <w:r>
              <w:rPr>
                <w:rFonts w:ascii="Arial" w:cs="Arial" w:eastAsia="Arial" w:hAnsi="Arial"/>
                <w:sz w:val="18"/>
                <w:szCs w:val="18"/>
                <w:color w:val="auto"/>
              </w:rPr>
              <w:t>23,600,107</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vMerge w:val="restart"/>
          </w:tcPr>
          <w:p>
            <w:pPr>
              <w:jc w:val="right"/>
              <w:ind w:right="33"/>
              <w:spacing w:after="0"/>
              <w:rPr>
                <w:sz w:val="20"/>
                <w:szCs w:val="20"/>
                <w:color w:val="auto"/>
              </w:rPr>
            </w:pPr>
            <w:r>
              <w:rPr>
                <w:rFonts w:ascii="Arial" w:cs="Arial" w:eastAsia="Arial" w:hAnsi="Arial"/>
                <w:sz w:val="18"/>
                <w:szCs w:val="18"/>
                <w:color w:val="auto"/>
              </w:rPr>
              <w:t>15,340,134</w:t>
            </w:r>
          </w:p>
        </w:tc>
        <w:tc>
          <w:tcPr>
            <w:tcW w:w="0" w:type="dxa"/>
            <w:vAlign w:val="bottom"/>
          </w:tcPr>
          <w:p>
            <w:pPr>
              <w:spacing w:after="0"/>
              <w:rPr>
                <w:sz w:val="1"/>
                <w:szCs w:val="1"/>
                <w:color w:val="auto"/>
              </w:rPr>
            </w:pPr>
          </w:p>
        </w:tc>
      </w:tr>
      <w:tr>
        <w:trPr>
          <w:trHeight w:val="194"/>
        </w:trPr>
        <w:tc>
          <w:tcPr>
            <w:tcW w:w="7720" w:type="dxa"/>
            <w:vAlign w:val="bottom"/>
          </w:tcPr>
          <w:p>
            <w:pPr>
              <w:ind w:left="180"/>
              <w:spacing w:after="0" w:line="195" w:lineRule="exact"/>
              <w:rPr>
                <w:sz w:val="20"/>
                <w:szCs w:val="20"/>
                <w:color w:val="auto"/>
              </w:rPr>
            </w:pPr>
            <w:r>
              <w:rPr>
                <w:rFonts w:ascii="Arial" w:cs="Arial" w:eastAsia="Arial" w:hAnsi="Arial"/>
                <w:sz w:val="18"/>
                <w:szCs w:val="18"/>
                <w:color w:val="auto"/>
              </w:rPr>
              <w:t>share attributable to common stockholders, basic and diluted</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(2.74 )</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-770890</wp:posOffset>
            </wp:positionV>
            <wp:extent cx="1111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7"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as the inclusion of all potential common shares outstanding would have been anti-dilutive. Potentially dilutive securities that were not included in the diluted per share calculations because they would be anti-dilutive were as follows: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19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3"/>
        </w:trPr>
        <w:tc>
          <w:tcPr>
            <w:tcW w:w="6140" w:type="dxa"/>
            <w:vAlign w:val="bottom"/>
          </w:tcPr>
          <w:p>
            <w:pPr>
              <w:spacing w:after="0"/>
              <w:rPr>
                <w:sz w:val="15"/>
                <w:szCs w:val="15"/>
                <w:color w:val="auto"/>
              </w:rPr>
            </w:pPr>
          </w:p>
        </w:tc>
        <w:tc>
          <w:tcPr>
            <w:tcW w:w="13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Options issued and outstanding</w:t>
            </w:r>
          </w:p>
        </w:tc>
        <w:tc>
          <w:tcPr>
            <w:tcW w:w="13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3,930,306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2,796,241</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Early exercised common stock subject to future vesting</w:t>
            </w: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19,778</w:t>
            </w:r>
          </w:p>
        </w:tc>
      </w:tr>
      <w:tr>
        <w:trPr>
          <w:trHeight w:val="263"/>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3,935,346</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2,816,019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04"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In the year ended December 31, 2022, the Company paid $1.5 million for two development milestones to Anacor. Of this amount, a $0.5 million payment was recognized as expense in 2021 and was included as accrued expenses in the accompanying balance sheet at December 31, 2021.</w:t>
      </w:r>
    </w:p>
    <w:p>
      <w:pPr>
        <w:spacing w:after="0" w:line="169" w:lineRule="exact"/>
        <w:rPr>
          <w:sz w:val="20"/>
          <w:szCs w:val="20"/>
          <w:color w:val="auto"/>
        </w:rPr>
      </w:pPr>
    </w:p>
    <w:p>
      <w:pPr>
        <w:ind w:right="300" w:firstLine="509"/>
        <w:spacing w:after="0" w:line="238" w:lineRule="auto"/>
        <w:rPr>
          <w:sz w:val="20"/>
          <w:szCs w:val="20"/>
          <w:color w:val="auto"/>
        </w:rPr>
      </w:pPr>
      <w:r>
        <w:rPr>
          <w:rFonts w:ascii="Arial" w:cs="Arial" w:eastAsia="Arial" w:hAnsi="Arial"/>
          <w:sz w:val="18"/>
          <w:szCs w:val="18"/>
          <w:color w:val="auto"/>
        </w:rPr>
        <w:t>In connection with Adjuvant’s investment in the Company’s common stock as part of the IPO, the Company entered into the 2022 Adjuvant Amendment. As part of the 2022 Adjuvant Amendment, Adjuvant purchased 166,666 shares of the Company’s common stock in 2022 for a total additional investment of $2.5 million, which is subject to Adjuvant’s right of repayment should the Company not utilize the proceeds from Adjuvant’s investment towards the agreed-upon purpose. As of December 31, 2022, the $2.5 million of proceeds from Adjuvant’s IPO investment have been fully utilized to support the epetraborole development program, which overlaps with the melioidosis and other global health development programs (see Note 8—Commitments and Contingencies).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10.3</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AN2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2022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dopted by 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oard of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20"/>
          <w:szCs w:val="20"/>
          <w:b w:val="1"/>
          <w:bCs w:val="1"/>
          <w:color w:val="auto"/>
        </w:rPr>
        <w:t>: M</w:t>
      </w:r>
      <w:r>
        <w:rPr>
          <w:rFonts w:ascii="Times New Roman" w:cs="Times New Roman" w:eastAsia="Times New Roman" w:hAnsi="Times New Roman"/>
          <w:sz w:val="13"/>
          <w:szCs w:val="13"/>
          <w:b w:val="1"/>
          <w:bCs w:val="1"/>
          <w:color w:val="auto"/>
        </w:rPr>
        <w:t>arch</w:t>
      </w:r>
      <w:r>
        <w:rPr>
          <w:rFonts w:ascii="Times New Roman" w:cs="Times New Roman" w:eastAsia="Times New Roman" w:hAnsi="Times New Roman"/>
          <w:sz w:val="20"/>
          <w:szCs w:val="20"/>
          <w:b w:val="1"/>
          <w:bCs w:val="1"/>
          <w:color w:val="auto"/>
        </w:rPr>
        <w:t xml:space="preserve"> 17, 2022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pproved by the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20"/>
          <w:szCs w:val="20"/>
          <w:b w:val="1"/>
          <w:bCs w:val="1"/>
          <w:color w:val="auto"/>
        </w:rPr>
        <w:t>: M</w:t>
      </w:r>
      <w:r>
        <w:rPr>
          <w:rFonts w:ascii="Times New Roman" w:cs="Times New Roman" w:eastAsia="Times New Roman" w:hAnsi="Times New Roman"/>
          <w:sz w:val="13"/>
          <w:szCs w:val="13"/>
          <w:b w:val="1"/>
          <w:bCs w:val="1"/>
          <w:color w:val="auto"/>
        </w:rPr>
        <w:t>arch</w:t>
      </w:r>
      <w:r>
        <w:rPr>
          <w:rFonts w:ascii="Times New Roman" w:cs="Times New Roman" w:eastAsia="Times New Roman" w:hAnsi="Times New Roman"/>
          <w:sz w:val="20"/>
          <w:szCs w:val="20"/>
          <w:b w:val="1"/>
          <w:bCs w:val="1"/>
          <w:color w:val="auto"/>
        </w:rPr>
        <w:t xml:space="preserve"> 18, 2022</w:t>
      </w:r>
    </w:p>
    <w:p>
      <w:pPr>
        <w:spacing w:after="0" w:line="203"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 to and Continuation of Prior Plan. </w:t>
      </w:r>
      <w:r>
        <w:rPr>
          <w:rFonts w:ascii="Times New Roman" w:cs="Times New Roman" w:eastAsia="Times New Roman" w:hAnsi="Times New Roman"/>
          <w:sz w:val="20"/>
          <w:szCs w:val="20"/>
          <w:color w:val="auto"/>
        </w:rPr>
        <w:t>The Plan is the successor to and continuation of the Prior Plan.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Date, (i) no 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78"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Plan Purpose. </w:t>
      </w:r>
      <w:r>
        <w:rPr>
          <w:rFonts w:ascii="Times New Roman" w:cs="Times New Roman" w:eastAsia="Times New Roman" w:hAnsi="Times New Roman"/>
          <w:sz w:val="20"/>
          <w:szCs w:val="20"/>
          <w:color w:val="auto"/>
        </w:rPr>
        <w:t>The Company, by means of the Plan, seeks to secure and retain the services of Employees, Directors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5" w:lineRule="exact"/>
        <w:rPr>
          <w:rFonts w:ascii="Times New Roman" w:cs="Times New Roman" w:eastAsia="Times New Roman" w:hAnsi="Times New Roman"/>
          <w:sz w:val="20"/>
          <w:szCs w:val="20"/>
          <w:b w:val="1"/>
          <w:bCs w:val="1"/>
          <w:color w:val="auto"/>
        </w:rPr>
      </w:pPr>
    </w:p>
    <w:p>
      <w:pPr>
        <w:ind w:firstLine="757"/>
        <w:spacing w:after="0" w:line="273" w:lineRule="auto"/>
        <w:tabs>
          <w:tab w:leader="none" w:pos="1018"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Available Awards. </w:t>
      </w:r>
      <w:r>
        <w:rPr>
          <w:rFonts w:ascii="Times New Roman" w:cs="Times New Roman" w:eastAsia="Times New Roman" w:hAnsi="Times New Roman"/>
          <w:sz w:val="20"/>
          <w:szCs w:val="20"/>
          <w:color w:val="auto"/>
        </w:rPr>
        <w:t>The Plan provides for the grant of the following Awards: (i) Incentive Stock Options; (ii) Nonstatutory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Options; (iii) SARs; (iv) Restricted Stock Awards; (v) RSU Awards; (vi) Performance Awards; and (vii) Other Awards.</w:t>
      </w:r>
    </w:p>
    <w:p>
      <w:pPr>
        <w:spacing w:after="0" w:line="151" w:lineRule="exact"/>
        <w:rPr>
          <w:rFonts w:ascii="Times New Roman" w:cs="Times New Roman" w:eastAsia="Times New Roman" w:hAnsi="Times New Roman"/>
          <w:sz w:val="20"/>
          <w:szCs w:val="20"/>
          <w:b w:val="1"/>
          <w:bCs w:val="1"/>
          <w:color w:val="auto"/>
        </w:rPr>
      </w:pPr>
    </w:p>
    <w:p>
      <w:pPr>
        <w:ind w:firstLine="757"/>
        <w:spacing w:after="0" w:line="273" w:lineRule="auto"/>
        <w:tabs>
          <w:tab w:leader="none" w:pos="1018"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Adoption Date; Effective Date. </w:t>
      </w:r>
      <w:r>
        <w:rPr>
          <w:rFonts w:ascii="Times New Roman" w:cs="Times New Roman" w:eastAsia="Times New Roman" w:hAnsi="Times New Roman"/>
          <w:sz w:val="20"/>
          <w:szCs w:val="20"/>
          <w:color w:val="auto"/>
        </w:rPr>
        <w:t>The Plan will come into existence on the Adoption Date, but no Award may be granted prior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Effective Date.</w:t>
      </w:r>
    </w:p>
    <w:p>
      <w:pPr>
        <w:spacing w:after="0" w:line="15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ubject to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43" w:lineRule="auto"/>
        <w:tabs>
          <w:tab w:leader="none" w:pos="1018"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 Reserve. </w:t>
      </w:r>
      <w:r>
        <w:rPr>
          <w:rFonts w:ascii="Times New Roman" w:cs="Times New Roman" w:eastAsia="Times New Roman" w:hAnsi="Times New Roman"/>
          <w:sz w:val="20"/>
          <w:szCs w:val="20"/>
          <w:color w:val="auto"/>
        </w:rPr>
        <w:t>Subject to adjustment in accordance with Section 2(c) and any adjustments as necessary to implement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Capitalization Adjustments, the aggregate number of shares of Common Stock that may be issued pursuant to Awards will not exceed 4,423,920 shares, which number is the sum of: (i) 1,870,000 new shares, plus (ii) a number of shares of Common Stock equal to the Prior Plan’s Available Reserve, plus (iii) a number of shares of Common Stock equal to the number of Returning Shares, if any,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2023 and ending on (and including) January 1, 2032, in an amount equal to 4% of the total number of shares of Capital Stock outstanding on the prior December 31; provided, however, that the Board may act prior to January 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xml:space="preserve"> of a given year to provide that the increase for such year will be a lesser number of shares of Common Stock.</w:t>
      </w:r>
    </w:p>
    <w:p>
      <w:pPr>
        <w:spacing w:after="0" w:line="185"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Aggregate Incentive Stock Option Limit. </w:t>
      </w:r>
      <w:r>
        <w:rPr>
          <w:rFonts w:ascii="Times New Roman" w:cs="Times New Roman" w:eastAsia="Times New Roman" w:hAnsi="Times New Roman"/>
          <w:sz w:val="20"/>
          <w:szCs w:val="20"/>
          <w:color w:val="auto"/>
        </w:rPr>
        <w:t>Notwithstanding anything to the contrary in Section 2(a) and subject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adjustments as necessary to implement any Capitalization Adjustments, the aggregate maximum number of shares of Common Stock that may be issued pursuant to the exercise of Incentive Stock Options is 13,271,760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1" w:name="page132"/>
    <w:bookmarkEnd w:id="131"/>
    <w:p>
      <w:pPr>
        <w:ind w:left="1020" w:hanging="263"/>
        <w:spacing w:after="0"/>
        <w:tabs>
          <w:tab w:leader="none" w:pos="1020" w:val="left"/>
        </w:tabs>
        <w:numPr>
          <w:ilvl w:val="1"/>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 Reserve Operation.</w:t>
      </w:r>
    </w:p>
    <w:p>
      <w:pPr>
        <w:spacing w:after="0" w:line="215" w:lineRule="exact"/>
        <w:rPr>
          <w:rFonts w:ascii="Times New Roman" w:cs="Times New Roman" w:eastAsia="Times New Roman" w:hAnsi="Times New Roman"/>
          <w:sz w:val="20"/>
          <w:szCs w:val="20"/>
          <w:b w:val="1"/>
          <w:bCs w:val="1"/>
          <w:color w:val="auto"/>
        </w:rPr>
      </w:pPr>
    </w:p>
    <w:p>
      <w:pPr>
        <w:jc w:val="both"/>
        <w:ind w:left="100" w:firstLine="1495"/>
        <w:spacing w:after="0" w:line="246" w:lineRule="auto"/>
        <w:tabs>
          <w:tab w:leader="none" w:pos="2047" w:val="left"/>
        </w:tabs>
        <w:numPr>
          <w:ilvl w:val="2"/>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Limit Applies to Common Stock Issued Pursuant to Awards. </w:t>
      </w:r>
      <w:r>
        <w:rPr>
          <w:rFonts w:ascii="Times New Roman" w:cs="Times New Roman" w:eastAsia="Times New Roman" w:hAnsi="Times New Roman"/>
          <w:sz w:val="20"/>
          <w:szCs w:val="20"/>
          <w:color w:val="auto"/>
        </w:rPr>
        <w:t>For clarity, the Share Reserve is a limit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78" w:lineRule="exact"/>
        <w:rPr>
          <w:rFonts w:ascii="Times New Roman" w:cs="Times New Roman" w:eastAsia="Times New Roman" w:hAnsi="Times New Roman"/>
          <w:sz w:val="20"/>
          <w:szCs w:val="20"/>
          <w:b w:val="1"/>
          <w:bCs w:val="1"/>
          <w:color w:val="auto"/>
        </w:rPr>
      </w:pPr>
    </w:p>
    <w:p>
      <w:pPr>
        <w:jc w:val="both"/>
        <w:ind w:left="100" w:firstLine="1495"/>
        <w:spacing w:after="0" w:line="245" w:lineRule="auto"/>
        <w:tabs>
          <w:tab w:leader="none" w:pos="2047" w:val="left"/>
        </w:tabs>
        <w:numPr>
          <w:ilvl w:val="2"/>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Actions that Do Not Constitute Issuance of Common Stock and Do Not Reduce Share Reserve. </w:t>
      </w:r>
      <w:r>
        <w:rPr>
          <w:rFonts w:ascii="Times New Roman" w:cs="Times New Roman" w:eastAsia="Times New Roman" w:hAnsi="Times New Roman"/>
          <w:sz w:val="20"/>
          <w:szCs w:val="20"/>
          <w:color w:val="auto"/>
        </w:rPr>
        <w:t>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79" w:lineRule="exact"/>
        <w:rPr>
          <w:rFonts w:ascii="Times New Roman" w:cs="Times New Roman" w:eastAsia="Times New Roman" w:hAnsi="Times New Roman"/>
          <w:sz w:val="20"/>
          <w:szCs w:val="20"/>
          <w:b w:val="1"/>
          <w:bCs w:val="1"/>
          <w:color w:val="auto"/>
        </w:rPr>
      </w:pPr>
    </w:p>
    <w:p>
      <w:pPr>
        <w:jc w:val="both"/>
        <w:ind w:left="100" w:firstLine="1495"/>
        <w:spacing w:after="0" w:line="246" w:lineRule="auto"/>
        <w:tabs>
          <w:tab w:leader="none" w:pos="2047" w:val="left"/>
        </w:tabs>
        <w:numPr>
          <w:ilvl w:val="2"/>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Reversion of Previously Issued Shares of Common Stock to Share Reserve. </w:t>
      </w:r>
      <w:r>
        <w:rPr>
          <w:rFonts w:ascii="Times New Roman" w:cs="Times New Roman" w:eastAsia="Times New Roman" w:hAnsi="Times New Roman"/>
          <w:sz w:val="20"/>
          <w:szCs w:val="20"/>
          <w:color w:val="auto"/>
        </w:rPr>
        <w:t>The following shares of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78"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ligibility and</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imitations</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Eligible Award Recipients.  </w:t>
      </w:r>
      <w:r>
        <w:rPr>
          <w:rFonts w:ascii="Times New Roman" w:cs="Times New Roman" w:eastAsia="Times New Roman" w:hAnsi="Times New Roman"/>
          <w:sz w:val="20"/>
          <w:szCs w:val="20"/>
          <w:color w:val="auto"/>
        </w:rPr>
        <w:t>Subject to the terms of the Plan, Employees, Directors and Consultants are eligible to receive</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Awards.</w:t>
      </w:r>
    </w:p>
    <w:p>
      <w:pPr>
        <w:spacing w:after="0" w:line="18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Specific Award Limitations.</w:t>
      </w:r>
    </w:p>
    <w:p>
      <w:pPr>
        <w:spacing w:after="0" w:line="215" w:lineRule="exact"/>
        <w:rPr>
          <w:rFonts w:ascii="Times New Roman" w:cs="Times New Roman" w:eastAsia="Times New Roman" w:hAnsi="Times New Roman"/>
          <w:sz w:val="20"/>
          <w:szCs w:val="20"/>
          <w:b w:val="1"/>
          <w:bCs w:val="1"/>
          <w:color w:val="auto"/>
        </w:rPr>
      </w:pPr>
    </w:p>
    <w:p>
      <w:pPr>
        <w:jc w:val="both"/>
        <w:ind w:left="100" w:firstLine="1495"/>
        <w:spacing w:after="0" w:line="256" w:lineRule="auto"/>
        <w:tabs>
          <w:tab w:leader="none" w:pos="2047" w:val="left"/>
        </w:tabs>
        <w:numPr>
          <w:ilvl w:val="2"/>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Limitations on Incentive Stock Option Recipients. </w:t>
      </w:r>
      <w:r>
        <w:rPr>
          <w:rFonts w:ascii="Times New Roman" w:cs="Times New Roman" w:eastAsia="Times New Roman" w:hAnsi="Times New Roman"/>
          <w:sz w:val="20"/>
          <w:szCs w:val="20"/>
          <w:color w:val="auto"/>
        </w:rPr>
        <w:t>Incentive Stock Options may be granted only to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Company or a “parent corporation” or “subsidiary corporation” thereof (as such terms are defined in Sections 424(e) and (f) of the Code).</w:t>
      </w:r>
    </w:p>
    <w:p>
      <w:pPr>
        <w:spacing w:after="0" w:line="168" w:lineRule="exact"/>
        <w:rPr>
          <w:rFonts w:ascii="Times New Roman" w:cs="Times New Roman" w:eastAsia="Times New Roman" w:hAnsi="Times New Roman"/>
          <w:sz w:val="20"/>
          <w:szCs w:val="20"/>
          <w:b w:val="1"/>
          <w:bCs w:val="1"/>
          <w:color w:val="auto"/>
        </w:rPr>
      </w:pPr>
    </w:p>
    <w:p>
      <w:pPr>
        <w:jc w:val="both"/>
        <w:ind w:left="100" w:firstLine="1495"/>
        <w:spacing w:after="0" w:line="246" w:lineRule="auto"/>
        <w:tabs>
          <w:tab w:leader="none" w:pos="2047" w:val="left"/>
        </w:tabs>
        <w:numPr>
          <w:ilvl w:val="2"/>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Incentive Stock Option $100,000 Limitation. </w:t>
      </w:r>
      <w:r>
        <w:rPr>
          <w:rFonts w:ascii="Times New Roman" w:cs="Times New Roman" w:eastAsia="Times New Roman" w:hAnsi="Times New Roman"/>
          <w:sz w:val="20"/>
          <w:szCs w:val="20"/>
          <w:color w:val="auto"/>
        </w:rPr>
        <w:t>To the extent that the aggregate Fair Market Value (determined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2" w:name="page133"/>
    <w:bookmarkEnd w:id="132"/>
    <w:p>
      <w:pPr>
        <w:jc w:val="both"/>
        <w:ind w:left="100" w:firstLine="1495"/>
        <w:spacing w:after="0" w:line="256" w:lineRule="auto"/>
        <w:tabs>
          <w:tab w:leader="none" w:pos="2047" w:val="left"/>
        </w:tabs>
        <w:numPr>
          <w:ilvl w:val="2"/>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Limitations on Incentive Stock Options Granted to Ten Percent Stockholders. </w:t>
      </w:r>
      <w:r>
        <w:rPr>
          <w:rFonts w:ascii="Times New Roman" w:cs="Times New Roman" w:eastAsia="Times New Roman" w:hAnsi="Times New Roman"/>
          <w:sz w:val="20"/>
          <w:szCs w:val="20"/>
          <w:color w:val="auto"/>
        </w:rPr>
        <w:t>A Ten Percent Stockholder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68" w:lineRule="exact"/>
        <w:rPr>
          <w:rFonts w:ascii="Times New Roman" w:cs="Times New Roman" w:eastAsia="Times New Roman" w:hAnsi="Times New Roman"/>
          <w:sz w:val="20"/>
          <w:szCs w:val="20"/>
          <w:b w:val="1"/>
          <w:bCs w:val="1"/>
          <w:color w:val="auto"/>
        </w:rPr>
      </w:pPr>
    </w:p>
    <w:p>
      <w:pPr>
        <w:ind w:firstLine="757"/>
        <w:spacing w:after="0" w:line="273" w:lineRule="auto"/>
        <w:tabs>
          <w:tab w:leader="none" w:pos="1018" w:val="left"/>
        </w:tabs>
        <w:numPr>
          <w:ilvl w:val="1"/>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Aggregate Incentive Stock Option Limit. </w:t>
      </w:r>
      <w:r>
        <w:rPr>
          <w:rFonts w:ascii="Times New Roman" w:cs="Times New Roman" w:eastAsia="Times New Roman" w:hAnsi="Times New Roman"/>
          <w:sz w:val="20"/>
          <w:szCs w:val="20"/>
          <w:color w:val="auto"/>
        </w:rPr>
        <w:t>The aggregate maximum number of shares of Common Stock that may be issued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the exercise of Incentive Stock Options is the number of shares specified in Section 2(b).</w:t>
      </w:r>
    </w:p>
    <w:p>
      <w:pPr>
        <w:spacing w:after="0" w:line="151"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018" w:val="left"/>
        </w:tabs>
        <w:numPr>
          <w:ilvl w:val="1"/>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Non-Employee Director Compensation Limit. </w:t>
      </w:r>
      <w:r>
        <w:rPr>
          <w:rFonts w:ascii="Times New Roman" w:cs="Times New Roman" w:eastAsia="Times New Roman" w:hAnsi="Times New Roman"/>
          <w:sz w:val="20"/>
          <w:szCs w:val="20"/>
          <w:color w:val="auto"/>
        </w:rPr>
        <w:t>The aggregate value of all compensation granted or paid, as applicable,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individual for service as a Non-Employee Director with respect to any fiscal year following the year in which the IPO Date occurs, including Awards granted and cash fees paid by the Company to such Non-Employee Director, will not exceed (i) $750,000 in total value or (ii) in the event such Non-Employee Director is first appointed or elected to the Board during such fiscal year, $1,000,000 in total value, in each case calculating the value of any equity awards based on the grant date fair value of such equity awards for financial reporting purposes. For avoidance of doubt, compensation will count towards this limit for the fiscal year in which it was granted or earned, and not later when distributed, in the event it is deferred.</w:t>
      </w:r>
    </w:p>
    <w:p>
      <w:pPr>
        <w:spacing w:after="0" w:line="179"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80" w:lineRule="exact"/>
        <w:rPr>
          <w:sz w:val="20"/>
          <w:szCs w:val="20"/>
          <w:color w:val="auto"/>
        </w:rPr>
      </w:pPr>
    </w:p>
    <w:p>
      <w:pPr>
        <w:ind w:firstLine="757"/>
        <w:spacing w:after="0" w:line="273" w:lineRule="auto"/>
        <w:tabs>
          <w:tab w:leader="none" w:pos="1018"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Subject to Section 3(b) regarding Ten Percent Stockholders, no Option or SAR will be exercisable after the expiration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 years from the date of grant of such Award or such shorter period specified in the Award Agreement.</w:t>
      </w:r>
    </w:p>
    <w:p>
      <w:pPr>
        <w:spacing w:after="0" w:line="151" w:lineRule="exact"/>
        <w:rPr>
          <w:rFonts w:ascii="Times New Roman" w:cs="Times New Roman" w:eastAsia="Times New Roman" w:hAnsi="Times New Roman"/>
          <w:sz w:val="20"/>
          <w:szCs w:val="20"/>
          <w:b w:val="1"/>
          <w:bCs w:val="1"/>
          <w:color w:val="auto"/>
        </w:rPr>
      </w:pPr>
    </w:p>
    <w:p>
      <w:pPr>
        <w:jc w:val="both"/>
        <w:ind w:firstLine="757"/>
        <w:spacing w:after="0" w:line="247" w:lineRule="auto"/>
        <w:tabs>
          <w:tab w:leader="none" w:pos="1018"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Exercise or Strike Price. </w:t>
      </w:r>
      <w:r>
        <w:rPr>
          <w:rFonts w:ascii="Times New Roman" w:cs="Times New Roman" w:eastAsia="Times New Roman" w:hAnsi="Times New Roman"/>
          <w:sz w:val="20"/>
          <w:szCs w:val="20"/>
          <w:color w:val="auto"/>
        </w:rPr>
        <w:t>Subject to Section 3(b) regarding Ten Percent Stockholders, the exercise or strike price of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80"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Exercise Procedure and Payment of Exercise Price for Options. </w:t>
      </w:r>
      <w:r>
        <w:rPr>
          <w:rFonts w:ascii="Times New Roman" w:cs="Times New Roman" w:eastAsia="Times New Roman" w:hAnsi="Times New Roman"/>
          <w:sz w:val="20"/>
          <w:szCs w:val="20"/>
          <w:color w:val="auto"/>
        </w:rPr>
        <w:t>In order to exercise an Option, the Participant must provide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3" w:name="page134"/>
    <w:bookmarkEnd w:id="133"/>
    <w:p>
      <w:pPr>
        <w:ind w:left="2040" w:hanging="445"/>
        <w:spacing w:after="0"/>
        <w:tabs>
          <w:tab w:leader="none" w:pos="2040" w:val="left"/>
        </w:tabs>
        <w:numPr>
          <w:ilvl w:val="2"/>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cash or check, bank draft or money order payable to the Company;</w:t>
      </w:r>
    </w:p>
    <w:p>
      <w:pPr>
        <w:spacing w:after="0" w:line="215" w:lineRule="exact"/>
        <w:rPr>
          <w:rFonts w:ascii="Times New Roman" w:cs="Times New Roman" w:eastAsia="Times New Roman" w:hAnsi="Times New Roman"/>
          <w:sz w:val="20"/>
          <w:szCs w:val="20"/>
          <w:b w:val="1"/>
          <w:bCs w:val="1"/>
          <w:color w:val="auto"/>
        </w:rPr>
      </w:pPr>
    </w:p>
    <w:p>
      <w:pPr>
        <w:jc w:val="both"/>
        <w:ind w:left="100" w:firstLine="1495"/>
        <w:spacing w:after="0" w:line="254" w:lineRule="auto"/>
        <w:tabs>
          <w:tab w:leader="none" w:pos="2047" w:val="left"/>
        </w:tabs>
        <w:numPr>
          <w:ilvl w:val="2"/>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74" w:lineRule="exact"/>
        <w:rPr>
          <w:rFonts w:ascii="Times New Roman" w:cs="Times New Roman" w:eastAsia="Times New Roman" w:hAnsi="Times New Roman"/>
          <w:sz w:val="20"/>
          <w:szCs w:val="20"/>
          <w:b w:val="1"/>
          <w:bCs w:val="1"/>
          <w:color w:val="auto"/>
        </w:rPr>
      </w:pPr>
    </w:p>
    <w:p>
      <w:pPr>
        <w:jc w:val="both"/>
        <w:ind w:left="100" w:firstLine="1495"/>
        <w:spacing w:after="0" w:line="245" w:lineRule="auto"/>
        <w:tabs>
          <w:tab w:leader="none" w:pos="2047" w:val="left"/>
        </w:tabs>
        <w:numPr>
          <w:ilvl w:val="2"/>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w:t>
      </w:r>
    </w:p>
    <w:p>
      <w:pPr>
        <w:jc w:val="both"/>
        <w:ind w:left="100" w:hanging="3"/>
        <w:spacing w:after="0" w:line="242" w:lineRule="auto"/>
        <w:tabs>
          <w:tab w:leader="none" w:pos="38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6" w:lineRule="exact"/>
        <w:rPr>
          <w:rFonts w:ascii="Times New Roman" w:cs="Times New Roman" w:eastAsia="Times New Roman" w:hAnsi="Times New Roman"/>
          <w:sz w:val="20"/>
          <w:szCs w:val="20"/>
          <w:color w:val="auto"/>
        </w:rPr>
      </w:pPr>
    </w:p>
    <w:p>
      <w:pPr>
        <w:jc w:val="both"/>
        <w:ind w:left="100" w:firstLine="1495"/>
        <w:spacing w:after="0" w:line="246" w:lineRule="auto"/>
        <w:tabs>
          <w:tab w:leader="none" w:pos="2047" w:val="left"/>
        </w:tabs>
        <w:numPr>
          <w:ilvl w:val="2"/>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84" w:lineRule="exact"/>
        <w:rPr>
          <w:rFonts w:ascii="Times New Roman" w:cs="Times New Roman" w:eastAsia="Times New Roman" w:hAnsi="Times New Roman"/>
          <w:sz w:val="20"/>
          <w:szCs w:val="20"/>
          <w:b w:val="1"/>
          <w:bCs w:val="1"/>
          <w:color w:val="auto"/>
        </w:rPr>
      </w:pPr>
    </w:p>
    <w:p>
      <w:pPr>
        <w:ind w:left="2040" w:hanging="445"/>
        <w:spacing w:after="0"/>
        <w:tabs>
          <w:tab w:leader="none" w:pos="2040" w:val="left"/>
        </w:tabs>
        <w:numPr>
          <w:ilvl w:val="2"/>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any other form of consideration that may be acceptable to the Board and permissible under Applicable Law.</w:t>
      </w:r>
    </w:p>
    <w:p>
      <w:pPr>
        <w:spacing w:after="0" w:line="211"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018" w:val="left"/>
        </w:tabs>
        <w:numPr>
          <w:ilvl w:val="1"/>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Exercise Procedure and Payment of Appreciation Distribution for SARs. </w:t>
      </w:r>
      <w:r>
        <w:rPr>
          <w:rFonts w:ascii="Times New Roman" w:cs="Times New Roman" w:eastAsia="Times New Roman" w:hAnsi="Times New Roman"/>
          <w:sz w:val="20"/>
          <w:szCs w:val="20"/>
          <w:color w:val="auto"/>
        </w:rPr>
        <w:t>In order to exercise any SAR, the Participant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79" w:lineRule="exact"/>
        <w:rPr>
          <w:rFonts w:ascii="Times New Roman" w:cs="Times New Roman" w:eastAsia="Times New Roman" w:hAnsi="Times New Roman"/>
          <w:sz w:val="20"/>
          <w:szCs w:val="20"/>
          <w:b w:val="1"/>
          <w:bCs w:val="1"/>
          <w:color w:val="auto"/>
        </w:rPr>
      </w:pPr>
    </w:p>
    <w:p>
      <w:pPr>
        <w:jc w:val="both"/>
        <w:ind w:firstLine="757"/>
        <w:spacing w:after="0" w:line="247" w:lineRule="auto"/>
        <w:tabs>
          <w:tab w:leader="none" w:pos="1018" w:val="left"/>
        </w:tabs>
        <w:numPr>
          <w:ilvl w:val="1"/>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Transferability. </w:t>
      </w:r>
      <w:r>
        <w:rPr>
          <w:rFonts w:ascii="Times New Roman" w:cs="Times New Roman" w:eastAsia="Times New Roman" w:hAnsi="Times New Roman"/>
          <w:sz w:val="20"/>
          <w:szCs w:val="20"/>
          <w:color w:val="auto"/>
        </w:rPr>
        <w:t>Options and SARs may not be transferred to third party financial institutions for value. The Board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provided, further, that if an Option is an Incentive Stock Option, such Option may be deemed to be a Nonstatutory Stock Option as a result of such transfer:</w:t>
      </w:r>
    </w:p>
    <w:p>
      <w:pPr>
        <w:spacing w:after="0" w:line="180" w:lineRule="exact"/>
        <w:rPr>
          <w:rFonts w:ascii="Times New Roman" w:cs="Times New Roman" w:eastAsia="Times New Roman" w:hAnsi="Times New Roman"/>
          <w:sz w:val="20"/>
          <w:szCs w:val="20"/>
          <w:b w:val="1"/>
          <w:bCs w:val="1"/>
          <w:color w:val="auto"/>
        </w:rPr>
      </w:pPr>
    </w:p>
    <w:p>
      <w:pPr>
        <w:jc w:val="both"/>
        <w:ind w:firstLine="757"/>
        <w:spacing w:after="0" w:line="247" w:lineRule="auto"/>
        <w:tabs>
          <w:tab w:leader="none" w:pos="1018" w:val="left"/>
        </w:tabs>
        <w:numPr>
          <w:ilvl w:val="1"/>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Restrictions on Transfer. </w:t>
      </w:r>
      <w:r>
        <w:rPr>
          <w:rFonts w:ascii="Times New Roman" w:cs="Times New Roman" w:eastAsia="Times New Roman" w:hAnsi="Times New Roman"/>
          <w:sz w:val="20"/>
          <w:szCs w:val="20"/>
          <w:color w:val="auto"/>
        </w:rPr>
        <w:t>An Option or SAR will not be transferable, except by will or by the laws of descent and distribution,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color w:val="auto"/>
        </w:rPr>
        <w:t>provided that the Participant and the trustee enter into a transfer and other agreements required by the Company.</w:t>
      </w:r>
    </w:p>
    <w:p>
      <w:pPr>
        <w:spacing w:after="0" w:line="212" w:lineRule="exact"/>
        <w:rPr>
          <w:sz w:val="20"/>
          <w:szCs w:val="20"/>
          <w:color w:val="auto"/>
        </w:rPr>
      </w:pPr>
    </w:p>
    <w:p>
      <w:pPr>
        <w:jc w:val="both"/>
        <w:ind w:firstLine="757"/>
        <w:spacing w:after="0" w:line="256" w:lineRule="auto"/>
        <w:tabs>
          <w:tab w:leader="none" w:pos="1018"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Domestic Relations Orders. </w:t>
      </w:r>
      <w:r>
        <w:rPr>
          <w:rFonts w:ascii="Times New Roman" w:cs="Times New Roman" w:eastAsia="Times New Roman" w:hAnsi="Times New Roman"/>
          <w:sz w:val="20"/>
          <w:szCs w:val="20"/>
          <w:color w:val="auto"/>
        </w:rPr>
        <w:t>Notwithstanding the foregoing, subject to the execution of transfer documentation in a format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acceptable to the Company and subject to the approval of the Board or a duly authorized Officer, an Option or SAR may be transferred pursuant to a domestic relations order.</w:t>
      </w:r>
    </w:p>
    <w:p>
      <w:pPr>
        <w:spacing w:after="0" w:line="168"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The Board may impose such restrictions on or conditions to the vesting and/or exercisability of an Option or SAR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by the Board. Except as otherwise provided in the applicable Award Agreement or other written agreement between a Participant and the Company, vesting of Options and SARs will cease upon termination of the Participant’s Continuous Service.</w:t>
      </w:r>
    </w:p>
    <w:p>
      <w:pPr>
        <w:spacing w:after="0" w:line="168"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Continuous Service for Cause. </w:t>
      </w:r>
      <w:r>
        <w:rPr>
          <w:rFonts w:ascii="Times New Roman" w:cs="Times New Roman" w:eastAsia="Times New Roman" w:hAnsi="Times New Roman"/>
          <w:sz w:val="20"/>
          <w:szCs w:val="20"/>
          <w:color w:val="auto"/>
        </w:rPr>
        <w:t>Except as explicitly otherwise provided in the Award Agreement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agreement between a Participant and the Company,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78" w:lineRule="exact"/>
        <w:rPr>
          <w:rFonts w:ascii="Times New Roman" w:cs="Times New Roman" w:eastAsia="Times New Roman" w:hAnsi="Times New Roman"/>
          <w:sz w:val="20"/>
          <w:szCs w:val="20"/>
          <w:b w:val="1"/>
          <w:bCs w:val="1"/>
          <w:color w:val="auto"/>
        </w:rPr>
      </w:pPr>
    </w:p>
    <w:p>
      <w:pPr>
        <w:jc w:val="both"/>
        <w:ind w:firstLine="757"/>
        <w:spacing w:after="0" w:line="247" w:lineRule="auto"/>
        <w:tabs>
          <w:tab w:leader="none" w:pos="1018"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20"/>
          <w:szCs w:val="20"/>
          <w:color w:val="auto"/>
        </w:rPr>
        <w:t>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provided, however, that in no event may such Award be exercised after the expiration of its maximum term (as set forth in Section 4(a)):</w:t>
      </w:r>
    </w:p>
    <w:p>
      <w:pPr>
        <w:spacing w:after="0" w:line="184" w:lineRule="exact"/>
        <w:rPr>
          <w:rFonts w:ascii="Times New Roman" w:cs="Times New Roman" w:eastAsia="Times New Roman" w:hAnsi="Times New Roman"/>
          <w:sz w:val="20"/>
          <w:szCs w:val="20"/>
          <w:b w:val="1"/>
          <w:bCs w:val="1"/>
          <w:color w:val="auto"/>
        </w:rPr>
      </w:pPr>
    </w:p>
    <w:p>
      <w:pPr>
        <w:ind w:left="100" w:firstLine="1500"/>
        <w:spacing w:after="0" w:line="269" w:lineRule="auto"/>
        <w:tabs>
          <w:tab w:leader="none" w:pos="1993" w:val="left"/>
        </w:tabs>
        <w:numPr>
          <w:ilvl w:val="1"/>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three months following the date of such termination if such termination is a termination without Cause (other than any termination due to the Participant’s Disability or death);</w:t>
      </w:r>
    </w:p>
    <w:p>
      <w:pPr>
        <w:spacing w:after="0" w:line="159" w:lineRule="exact"/>
        <w:rPr>
          <w:rFonts w:ascii="Times New Roman" w:cs="Times New Roman" w:eastAsia="Times New Roman" w:hAnsi="Times New Roman"/>
          <w:sz w:val="20"/>
          <w:szCs w:val="20"/>
          <w:b w:val="1"/>
          <w:bCs w:val="1"/>
          <w:color w:val="auto"/>
        </w:rPr>
      </w:pPr>
    </w:p>
    <w:p>
      <w:pPr>
        <w:ind w:left="2000" w:hanging="400"/>
        <w:spacing w:after="0"/>
        <w:tabs>
          <w:tab w:leader="none" w:pos="2000" w:val="left"/>
        </w:tabs>
        <w:numPr>
          <w:ilvl w:val="1"/>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12 months following the date of such termination if such termination is due to the Participant’s Disability;</w:t>
      </w:r>
    </w:p>
    <w:p>
      <w:pPr>
        <w:spacing w:after="0" w:line="215" w:lineRule="exact"/>
        <w:rPr>
          <w:rFonts w:ascii="Times New Roman" w:cs="Times New Roman" w:eastAsia="Times New Roman" w:hAnsi="Times New Roman"/>
          <w:sz w:val="20"/>
          <w:szCs w:val="20"/>
          <w:b w:val="1"/>
          <w:bCs w:val="1"/>
          <w:color w:val="auto"/>
        </w:rPr>
      </w:pPr>
    </w:p>
    <w:p>
      <w:pPr>
        <w:ind w:left="2000" w:hanging="400"/>
        <w:spacing w:after="0"/>
        <w:tabs>
          <w:tab w:leader="none" w:pos="2000" w:val="left"/>
        </w:tabs>
        <w:numPr>
          <w:ilvl w:val="1"/>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18 months following the date of such termination if such termination is due to the Participant’s death; or</w:t>
      </w:r>
    </w:p>
    <w:p>
      <w:pPr>
        <w:spacing w:after="0" w:line="215" w:lineRule="exact"/>
        <w:rPr>
          <w:rFonts w:ascii="Times New Roman" w:cs="Times New Roman" w:eastAsia="Times New Roman" w:hAnsi="Times New Roman"/>
          <w:sz w:val="20"/>
          <w:szCs w:val="20"/>
          <w:b w:val="1"/>
          <w:bCs w:val="1"/>
          <w:color w:val="auto"/>
        </w:rPr>
      </w:pPr>
    </w:p>
    <w:p>
      <w:pPr>
        <w:ind w:left="100" w:right="20" w:firstLine="1500"/>
        <w:spacing w:after="0" w:line="269" w:lineRule="auto"/>
        <w:tabs>
          <w:tab w:leader="none" w:pos="1993" w:val="left"/>
        </w:tabs>
        <w:numPr>
          <w:ilvl w:val="1"/>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18 months following the date of the Participant’s death if such death occurs following the date of such termination but during the period such Award is otherwise exercisable (as provided in (i) or (ii) above).</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terminated Award, the shares of Common Stock subject to the terminated Award, or any consideration in respect of the terminated Award.</w:t>
      </w:r>
    </w:p>
    <w:p>
      <w:pPr>
        <w:spacing w:after="0" w:line="176" w:lineRule="exact"/>
        <w:rPr>
          <w:sz w:val="20"/>
          <w:szCs w:val="20"/>
          <w:color w:val="auto"/>
        </w:rPr>
      </w:pPr>
    </w:p>
    <w:p>
      <w:pPr>
        <w:jc w:val="both"/>
        <w:ind w:firstLine="757"/>
        <w:spacing w:after="0" w:line="256" w:lineRule="auto"/>
        <w:tabs>
          <w:tab w:leader="none" w:pos="1018"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Restrictions on Exercise; Extension of Exercisability. </w:t>
      </w:r>
      <w:r>
        <w:rPr>
          <w:rFonts w:ascii="Times New Roman" w:cs="Times New Roman" w:eastAsia="Times New Roman" w:hAnsi="Times New Roman"/>
          <w:sz w:val="20"/>
          <w:szCs w:val="20"/>
          <w:color w:val="auto"/>
        </w:rPr>
        <w:t>A Participant may not exercise an Option or SAR at any time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issuance of shares of Common Stock upon such exercise would violate Applicable Law. Except as otherwise provided in the Award Agreement or other written agreement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jc w:val="both"/>
        <w:spacing w:after="0" w:line="243" w:lineRule="auto"/>
        <w:rPr>
          <w:sz w:val="20"/>
          <w:szCs w:val="20"/>
          <w:color w:val="auto"/>
        </w:rPr>
      </w:pPr>
      <w:r>
        <w:rPr>
          <w:rFonts w:ascii="Times New Roman" w:cs="Times New Roman" w:eastAsia="Times New Roman" w:hAnsi="Times New Roman"/>
          <w:sz w:val="20"/>
          <w:szCs w:val="20"/>
          <w:color w:val="auto"/>
        </w:rPr>
        <w:t>between a Participant and the Company,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82" w:lineRule="exact"/>
        <w:rPr>
          <w:sz w:val="20"/>
          <w:szCs w:val="20"/>
          <w:color w:val="auto"/>
        </w:rPr>
      </w:pPr>
    </w:p>
    <w:p>
      <w:pPr>
        <w:jc w:val="both"/>
        <w:ind w:firstLine="757"/>
        <w:spacing w:after="0" w:line="243" w:lineRule="auto"/>
        <w:tabs>
          <w:tab w:leader="none" w:pos="1018"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Non-Exempt Employees. </w:t>
      </w:r>
      <w:r>
        <w:rPr>
          <w:rFonts w:ascii="Times New Roman" w:cs="Times New Roman" w:eastAsia="Times New Roman" w:hAnsi="Times New Roman"/>
          <w:sz w:val="20"/>
          <w:szCs w:val="20"/>
          <w:color w:val="auto"/>
        </w:rPr>
        <w:t>No Option or SAR, whether or not vested, granted to an Employee who is a non-exempt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the U.S. Fair Labor Standards Act of 1938, as amended, will be first exercisable for any shares of Common Stock until at least six months following the date of grant of such Award. Notwithstanding the foregoing, in accordance with the provisions of the U.S.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4(l) is intended to operate so that any income derived by a non-exempt employee in connection with the exercise or vesting of an Option or SAR will be exempt from his or her regular rate of pay.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(m)Whole Shares. </w:t>
      </w:r>
      <w:r>
        <w:rPr>
          <w:rFonts w:ascii="Times New Roman" w:cs="Times New Roman" w:eastAsia="Times New Roman" w:hAnsi="Times New Roman"/>
          <w:sz w:val="20"/>
          <w:szCs w:val="20"/>
          <w:color w:val="auto"/>
        </w:rPr>
        <w:t>Options and SARs may be exercised only with respect to whole shares of Common Stock or their equivalents.</w:t>
      </w:r>
    </w:p>
    <w:p>
      <w:pPr>
        <w:spacing w:after="0" w:line="216"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han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1"/>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Restricted Stock Awards and RSU Awards. </w:t>
      </w:r>
      <w:r>
        <w:rPr>
          <w:rFonts w:ascii="Times New Roman" w:cs="Times New Roman" w:eastAsia="Times New Roman" w:hAnsi="Times New Roman"/>
          <w:sz w:val="20"/>
          <w:szCs w:val="20"/>
          <w:color w:val="auto"/>
        </w:rPr>
        <w:t>Each Restricted Stock Award and RSU Award will have such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75" w:lineRule="exact"/>
        <w:rPr>
          <w:rFonts w:ascii="Times New Roman" w:cs="Times New Roman" w:eastAsia="Times New Roman" w:hAnsi="Times New Roman"/>
          <w:sz w:val="20"/>
          <w:szCs w:val="20"/>
          <w:b w:val="1"/>
          <w:bCs w:val="1"/>
          <w:color w:val="auto"/>
        </w:rPr>
      </w:pPr>
    </w:p>
    <w:p>
      <w:pPr>
        <w:ind w:left="2040" w:hanging="445"/>
        <w:spacing w:after="0"/>
        <w:tabs>
          <w:tab w:leader="none" w:pos="2040" w:val="left"/>
        </w:tabs>
        <w:numPr>
          <w:ilvl w:val="2"/>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Form of Award.</w:t>
      </w:r>
    </w:p>
    <w:p>
      <w:pPr>
        <w:spacing w:after="0" w:line="219" w:lineRule="exact"/>
        <w:rPr>
          <w:rFonts w:ascii="Times New Roman" w:cs="Times New Roman" w:eastAsia="Times New Roman" w:hAnsi="Times New Roman"/>
          <w:sz w:val="20"/>
          <w:szCs w:val="20"/>
          <w:b w:val="1"/>
          <w:bCs w:val="1"/>
          <w:color w:val="auto"/>
        </w:rPr>
      </w:pPr>
    </w:p>
    <w:p>
      <w:pPr>
        <w:jc w:val="both"/>
        <w:ind w:firstLine="2254"/>
        <w:spacing w:after="0" w:line="245" w:lineRule="auto"/>
        <w:tabs>
          <w:tab w:leader="none" w:pos="2546" w:val="left"/>
        </w:tabs>
        <w:numPr>
          <w:ilvl w:val="3"/>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consistent with the Company’s Amended and Restated Bylaws (as the same may be amended or restated from time to time, the “</w:t>
      </w:r>
      <w:r>
        <w:rPr>
          <w:rFonts w:ascii="Times New Roman" w:cs="Times New Roman" w:eastAsia="Times New Roman" w:hAnsi="Times New Roman"/>
          <w:sz w:val="20"/>
          <w:szCs w:val="20"/>
          <w:b w:val="1"/>
          <w:bCs w:val="1"/>
          <w:i w:val="1"/>
          <w:iCs w:val="1"/>
          <w:color w:val="auto"/>
        </w:rPr>
        <w:t>Bylaws</w:t>
      </w:r>
      <w:r>
        <w:rPr>
          <w:rFonts w:ascii="Times New Roman" w:cs="Times New Roman" w:eastAsia="Times New Roman" w:hAnsi="Times New Roman"/>
          <w:sz w:val="20"/>
          <w:szCs w:val="20"/>
          <w:color w:val="auto"/>
        </w:rPr>
        <w:t>”),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4" w:lineRule="exact"/>
        <w:rPr>
          <w:rFonts w:ascii="Times New Roman" w:cs="Times New Roman" w:eastAsia="Times New Roman" w:hAnsi="Times New Roman"/>
          <w:sz w:val="20"/>
          <w:szCs w:val="20"/>
          <w:b w:val="1"/>
          <w:bCs w:val="1"/>
          <w:color w:val="auto"/>
        </w:rPr>
      </w:pPr>
    </w:p>
    <w:p>
      <w:pPr>
        <w:jc w:val="both"/>
        <w:ind w:firstLine="2254"/>
        <w:spacing w:after="0" w:line="249" w:lineRule="auto"/>
        <w:tabs>
          <w:tab w:leader="none" w:pos="2546" w:val="left"/>
        </w:tabs>
        <w:numPr>
          <w:ilvl w:val="3"/>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jc w:val="both"/>
        <w:spacing w:after="0" w:line="254" w:lineRule="auto"/>
        <w:rPr>
          <w:sz w:val="20"/>
          <w:szCs w:val="20"/>
          <w:color w:val="auto"/>
        </w:rPr>
      </w:pPr>
      <w:r>
        <w:rPr>
          <w:rFonts w:ascii="Times New Roman" w:cs="Times New Roman" w:eastAsia="Times New Roman" w:hAnsi="Times New Roman"/>
          <w:sz w:val="20"/>
          <w:szCs w:val="20"/>
          <w:color w:val="auto"/>
        </w:rPr>
        <w:t>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70" w:lineRule="exact"/>
        <w:rPr>
          <w:sz w:val="20"/>
          <w:szCs w:val="20"/>
          <w:color w:val="auto"/>
        </w:rPr>
      </w:pPr>
    </w:p>
    <w:p>
      <w:pPr>
        <w:jc w:val="both"/>
        <w:ind w:left="100" w:firstLine="1495"/>
        <w:spacing w:after="0" w:line="256" w:lineRule="auto"/>
        <w:tabs>
          <w:tab w:leader="none" w:pos="2047" w:val="left"/>
        </w:tabs>
        <w:numPr>
          <w:ilvl w:val="1"/>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Consideration. </w:t>
      </w:r>
      <w:r>
        <w:rPr>
          <w:rFonts w:ascii="Times New Roman" w:cs="Times New Roman" w:eastAsia="Times New Roman" w:hAnsi="Times New Roman"/>
          <w:sz w:val="20"/>
          <w:szCs w:val="20"/>
          <w:color w:val="auto"/>
        </w:rPr>
        <w:t>The Board shall determine the consideration, if any, payable by a Participant for Restricted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Awards and RSU Awards. Such consideration may include, but is not limited to, cash or check, bank draft or money order payable to the Company.</w:t>
      </w:r>
    </w:p>
    <w:p>
      <w:pPr>
        <w:spacing w:after="0" w:line="168" w:lineRule="exact"/>
        <w:rPr>
          <w:rFonts w:ascii="Times New Roman" w:cs="Times New Roman" w:eastAsia="Times New Roman" w:hAnsi="Times New Roman"/>
          <w:sz w:val="20"/>
          <w:szCs w:val="20"/>
          <w:b w:val="1"/>
          <w:bCs w:val="1"/>
          <w:color w:val="auto"/>
        </w:rPr>
      </w:pPr>
    </w:p>
    <w:p>
      <w:pPr>
        <w:jc w:val="both"/>
        <w:ind w:left="100" w:firstLine="1495"/>
        <w:spacing w:after="0" w:line="250" w:lineRule="auto"/>
        <w:tabs>
          <w:tab w:leader="none" w:pos="2047" w:val="left"/>
        </w:tabs>
        <w:numPr>
          <w:ilvl w:val="1"/>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The Board may impose such restrictions on or conditions to the vesting of a Restricted Stock Award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RSU Award as determined by the Board. Except as otherwise provided in the Award Agreement or other written agreement between a Participant and the Company, vesting of Restricted Stock Awards and RSU Awards will cease upon termination of the Participant’s Continuous Service.</w:t>
      </w:r>
    </w:p>
    <w:p>
      <w:pPr>
        <w:spacing w:after="0" w:line="175" w:lineRule="exact"/>
        <w:rPr>
          <w:rFonts w:ascii="Times New Roman" w:cs="Times New Roman" w:eastAsia="Times New Roman" w:hAnsi="Times New Roman"/>
          <w:sz w:val="20"/>
          <w:szCs w:val="20"/>
          <w:b w:val="1"/>
          <w:bCs w:val="1"/>
          <w:color w:val="auto"/>
        </w:rPr>
      </w:pPr>
    </w:p>
    <w:p>
      <w:pPr>
        <w:jc w:val="both"/>
        <w:ind w:left="100" w:firstLine="1495"/>
        <w:spacing w:after="0" w:line="245" w:lineRule="auto"/>
        <w:tabs>
          <w:tab w:leader="none" w:pos="2047" w:val="left"/>
        </w:tabs>
        <w:numPr>
          <w:ilvl w:val="1"/>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Continuous Service. </w:t>
      </w:r>
      <w:r>
        <w:rPr>
          <w:rFonts w:ascii="Times New Roman" w:cs="Times New Roman" w:eastAsia="Times New Roman" w:hAnsi="Times New Roman"/>
          <w:sz w:val="20"/>
          <w:szCs w:val="20"/>
          <w:color w:val="auto"/>
        </w:rPr>
        <w:t>Except as otherwise provided in the Award Agreement or other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between a Participant and the Company,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79" w:lineRule="exact"/>
        <w:rPr>
          <w:rFonts w:ascii="Times New Roman" w:cs="Times New Roman" w:eastAsia="Times New Roman" w:hAnsi="Times New Roman"/>
          <w:sz w:val="20"/>
          <w:szCs w:val="20"/>
          <w:b w:val="1"/>
          <w:bCs w:val="1"/>
          <w:color w:val="auto"/>
        </w:rPr>
      </w:pPr>
    </w:p>
    <w:p>
      <w:pPr>
        <w:jc w:val="both"/>
        <w:ind w:left="100" w:firstLine="1495"/>
        <w:spacing w:after="0" w:line="256" w:lineRule="auto"/>
        <w:tabs>
          <w:tab w:leader="none" w:pos="2047" w:val="left"/>
        </w:tabs>
        <w:numPr>
          <w:ilvl w:val="1"/>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Dividends and Dividend Equivalents. </w:t>
      </w:r>
      <w:r>
        <w:rPr>
          <w:rFonts w:ascii="Times New Roman" w:cs="Times New Roman" w:eastAsia="Times New Roman" w:hAnsi="Times New Roman"/>
          <w:sz w:val="20"/>
          <w:szCs w:val="20"/>
          <w:color w:val="auto"/>
        </w:rPr>
        <w:t>Dividends or dividend equivalents may be paid or credited, as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any shares of Common Stock subject to a Restricted Stock Award or RSU Award, as determined by the Board and specified in the Award Agreement.</w:t>
      </w:r>
    </w:p>
    <w:p>
      <w:pPr>
        <w:spacing w:after="0" w:line="168" w:lineRule="exact"/>
        <w:rPr>
          <w:rFonts w:ascii="Times New Roman" w:cs="Times New Roman" w:eastAsia="Times New Roman" w:hAnsi="Times New Roman"/>
          <w:sz w:val="20"/>
          <w:szCs w:val="20"/>
          <w:b w:val="1"/>
          <w:bCs w:val="1"/>
          <w:color w:val="auto"/>
        </w:rPr>
      </w:pPr>
    </w:p>
    <w:p>
      <w:pPr>
        <w:jc w:val="both"/>
        <w:ind w:left="100" w:firstLine="1495"/>
        <w:spacing w:after="0" w:line="250" w:lineRule="auto"/>
        <w:tabs>
          <w:tab w:leader="none" w:pos="2047" w:val="left"/>
        </w:tabs>
        <w:numPr>
          <w:ilvl w:val="1"/>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Settlement of RSU Awards. </w:t>
      </w:r>
      <w:r>
        <w:rPr>
          <w:rFonts w:ascii="Times New Roman" w:cs="Times New Roman" w:eastAsia="Times New Roman" w:hAnsi="Times New Roman"/>
          <w:sz w:val="20"/>
          <w:szCs w:val="20"/>
          <w:color w:val="auto"/>
        </w:rPr>
        <w:t>A RSU Award may be settled by the issuance of shares of Common Stock or cash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75" w:lineRule="exact"/>
        <w:rPr>
          <w:rFonts w:ascii="Times New Roman" w:cs="Times New Roman" w:eastAsia="Times New Roman" w:hAnsi="Times New Roman"/>
          <w:sz w:val="20"/>
          <w:szCs w:val="20"/>
          <w:b w:val="1"/>
          <w:bCs w:val="1"/>
          <w:color w:val="auto"/>
        </w:rPr>
      </w:pPr>
    </w:p>
    <w:p>
      <w:pPr>
        <w:jc w:val="both"/>
        <w:ind w:right="20" w:firstLine="757"/>
        <w:spacing w:after="0" w:line="256" w:lineRule="auto"/>
        <w:tabs>
          <w:tab w:leader="none" w:pos="1018"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Performance Awards. </w:t>
      </w:r>
      <w:r>
        <w:rPr>
          <w:rFonts w:ascii="Times New Roman" w:cs="Times New Roman" w:eastAsia="Times New Roman" w:hAnsi="Times New Roman"/>
          <w:sz w:val="20"/>
          <w:szCs w:val="20"/>
          <w:color w:val="auto"/>
        </w:rPr>
        <w:t>With respect to any Performance Award, the length of any Performance Period, the Performance Goals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achieved during the Performance Period, the other terms and conditions of such Award, and the measure of whether and to what degree such Performance Goals have been attained will be determined by the Board.</w:t>
      </w:r>
    </w:p>
    <w:p>
      <w:pPr>
        <w:spacing w:after="0" w:line="168"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Other Awards. </w:t>
      </w:r>
      <w:r>
        <w:rPr>
          <w:rFonts w:ascii="Times New Roman" w:cs="Times New Roman" w:eastAsia="Times New Roman" w:hAnsi="Times New Roman"/>
          <w:sz w:val="20"/>
          <w:szCs w:val="20"/>
          <w:color w:val="auto"/>
        </w:rPr>
        <w:t>Other Awards may be granted either alone or in addition to Awards provided for under Section 4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 w:hanging="512"/>
        <w:spacing w:after="0"/>
        <w:tabs>
          <w:tab w:leader="none" w:pos="52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djustments upon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hanges in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ommon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vents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ind w:left="1020" w:hanging="263"/>
        <w:spacing w:after="0"/>
        <w:tabs>
          <w:tab w:leader="none" w:pos="102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Capitalization Adjustments.  </w:t>
      </w:r>
      <w:r>
        <w:rPr>
          <w:rFonts w:ascii="Times New Roman" w:cs="Times New Roman" w:eastAsia="Times New Roman" w:hAnsi="Times New Roman"/>
          <w:sz w:val="20"/>
          <w:szCs w:val="20"/>
          <w:color w:val="auto"/>
        </w:rPr>
        <w:t>In the event of a Capitalization Adjustment, the Board shall appropriately and proportionately</w:t>
      </w:r>
    </w:p>
    <w:p>
      <w:pPr>
        <w:spacing w:after="0" w:line="25" w:lineRule="exact"/>
        <w:rPr>
          <w:rFonts w:ascii="Times New Roman" w:cs="Times New Roman" w:eastAsia="Times New Roman" w:hAnsi="Times New Roman"/>
          <w:sz w:val="20"/>
          <w:szCs w:val="20"/>
          <w:b w:val="1"/>
          <w:bCs w:val="1"/>
          <w:color w:val="auto"/>
        </w:rPr>
      </w:pPr>
    </w:p>
    <w:p>
      <w:pPr>
        <w:jc w:val="both"/>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equivalent benefit for any fractional shares or fractional shares that might be created by the adjustments referred to in the preceding provisions of this Section.</w:t>
      </w:r>
    </w:p>
    <w:p>
      <w:pPr>
        <w:spacing w:after="0" w:line="186" w:lineRule="exact"/>
        <w:rPr>
          <w:rFonts w:ascii="Times New Roman" w:cs="Times New Roman" w:eastAsia="Times New Roman" w:hAnsi="Times New Roman"/>
          <w:sz w:val="20"/>
          <w:szCs w:val="20"/>
          <w:b w:val="1"/>
          <w:bCs w:val="1"/>
          <w:color w:val="auto"/>
        </w:rPr>
      </w:pPr>
    </w:p>
    <w:p>
      <w:pPr>
        <w:jc w:val="both"/>
        <w:ind w:firstLine="757"/>
        <w:spacing w:after="0" w:line="244" w:lineRule="auto"/>
        <w:tabs>
          <w:tab w:leader="none" w:pos="1018"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Dissolution or Liquidation. </w:t>
      </w:r>
      <w:r>
        <w:rPr>
          <w:rFonts w:ascii="Times New Roman" w:cs="Times New Roman" w:eastAsia="Times New Roman" w:hAnsi="Times New Roman"/>
          <w:sz w:val="20"/>
          <w:szCs w:val="20"/>
          <w:color w:val="auto"/>
        </w:rPr>
        <w:t>Except as otherwise provided in the Award Agreement, in the event of a dissolution or liquidation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1"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Corporate Transaction. </w:t>
      </w:r>
      <w:r>
        <w:rPr>
          <w:rFonts w:ascii="Times New Roman" w:cs="Times New Roman" w:eastAsia="Times New Roman" w:hAnsi="Times New Roman"/>
          <w:sz w:val="20"/>
          <w:szCs w:val="20"/>
          <w:color w:val="auto"/>
        </w:rPr>
        <w:t>The following provisions will apply to Awards in the event of a Corporate Transaction except as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in Section 11, and unless otherwise provided in the instrument evidencing the Award or any other written agreement between the Company or any Affiliate and the Participant or unless otherwise expressly provided by the Board at the time of grant of an Award.</w:t>
      </w:r>
    </w:p>
    <w:p>
      <w:pPr>
        <w:spacing w:after="0" w:line="168" w:lineRule="exact"/>
        <w:rPr>
          <w:rFonts w:ascii="Times New Roman" w:cs="Times New Roman" w:eastAsia="Times New Roman" w:hAnsi="Times New Roman"/>
          <w:sz w:val="20"/>
          <w:szCs w:val="20"/>
          <w:b w:val="1"/>
          <w:bCs w:val="1"/>
          <w:color w:val="auto"/>
        </w:rPr>
      </w:pPr>
    </w:p>
    <w:p>
      <w:pPr>
        <w:jc w:val="both"/>
        <w:ind w:left="100" w:firstLine="1495"/>
        <w:spacing w:after="0" w:line="243" w:lineRule="auto"/>
        <w:tabs>
          <w:tab w:leader="none" w:pos="2047" w:val="left"/>
        </w:tabs>
        <w:numPr>
          <w:ilvl w:val="1"/>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Awards May Be Assumed. </w:t>
      </w:r>
      <w:r>
        <w:rPr>
          <w:rFonts w:ascii="Times New Roman" w:cs="Times New Roman" w:eastAsia="Times New Roman" w:hAnsi="Times New Roman"/>
          <w:sz w:val="20"/>
          <w:szCs w:val="20"/>
          <w:color w:val="auto"/>
        </w:rPr>
        <w:t>In the event of a Corporate Transaction, any surviving corporation or acquiring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85" w:lineRule="exact"/>
        <w:rPr>
          <w:rFonts w:ascii="Times New Roman" w:cs="Times New Roman" w:eastAsia="Times New Roman" w:hAnsi="Times New Roman"/>
          <w:sz w:val="20"/>
          <w:szCs w:val="20"/>
          <w:b w:val="1"/>
          <w:bCs w:val="1"/>
          <w:color w:val="auto"/>
        </w:rPr>
      </w:pPr>
    </w:p>
    <w:p>
      <w:pPr>
        <w:jc w:val="both"/>
        <w:ind w:left="100" w:firstLine="1495"/>
        <w:spacing w:after="0" w:line="243" w:lineRule="auto"/>
        <w:tabs>
          <w:tab w:leader="none" w:pos="2047" w:val="left"/>
        </w:tabs>
        <w:numPr>
          <w:ilvl w:val="1"/>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Awards Held by Current Participants. </w:t>
      </w:r>
      <w:r>
        <w:rPr>
          <w:rFonts w:ascii="Times New Roman" w:cs="Times New Roman" w:eastAsia="Times New Roman" w:hAnsi="Times New Roman"/>
          <w:sz w:val="20"/>
          <w:szCs w:val="20"/>
          <w:color w:val="auto"/>
        </w:rPr>
        <w:t>In the event of a Corporate Transaction in which the surviving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20"/>
          <w:szCs w:val="20"/>
          <w:b w:val="1"/>
          <w:bCs w:val="1"/>
          <w:i w:val="1"/>
          <w:iCs w:val="1"/>
          <w:color w:val="auto"/>
        </w:rPr>
        <w:t>Current Participants</w:t>
      </w:r>
      <w:r>
        <w:rPr>
          <w:rFonts w:ascii="Times New Roman" w:cs="Times New Roman" w:eastAsia="Times New Roman" w:hAnsi="Times New Roman"/>
          <w:sz w:val="20"/>
          <w:szCs w:val="20"/>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8" w:name="page139"/>
    <w:bookmarkEnd w:id="138"/>
    <w:p>
      <w:pPr>
        <w:jc w:val="both"/>
        <w:ind w:left="100"/>
        <w:spacing w:after="0" w:line="244" w:lineRule="auto"/>
        <w:rPr>
          <w:sz w:val="20"/>
          <w:szCs w:val="20"/>
          <w:color w:val="auto"/>
        </w:rPr>
      </w:pPr>
      <w:r>
        <w:rPr>
          <w:rFonts w:ascii="Times New Roman" w:cs="Times New Roman" w:eastAsia="Times New Roman" w:hAnsi="Times New Roman"/>
          <w:sz w:val="20"/>
          <w:szCs w:val="20"/>
          <w:color w:val="auto"/>
        </w:rPr>
        <w:t>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182" w:lineRule="exact"/>
        <w:rPr>
          <w:sz w:val="20"/>
          <w:szCs w:val="20"/>
          <w:color w:val="auto"/>
        </w:rPr>
      </w:pPr>
    </w:p>
    <w:p>
      <w:pPr>
        <w:jc w:val="both"/>
        <w:ind w:left="100" w:firstLine="1495"/>
        <w:spacing w:after="0" w:line="246" w:lineRule="auto"/>
        <w:tabs>
          <w:tab w:leader="none" w:pos="2047" w:val="left"/>
        </w:tabs>
        <w:numPr>
          <w:ilvl w:val="2"/>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Awards Held by Persons other than Current Participants. </w:t>
      </w:r>
      <w:r>
        <w:rPr>
          <w:rFonts w:ascii="Times New Roman" w:cs="Times New Roman" w:eastAsia="Times New Roman" w:hAnsi="Times New Roman"/>
          <w:sz w:val="20"/>
          <w:szCs w:val="20"/>
          <w:color w:val="auto"/>
        </w:rPr>
        <w:t>In the event of a Corporate Transaction in which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78" w:lineRule="exact"/>
        <w:rPr>
          <w:rFonts w:ascii="Times New Roman" w:cs="Times New Roman" w:eastAsia="Times New Roman" w:hAnsi="Times New Roman"/>
          <w:sz w:val="20"/>
          <w:szCs w:val="20"/>
          <w:b w:val="1"/>
          <w:bCs w:val="1"/>
          <w:color w:val="auto"/>
        </w:rPr>
      </w:pPr>
    </w:p>
    <w:p>
      <w:pPr>
        <w:jc w:val="both"/>
        <w:ind w:left="100" w:firstLine="1495"/>
        <w:spacing w:after="0" w:line="246" w:lineRule="auto"/>
        <w:tabs>
          <w:tab w:leader="none" w:pos="2047" w:val="left"/>
        </w:tabs>
        <w:numPr>
          <w:ilvl w:val="2"/>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Payment for Awards in Lieu of Exercise. </w:t>
      </w:r>
      <w:r>
        <w:rPr>
          <w:rFonts w:ascii="Times New Roman" w:cs="Times New Roman" w:eastAsia="Times New Roman" w:hAnsi="Times New Roman"/>
          <w:sz w:val="20"/>
          <w:szCs w:val="20"/>
          <w:color w:val="auto"/>
        </w:rPr>
        <w:t>Notwithstanding the foregoing, in the event an Award will terminate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8"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1"/>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Appointment of Stockholder Representative. </w:t>
      </w:r>
      <w:r>
        <w:rPr>
          <w:rFonts w:ascii="Times New Roman" w:cs="Times New Roman" w:eastAsia="Times New Roman" w:hAnsi="Times New Roman"/>
          <w:sz w:val="20"/>
          <w:szCs w:val="20"/>
          <w:color w:val="auto"/>
        </w:rPr>
        <w:t>As a condition to the receipt of an Award under this Plan, a Participant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5" w:lineRule="exact"/>
        <w:rPr>
          <w:rFonts w:ascii="Times New Roman" w:cs="Times New Roman" w:eastAsia="Times New Roman" w:hAnsi="Times New Roman"/>
          <w:sz w:val="20"/>
          <w:szCs w:val="20"/>
          <w:b w:val="1"/>
          <w:bCs w:val="1"/>
          <w:color w:val="auto"/>
        </w:rPr>
      </w:pPr>
    </w:p>
    <w:p>
      <w:pPr>
        <w:jc w:val="both"/>
        <w:ind w:firstLine="757"/>
        <w:spacing w:after="0" w:line="244" w:lineRule="auto"/>
        <w:tabs>
          <w:tab w:leader="none" w:pos="1018" w:val="left"/>
        </w:tabs>
        <w:numPr>
          <w:ilvl w:val="1"/>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Restriction on Right to Undertake Transactions. </w:t>
      </w:r>
      <w:r>
        <w:rPr>
          <w:rFonts w:ascii="Times New Roman" w:cs="Times New Roman" w:eastAsia="Times New Roman" w:hAnsi="Times New Roman"/>
          <w:sz w:val="20"/>
          <w:szCs w:val="20"/>
          <w:color w:val="auto"/>
        </w:rPr>
        <w:t>The grant of any Award under the Plan and the issuance of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8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b w:val="1"/>
          <w:bCs w:val="1"/>
          <w:color w:val="auto"/>
        </w:rPr>
      </w:pPr>
    </w:p>
    <w:p>
      <w:pPr>
        <w:ind w:firstLine="757"/>
        <w:spacing w:after="0" w:line="273" w:lineRule="auto"/>
        <w:tabs>
          <w:tab w:leader="none" w:pos="1018" w:val="left"/>
        </w:tabs>
        <w:numPr>
          <w:ilvl w:val="1"/>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Administration by Board. </w:t>
      </w:r>
      <w:r>
        <w:rPr>
          <w:rFonts w:ascii="Times New Roman" w:cs="Times New Roman" w:eastAsia="Times New Roman" w:hAnsi="Times New Roman"/>
          <w:sz w:val="20"/>
          <w:szCs w:val="20"/>
          <w:color w:val="auto"/>
        </w:rPr>
        <w:t>The Board will administer the Plan unless and until the Board delegates administration of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 Committee or Committees, as provided in subsection (c) below.</w:t>
      </w:r>
    </w:p>
    <w:p>
      <w:pPr>
        <w:spacing w:after="0" w:line="151"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Powers of Board. </w:t>
      </w:r>
      <w:r>
        <w:rPr>
          <w:rFonts w:ascii="Times New Roman" w:cs="Times New Roman" w:eastAsia="Times New Roman" w:hAnsi="Times New Roman"/>
          <w:sz w:val="20"/>
          <w:szCs w:val="20"/>
          <w:color w:val="auto"/>
        </w:rPr>
        <w:t>The Board will have the power, subject to, and within the limitations of, the express provisions of the Plan: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jc w:val="both"/>
        <w:ind w:firstLine="1495"/>
        <w:spacing w:after="0" w:line="244" w:lineRule="auto"/>
        <w:tabs>
          <w:tab w:leader="none" w:pos="1947"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85" w:lineRule="exact"/>
        <w:rPr>
          <w:rFonts w:ascii="Times New Roman" w:cs="Times New Roman" w:eastAsia="Times New Roman" w:hAnsi="Times New Roman"/>
          <w:sz w:val="20"/>
          <w:szCs w:val="20"/>
          <w:b w:val="1"/>
          <w:bCs w:val="1"/>
          <w:color w:val="auto"/>
        </w:rPr>
      </w:pPr>
    </w:p>
    <w:p>
      <w:pPr>
        <w:jc w:val="both"/>
        <w:ind w:firstLine="1495"/>
        <w:spacing w:after="0" w:line="254" w:lineRule="auto"/>
        <w:tabs>
          <w:tab w:leader="none" w:pos="1947"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4" w:lineRule="exact"/>
        <w:rPr>
          <w:rFonts w:ascii="Times New Roman" w:cs="Times New Roman" w:eastAsia="Times New Roman" w:hAnsi="Times New Roman"/>
          <w:sz w:val="20"/>
          <w:szCs w:val="20"/>
          <w:b w:val="1"/>
          <w:bCs w:val="1"/>
          <w:color w:val="auto"/>
        </w:rPr>
      </w:pPr>
    </w:p>
    <w:p>
      <w:pPr>
        <w:ind w:left="1940" w:hanging="445"/>
        <w:spacing w:after="0"/>
        <w:tabs>
          <w:tab w:leader="none" w:pos="194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settle all controversies regarding the Plan and Awards granted under it.</w:t>
      </w:r>
    </w:p>
    <w:p>
      <w:pPr>
        <w:spacing w:after="0" w:line="215" w:lineRule="exact"/>
        <w:rPr>
          <w:rFonts w:ascii="Times New Roman" w:cs="Times New Roman" w:eastAsia="Times New Roman" w:hAnsi="Times New Roman"/>
          <w:sz w:val="20"/>
          <w:szCs w:val="20"/>
          <w:b w:val="1"/>
          <w:bCs w:val="1"/>
          <w:color w:val="auto"/>
        </w:rPr>
      </w:pPr>
    </w:p>
    <w:p>
      <w:pPr>
        <w:jc w:val="both"/>
        <w:ind w:firstLine="1495"/>
        <w:spacing w:after="0" w:line="254" w:lineRule="auto"/>
        <w:tabs>
          <w:tab w:leader="none" w:pos="1947"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74" w:lineRule="exact"/>
        <w:rPr>
          <w:rFonts w:ascii="Times New Roman" w:cs="Times New Roman" w:eastAsia="Times New Roman" w:hAnsi="Times New Roman"/>
          <w:sz w:val="20"/>
          <w:szCs w:val="20"/>
          <w:b w:val="1"/>
          <w:bCs w:val="1"/>
          <w:color w:val="auto"/>
        </w:rPr>
      </w:pPr>
    </w:p>
    <w:p>
      <w:pPr>
        <w:jc w:val="both"/>
        <w:ind w:firstLine="1495"/>
        <w:spacing w:after="0" w:line="249" w:lineRule="auto"/>
        <w:tabs>
          <w:tab w:leader="none" w:pos="1947"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79" w:lineRule="exact"/>
        <w:rPr>
          <w:rFonts w:ascii="Times New Roman" w:cs="Times New Roman" w:eastAsia="Times New Roman" w:hAnsi="Times New Roman"/>
          <w:sz w:val="20"/>
          <w:szCs w:val="20"/>
          <w:b w:val="1"/>
          <w:bCs w:val="1"/>
          <w:color w:val="auto"/>
        </w:rPr>
      </w:pPr>
    </w:p>
    <w:p>
      <w:pPr>
        <w:ind w:firstLine="1495"/>
        <w:spacing w:after="0" w:line="269" w:lineRule="auto"/>
        <w:tabs>
          <w:tab w:leader="none" w:pos="1947"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59" w:lineRule="exact"/>
        <w:rPr>
          <w:rFonts w:ascii="Times New Roman" w:cs="Times New Roman" w:eastAsia="Times New Roman" w:hAnsi="Times New Roman"/>
          <w:sz w:val="20"/>
          <w:szCs w:val="20"/>
          <w:b w:val="1"/>
          <w:bCs w:val="1"/>
          <w:color w:val="auto"/>
        </w:rPr>
      </w:pPr>
    </w:p>
    <w:p>
      <w:pPr>
        <w:jc w:val="both"/>
        <w:ind w:firstLine="1495"/>
        <w:spacing w:after="0" w:line="249" w:lineRule="auto"/>
        <w:tabs>
          <w:tab w:leader="none" w:pos="1947"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79" w:lineRule="exact"/>
        <w:rPr>
          <w:rFonts w:ascii="Times New Roman" w:cs="Times New Roman" w:eastAsia="Times New Roman" w:hAnsi="Times New Roman"/>
          <w:sz w:val="20"/>
          <w:szCs w:val="20"/>
          <w:b w:val="1"/>
          <w:bCs w:val="1"/>
          <w:color w:val="auto"/>
        </w:rPr>
      </w:pPr>
    </w:p>
    <w:p>
      <w:pPr>
        <w:ind w:left="1940" w:hanging="445"/>
        <w:spacing w:after="0"/>
        <w:tabs>
          <w:tab w:leader="none" w:pos="194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submit any amendment to the Plan for stockholder approval.</w:t>
      </w:r>
    </w:p>
    <w:p>
      <w:pPr>
        <w:spacing w:after="0" w:line="215" w:lineRule="exact"/>
        <w:rPr>
          <w:rFonts w:ascii="Times New Roman" w:cs="Times New Roman" w:eastAsia="Times New Roman" w:hAnsi="Times New Roman"/>
          <w:sz w:val="20"/>
          <w:szCs w:val="20"/>
          <w:b w:val="1"/>
          <w:bCs w:val="1"/>
          <w:color w:val="auto"/>
        </w:rPr>
      </w:pPr>
    </w:p>
    <w:p>
      <w:pPr>
        <w:jc w:val="both"/>
        <w:ind w:firstLine="1495"/>
        <w:spacing w:after="0" w:line="246" w:lineRule="auto"/>
        <w:tabs>
          <w:tab w:leader="none" w:pos="1947"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Materially Impaired by any such amendment unless (1) the Company requests the consent of the affected Participant, and (2) such Participant consents in writing.</w:t>
      </w:r>
    </w:p>
    <w:p>
      <w:pPr>
        <w:spacing w:after="0" w:line="184" w:lineRule="exact"/>
        <w:rPr>
          <w:rFonts w:ascii="Times New Roman" w:cs="Times New Roman" w:eastAsia="Times New Roman" w:hAnsi="Times New Roman"/>
          <w:sz w:val="20"/>
          <w:szCs w:val="20"/>
          <w:b w:val="1"/>
          <w:bCs w:val="1"/>
          <w:color w:val="auto"/>
        </w:rPr>
      </w:pPr>
    </w:p>
    <w:p>
      <w:pPr>
        <w:ind w:right="20" w:firstLine="1495"/>
        <w:spacing w:after="0" w:line="269" w:lineRule="auto"/>
        <w:tabs>
          <w:tab w:leader="none" w:pos="1947"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Generally, to exercise such powers and to perform such acts as the Board deems necessary or expedient to promote the best interests of the Company and that are not in conflict with the provisions of the Plan or Awards.</w:t>
      </w:r>
    </w:p>
    <w:p>
      <w:pPr>
        <w:spacing w:after="0" w:line="200" w:lineRule="exact"/>
        <w:rPr>
          <w:sz w:val="20"/>
          <w:szCs w:val="20"/>
          <w:color w:val="auto"/>
        </w:rPr>
      </w:pPr>
    </w:p>
    <w:p>
      <w:pPr>
        <w:spacing w:after="0" w:line="3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481330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13" w:right="339" w:bottom="1440" w:gutter="0" w:footer="0" w:header="0"/>
        </w:sectPr>
      </w:pPr>
    </w:p>
    <w:bookmarkStart w:id="140" w:name="page141"/>
    <w:bookmarkEnd w:id="140"/>
    <w:p>
      <w:pPr>
        <w:jc w:val="both"/>
        <w:ind w:left="100" w:firstLine="1495"/>
        <w:spacing w:after="0" w:line="249" w:lineRule="auto"/>
        <w:tabs>
          <w:tab w:leader="none" w:pos="2047" w:val="left"/>
        </w:tabs>
        <w:numPr>
          <w:ilvl w:val="2"/>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w:t>
      </w:r>
    </w:p>
    <w:p>
      <w:pPr>
        <w:spacing w:after="0" w:line="179" w:lineRule="exact"/>
        <w:rPr>
          <w:rFonts w:ascii="Times New Roman" w:cs="Times New Roman" w:eastAsia="Times New Roman" w:hAnsi="Times New Roman"/>
          <w:sz w:val="20"/>
          <w:szCs w:val="20"/>
          <w:b w:val="1"/>
          <w:bCs w:val="1"/>
          <w:color w:val="auto"/>
        </w:rPr>
      </w:pPr>
    </w:p>
    <w:p>
      <w:pPr>
        <w:jc w:val="both"/>
        <w:ind w:left="100" w:firstLine="1495"/>
        <w:spacing w:after="0" w:line="245" w:lineRule="auto"/>
        <w:tabs>
          <w:tab w:leader="none" w:pos="2047" w:val="left"/>
        </w:tabs>
        <w:numPr>
          <w:ilvl w:val="2"/>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w:t>
      </w:r>
    </w:p>
    <w:p>
      <w:pPr>
        <w:ind w:left="100" w:hanging="3"/>
        <w:spacing w:after="0" w:line="246" w:lineRule="auto"/>
        <w:tabs>
          <w:tab w:leader="none" w:pos="42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and/or (C) other valuable consideration (as determined by the Board); or (3) any other action that is treated as a repricing under generally accepted accounting principles.</w:t>
      </w:r>
    </w:p>
    <w:p>
      <w:pPr>
        <w:spacing w:after="0" w:line="17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Delegation to Committee.</w:t>
      </w:r>
    </w:p>
    <w:p>
      <w:pPr>
        <w:spacing w:after="0" w:line="215" w:lineRule="exact"/>
        <w:rPr>
          <w:rFonts w:ascii="Times New Roman" w:cs="Times New Roman" w:eastAsia="Times New Roman" w:hAnsi="Times New Roman"/>
          <w:sz w:val="20"/>
          <w:szCs w:val="20"/>
          <w:b w:val="1"/>
          <w:bCs w:val="1"/>
          <w:color w:val="auto"/>
        </w:rPr>
      </w:pPr>
    </w:p>
    <w:p>
      <w:pPr>
        <w:jc w:val="both"/>
        <w:ind w:left="100" w:firstLine="1495"/>
        <w:spacing w:after="0" w:line="243" w:lineRule="auto"/>
        <w:tabs>
          <w:tab w:leader="none" w:pos="2047" w:val="left"/>
        </w:tabs>
        <w:numPr>
          <w:ilvl w:val="2"/>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The Board may delegate some or all of the administration of the Plan to a Committee or Committees.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5" w:lineRule="exact"/>
        <w:rPr>
          <w:rFonts w:ascii="Times New Roman" w:cs="Times New Roman" w:eastAsia="Times New Roman" w:hAnsi="Times New Roman"/>
          <w:sz w:val="20"/>
          <w:szCs w:val="20"/>
          <w:b w:val="1"/>
          <w:bCs w:val="1"/>
          <w:color w:val="auto"/>
        </w:rPr>
      </w:pPr>
    </w:p>
    <w:p>
      <w:pPr>
        <w:jc w:val="both"/>
        <w:ind w:left="100" w:firstLine="1495"/>
        <w:spacing w:after="0" w:line="247" w:lineRule="auto"/>
        <w:tabs>
          <w:tab w:leader="none" w:pos="2047" w:val="left"/>
        </w:tabs>
        <w:numPr>
          <w:ilvl w:val="2"/>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Rule 16b-3 Compliance. </w:t>
      </w:r>
      <w:r>
        <w:rPr>
          <w:rFonts w:ascii="Times New Roman" w:cs="Times New Roman" w:eastAsia="Times New Roman" w:hAnsi="Times New Roman"/>
          <w:sz w:val="20"/>
          <w:szCs w:val="20"/>
          <w:color w:val="auto"/>
        </w:rPr>
        <w:t>To the extent an Award is intended to qualify for the exemption from Section 16(b)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Exchange Act that is available under Rule 16b-3 of the Exchange Act, the Award will be granted by the Board or a Committee that consists solely of two or more Rule 16b-3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80" w:lineRule="exact"/>
        <w:rPr>
          <w:rFonts w:ascii="Times New Roman" w:cs="Times New Roman" w:eastAsia="Times New Roman" w:hAnsi="Times New Roman"/>
          <w:sz w:val="20"/>
          <w:szCs w:val="20"/>
          <w:b w:val="1"/>
          <w:bCs w:val="1"/>
          <w:color w:val="auto"/>
        </w:rPr>
      </w:pPr>
    </w:p>
    <w:p>
      <w:pPr>
        <w:ind w:firstLine="757"/>
        <w:spacing w:after="0" w:line="273" w:lineRule="auto"/>
        <w:tabs>
          <w:tab w:leader="none" w:pos="1018" w:val="left"/>
        </w:tabs>
        <w:numPr>
          <w:ilvl w:val="1"/>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Effect of Board’s Decision. </w:t>
      </w:r>
      <w:r>
        <w:rPr>
          <w:rFonts w:ascii="Times New Roman" w:cs="Times New Roman" w:eastAsia="Times New Roman" w:hAnsi="Times New Roman"/>
          <w:sz w:val="20"/>
          <w:szCs w:val="20"/>
          <w:color w:val="auto"/>
        </w:rPr>
        <w:t>All determinations, interpretations and constructions made by the Board or any Committee in good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faith will not be subject to review by any person and will be final, binding and conclusive on all persons.</w:t>
      </w:r>
    </w:p>
    <w:p>
      <w:pPr>
        <w:spacing w:after="0" w:line="151" w:lineRule="exact"/>
        <w:rPr>
          <w:rFonts w:ascii="Times New Roman" w:cs="Times New Roman" w:eastAsia="Times New Roman" w:hAnsi="Times New Roman"/>
          <w:sz w:val="20"/>
          <w:szCs w:val="20"/>
          <w:b w:val="1"/>
          <w:bCs w:val="1"/>
          <w:color w:val="auto"/>
        </w:rPr>
      </w:pPr>
    </w:p>
    <w:p>
      <w:pPr>
        <w:jc w:val="both"/>
        <w:ind w:firstLine="757"/>
        <w:spacing w:after="0" w:line="244" w:lineRule="auto"/>
        <w:tabs>
          <w:tab w:leader="none" w:pos="1018" w:val="left"/>
        </w:tabs>
        <w:numPr>
          <w:ilvl w:val="1"/>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Delegation to an Officer. </w:t>
      </w:r>
      <w:r>
        <w:rPr>
          <w:rFonts w:ascii="Times New Roman" w:cs="Times New Roman" w:eastAsia="Times New Roman" w:hAnsi="Times New Roman"/>
          <w:sz w:val="20"/>
          <w:szCs w:val="20"/>
          <w:color w:val="auto"/>
        </w:rPr>
        <w:t>The Board or any Committee may delegate to one or more Officers the authority to do one or both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(i) designate Employees who are not Officers to be recipients of Awards, as well as designate the terms thereof, in each case to the extent permitted by Applicable Law,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spacing w:after="0" w:line="269" w:lineRule="auto"/>
        <w:rPr>
          <w:sz w:val="20"/>
          <w:szCs w:val="20"/>
          <w:color w:val="auto"/>
        </w:rPr>
      </w:pPr>
      <w:r>
        <w:rPr>
          <w:rFonts w:ascii="Times New Roman" w:cs="Times New Roman" w:eastAsia="Times New Roman" w:hAnsi="Times New Roman"/>
          <w:sz w:val="20"/>
          <w:szCs w:val="20"/>
          <w:color w:val="auto"/>
        </w:rPr>
        <w:t>Committee may delegate to an Officer who is acting solely in the capacity of an Officer (and not also as a Director) the authority to determine the Fair Market Value.</w:t>
      </w:r>
    </w:p>
    <w:p>
      <w:pPr>
        <w:spacing w:after="0" w:line="155" w:lineRule="exact"/>
        <w:rPr>
          <w:sz w:val="20"/>
          <w:szCs w:val="20"/>
          <w:color w:val="auto"/>
        </w:rPr>
      </w:pPr>
    </w:p>
    <w:p>
      <w:pPr>
        <w:ind w:left="520" w:hanging="512"/>
        <w:spacing w:after="0"/>
        <w:tabs>
          <w:tab w:leader="none" w:pos="52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ithholding</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Withholding Authorization. </w:t>
      </w:r>
      <w:r>
        <w:rPr>
          <w:rFonts w:ascii="Times New Roman" w:cs="Times New Roman" w:eastAsia="Times New Roman" w:hAnsi="Times New Roman"/>
          <w:sz w:val="20"/>
          <w:szCs w:val="20"/>
          <w:color w:val="auto"/>
        </w:rPr>
        <w:t>As a condition to acceptance of any Award under the Plan, a Participant authorizes withholding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payroll and any other amounts payable to such Participant, and otherwise agree to make adequate provision for (including), any sums required to satisfy any U.S. and/or non-U.S. federal, state, or local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78"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018" w:val="left"/>
        </w:tabs>
        <w:numPr>
          <w:ilvl w:val="1"/>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Satisfaction of Withholding Obligation. </w:t>
      </w:r>
      <w:r>
        <w:rPr>
          <w:rFonts w:ascii="Times New Roman" w:cs="Times New Roman" w:eastAsia="Times New Roman" w:hAnsi="Times New Roman"/>
          <w:sz w:val="20"/>
          <w:szCs w:val="20"/>
          <w:color w:val="auto"/>
        </w:rPr>
        <w:t>To the extent permitted by the terms of an Award Agreement, the Company may,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sole discretion, satisfy any U.S. and/or non-U.S. federal, state, local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w:t>
      </w:r>
    </w:p>
    <w:p>
      <w:pPr>
        <w:spacing w:after="0" w:line="179" w:lineRule="exact"/>
        <w:rPr>
          <w:rFonts w:ascii="Times New Roman" w:cs="Times New Roman" w:eastAsia="Times New Roman" w:hAnsi="Times New Roman"/>
          <w:sz w:val="20"/>
          <w:szCs w:val="20"/>
          <w:b w:val="1"/>
          <w:bCs w:val="1"/>
          <w:color w:val="auto"/>
        </w:rPr>
      </w:pPr>
    </w:p>
    <w:p>
      <w:pPr>
        <w:jc w:val="both"/>
        <w:ind w:firstLine="757"/>
        <w:spacing w:after="0" w:line="241" w:lineRule="auto"/>
        <w:tabs>
          <w:tab w:leader="none" w:pos="1018" w:val="left"/>
        </w:tabs>
        <w:numPr>
          <w:ilvl w:val="1"/>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Obligation to Notify or Minimize Taxes; No Liability to Claims. </w:t>
      </w:r>
      <w:r>
        <w:rPr>
          <w:rFonts w:ascii="Times New Roman" w:cs="Times New Roman" w:eastAsia="Times New Roman" w:hAnsi="Times New Roman"/>
          <w:sz w:val="20"/>
          <w:szCs w:val="20"/>
          <w:color w:val="auto"/>
        </w:rPr>
        <w:t>Except as required by Applicable Law the Company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to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w:t>
      </w:r>
    </w:p>
    <w:p>
      <w:pPr>
        <w:spacing w:after="0" w:line="194"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1"/>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Withholding Indemnification. </w:t>
      </w:r>
      <w:r>
        <w:rPr>
          <w:rFonts w:ascii="Times New Roman" w:cs="Times New Roman" w:eastAsia="Times New Roman" w:hAnsi="Times New Roman"/>
          <w:sz w:val="20"/>
          <w:szCs w:val="20"/>
          <w:color w:val="auto"/>
        </w:rPr>
        <w:t>As a condition to accepting an Award under the Plan, in the event that the amount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ind w:left="520" w:hanging="512"/>
        <w:spacing w:after="0"/>
        <w:tabs>
          <w:tab w:leader="none" w:pos="52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b w:val="1"/>
          <w:bCs w:val="1"/>
          <w:color w:val="auto"/>
        </w:rPr>
      </w:pPr>
    </w:p>
    <w:p>
      <w:pPr>
        <w:ind w:firstLine="757"/>
        <w:spacing w:after="0" w:line="273" w:lineRule="auto"/>
        <w:tabs>
          <w:tab w:leader="none" w:pos="1018" w:val="left"/>
        </w:tabs>
        <w:numPr>
          <w:ilvl w:val="1"/>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 of Shares. </w:t>
      </w:r>
      <w:r>
        <w:rPr>
          <w:rFonts w:ascii="Times New Roman" w:cs="Times New Roman" w:eastAsia="Times New Roman" w:hAnsi="Times New Roman"/>
          <w:sz w:val="20"/>
          <w:szCs w:val="20"/>
          <w:color w:val="auto"/>
        </w:rPr>
        <w:t>The stock issuable under the Plan will be shares of authorized but unissued or reacquired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shares repurchased by the Company on the open market or otherwise.</w:t>
      </w:r>
    </w:p>
    <w:p>
      <w:pPr>
        <w:spacing w:after="0" w:line="151" w:lineRule="exact"/>
        <w:rPr>
          <w:rFonts w:ascii="Times New Roman" w:cs="Times New Roman" w:eastAsia="Times New Roman" w:hAnsi="Times New Roman"/>
          <w:sz w:val="20"/>
          <w:szCs w:val="20"/>
          <w:b w:val="1"/>
          <w:bCs w:val="1"/>
          <w:color w:val="auto"/>
        </w:rPr>
      </w:pPr>
    </w:p>
    <w:p>
      <w:pPr>
        <w:ind w:firstLine="757"/>
        <w:spacing w:after="0" w:line="273" w:lineRule="auto"/>
        <w:tabs>
          <w:tab w:leader="none" w:pos="1018" w:val="left"/>
        </w:tabs>
        <w:numPr>
          <w:ilvl w:val="1"/>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Use of Proceeds from Sales of Common Stock. </w:t>
      </w:r>
      <w:r>
        <w:rPr>
          <w:rFonts w:ascii="Times New Roman" w:cs="Times New Roman" w:eastAsia="Times New Roman" w:hAnsi="Times New Roman"/>
          <w:sz w:val="20"/>
          <w:szCs w:val="20"/>
          <w:color w:val="auto"/>
        </w:rPr>
        <w:t>Proceeds from the sale of shares of Common Stock pursuant to Awards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general funds of the Company.</w:t>
      </w:r>
    </w:p>
    <w:p>
      <w:pPr>
        <w:spacing w:after="0" w:line="151"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018" w:val="left"/>
        </w:tabs>
        <w:numPr>
          <w:ilvl w:val="1"/>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Corporate Action Constituting Grant of Awards. </w:t>
      </w:r>
      <w:r>
        <w:rPr>
          <w:rFonts w:ascii="Times New Roman" w:cs="Times New Roman" w:eastAsia="Times New Roman" w:hAnsi="Times New Roman"/>
          <w:sz w:val="20"/>
          <w:szCs w:val="20"/>
          <w:color w:val="auto"/>
        </w:rPr>
        <w:t>Corporate action constituting a grant by the Company of an Award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79"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1"/>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Stockholder Rights. </w:t>
      </w:r>
      <w:r>
        <w:rPr>
          <w:rFonts w:ascii="Times New Roman" w:cs="Times New Roman" w:eastAsia="Times New Roman" w:hAnsi="Times New Roman"/>
          <w:sz w:val="20"/>
          <w:szCs w:val="20"/>
          <w:color w:val="auto"/>
        </w:rPr>
        <w:t>No Participant will be deemed to be the holder of, or to have any of the rights of a holder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5" w:lineRule="exact"/>
        <w:rPr>
          <w:rFonts w:ascii="Times New Roman" w:cs="Times New Roman" w:eastAsia="Times New Roman" w:hAnsi="Times New Roman"/>
          <w:sz w:val="20"/>
          <w:szCs w:val="20"/>
          <w:b w:val="1"/>
          <w:bCs w:val="1"/>
          <w:color w:val="auto"/>
        </w:rPr>
      </w:pPr>
    </w:p>
    <w:p>
      <w:pPr>
        <w:jc w:val="both"/>
        <w:ind w:firstLine="757"/>
        <w:spacing w:after="0" w:line="242" w:lineRule="auto"/>
        <w:tabs>
          <w:tab w:leader="none" w:pos="1018" w:val="left"/>
        </w:tabs>
        <w:numPr>
          <w:ilvl w:val="1"/>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Employment or Other Service Rights. </w:t>
      </w:r>
      <w:r>
        <w:rPr>
          <w:rFonts w:ascii="Times New Roman" w:cs="Times New Roman" w:eastAsia="Times New Roman" w:hAnsi="Times New Roman"/>
          <w:sz w:val="20"/>
          <w:szCs w:val="20"/>
          <w:color w:val="auto"/>
        </w:rPr>
        <w:t>Nothing in the Plan, any Award Agreement or any other instrument executed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9" w:lineRule="exact"/>
        <w:rPr>
          <w:rFonts w:ascii="Times New Roman" w:cs="Times New Roman" w:eastAsia="Times New Roman" w:hAnsi="Times New Roman"/>
          <w:sz w:val="20"/>
          <w:szCs w:val="20"/>
          <w:b w:val="1"/>
          <w:bCs w:val="1"/>
          <w:color w:val="auto"/>
        </w:rPr>
      </w:pPr>
    </w:p>
    <w:p>
      <w:pPr>
        <w:jc w:val="both"/>
        <w:ind w:firstLine="757"/>
        <w:spacing w:after="0" w:line="244" w:lineRule="auto"/>
        <w:tabs>
          <w:tab w:leader="none" w:pos="1018" w:val="left"/>
        </w:tabs>
        <w:numPr>
          <w:ilvl w:val="1"/>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Change in Time Commitment. </w:t>
      </w:r>
      <w:r>
        <w:rPr>
          <w:rFonts w:ascii="Times New Roman" w:cs="Times New Roman" w:eastAsia="Times New Roman" w:hAnsi="Times New Roman"/>
          <w:sz w:val="20"/>
          <w:szCs w:val="20"/>
          <w:color w:val="auto"/>
        </w:rPr>
        <w:t>In the event a Participant’s regular level of time commitment in the performance of his or 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3" w:name="page144"/>
    <w:bookmarkEnd w:id="143"/>
    <w:p>
      <w:pPr>
        <w:jc w:val="both"/>
        <w:ind w:firstLine="757"/>
        <w:spacing w:after="0" w:line="250" w:lineRule="auto"/>
        <w:tabs>
          <w:tab w:leader="none" w:pos="1018"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Execution of Additional Documents. </w:t>
      </w:r>
      <w:r>
        <w:rPr>
          <w:rFonts w:ascii="Times New Roman" w:cs="Times New Roman" w:eastAsia="Times New Roman" w:hAnsi="Times New Roman"/>
          <w:sz w:val="20"/>
          <w:szCs w:val="20"/>
          <w:color w:val="auto"/>
        </w:rPr>
        <w:t>As a condition to accepting an Award under the Plan, the Participant agrees to execute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5" w:lineRule="exact"/>
        <w:rPr>
          <w:rFonts w:ascii="Times New Roman" w:cs="Times New Roman" w:eastAsia="Times New Roman" w:hAnsi="Times New Roman"/>
          <w:sz w:val="20"/>
          <w:szCs w:val="20"/>
          <w:b w:val="1"/>
          <w:bCs w:val="1"/>
          <w:color w:val="auto"/>
        </w:rPr>
      </w:pPr>
    </w:p>
    <w:p>
      <w:pPr>
        <w:jc w:val="both"/>
        <w:ind w:firstLine="757"/>
        <w:spacing w:after="0" w:line="261" w:lineRule="auto"/>
        <w:tabs>
          <w:tab w:leader="none" w:pos="1018" w:val="left"/>
        </w:tabs>
        <w:numPr>
          <w:ilvl w:val="0"/>
          <w:numId w:val="9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Electronic Delivery and Participation. </w:t>
      </w:r>
      <w:r>
        <w:rPr>
          <w:rFonts w:ascii="Times New Roman" w:cs="Times New Roman" w:eastAsia="Times New Roman" w:hAnsi="Times New Roman"/>
          <w:sz w:val="19"/>
          <w:szCs w:val="19"/>
          <w:color w:val="auto"/>
        </w:rPr>
        <w:t>Any reference herein or in an Award Agreement to a “written” agreement or document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67" w:lineRule="exact"/>
        <w:rPr>
          <w:rFonts w:ascii="Times New Roman" w:cs="Times New Roman" w:eastAsia="Times New Roman" w:hAnsi="Times New Roman"/>
          <w:sz w:val="19"/>
          <w:szCs w:val="19"/>
          <w:b w:val="1"/>
          <w:bCs w:val="1"/>
          <w:color w:val="auto"/>
        </w:rPr>
      </w:pPr>
    </w:p>
    <w:p>
      <w:pPr>
        <w:jc w:val="both"/>
        <w:ind w:firstLine="757"/>
        <w:spacing w:after="0" w:line="243" w:lineRule="auto"/>
        <w:tabs>
          <w:tab w:leader="none" w:pos="1018"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Clawback/Recovery. </w:t>
      </w:r>
      <w:r>
        <w:rPr>
          <w:rFonts w:ascii="Times New Roman" w:cs="Times New Roman" w:eastAsia="Times New Roman" w:hAnsi="Times New Roman"/>
          <w:sz w:val="20"/>
          <w:szCs w:val="20"/>
          <w:color w:val="auto"/>
        </w:rPr>
        <w:t>All Awards granted under the Plan will be subject to recoupment in accordance with any clawback policy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85"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Securities Law Compliance. </w:t>
      </w:r>
      <w:r>
        <w:rPr>
          <w:rFonts w:ascii="Times New Roman" w:cs="Times New Roman" w:eastAsia="Times New Roman" w:hAnsi="Times New Roman"/>
          <w:sz w:val="20"/>
          <w:szCs w:val="20"/>
          <w:color w:val="auto"/>
        </w:rPr>
        <w:t>A Participant will not be issued any shares in respect of an Award unless either (i) the shares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5" w:lineRule="exact"/>
        <w:rPr>
          <w:rFonts w:ascii="Times New Roman" w:cs="Times New Roman" w:eastAsia="Times New Roman" w:hAnsi="Times New Roman"/>
          <w:sz w:val="20"/>
          <w:szCs w:val="20"/>
          <w:b w:val="1"/>
          <w:bCs w:val="1"/>
          <w:color w:val="auto"/>
        </w:rPr>
      </w:pPr>
    </w:p>
    <w:p>
      <w:pPr>
        <w:jc w:val="both"/>
        <w:ind w:firstLine="757"/>
        <w:spacing w:after="0" w:line="247" w:lineRule="auto"/>
        <w:tabs>
          <w:tab w:leader="none" w:pos="1018"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Transfer or Assignment of Awards; Issued Shares. </w:t>
      </w:r>
      <w:r>
        <w:rPr>
          <w:rFonts w:ascii="Times New Roman" w:cs="Times New Roman" w:eastAsia="Times New Roman" w:hAnsi="Times New Roman"/>
          <w:sz w:val="20"/>
          <w:szCs w:val="20"/>
          <w:color w:val="auto"/>
        </w:rPr>
        <w:t>Except as expressly provided in the Plan or the form of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80"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Effect on Other Employee Benefit Plans. </w:t>
      </w:r>
      <w:r>
        <w:rPr>
          <w:rFonts w:ascii="Times New Roman" w:cs="Times New Roman" w:eastAsia="Times New Roman" w:hAnsi="Times New Roman"/>
          <w:sz w:val="20"/>
          <w:szCs w:val="20"/>
          <w:color w:val="auto"/>
        </w:rPr>
        <w:t>The value of any Award granted under the Plan, as determined upon grant, vesting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(m)Deferrals. </w:t>
      </w:r>
      <w:r>
        <w:rPr>
          <w:rFonts w:ascii="Times New Roman" w:cs="Times New Roman" w:eastAsia="Times New Roman" w:hAnsi="Times New Roman"/>
          <w:sz w:val="20"/>
          <w:szCs w:val="20"/>
          <w:color w:val="auto"/>
        </w:rPr>
        <w:t>To the extent permitted by Applicable Law, the Board, in its sole discretion, may determine that the delivery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or the payment of cash, upon the exercise, vesting or</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4" w:name="page145"/>
    <w:bookmarkEnd w:id="144"/>
    <w:p>
      <w:pPr>
        <w:spacing w:after="0" w:line="269" w:lineRule="auto"/>
        <w:rPr>
          <w:sz w:val="20"/>
          <w:szCs w:val="20"/>
          <w:color w:val="auto"/>
        </w:rPr>
      </w:pPr>
      <w:r>
        <w:rPr>
          <w:rFonts w:ascii="Times New Roman" w:cs="Times New Roman" w:eastAsia="Times New Roman" w:hAnsi="Times New Roman"/>
          <w:sz w:val="20"/>
          <w:szCs w:val="20"/>
          <w:color w:val="auto"/>
        </w:rPr>
        <w:t>settlement of all or a portion of any Award may be deferred and may also establish programs and procedures for deferral elections to be made by Participants. Deferrals by will be made in accordance with the requirements of Section 409A.</w:t>
      </w:r>
    </w:p>
    <w:p>
      <w:pPr>
        <w:spacing w:after="0" w:line="155" w:lineRule="exact"/>
        <w:rPr>
          <w:sz w:val="20"/>
          <w:szCs w:val="20"/>
          <w:color w:val="auto"/>
        </w:rPr>
      </w:pPr>
    </w:p>
    <w:p>
      <w:pPr>
        <w:jc w:val="both"/>
        <w:ind w:firstLine="757"/>
        <w:spacing w:after="0" w:line="242" w:lineRule="auto"/>
        <w:tabs>
          <w:tab w:leader="none" w:pos="1018" w:val="left"/>
        </w:tabs>
        <w:numPr>
          <w:ilvl w:val="1"/>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Section 409A. </w:t>
      </w:r>
      <w:r>
        <w:rPr>
          <w:rFonts w:ascii="Times New Roman" w:cs="Times New Roman" w:eastAsia="Times New Roman" w:hAnsi="Times New Roman"/>
          <w:sz w:val="20"/>
          <w:szCs w:val="20"/>
          <w:color w:val="auto"/>
        </w:rPr>
        <w:t>Unless otherwise expressly provided for in an Award Agreement, the Plan and Award Agreements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4"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1"/>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Choice of Law. </w:t>
      </w:r>
      <w:r>
        <w:rPr>
          <w:rFonts w:ascii="Times New Roman" w:cs="Times New Roman" w:eastAsia="Times New Roman" w:hAnsi="Times New Roman"/>
          <w:sz w:val="20"/>
          <w:szCs w:val="20"/>
          <w:color w:val="auto"/>
        </w:rPr>
        <w:t>This Plan and any controversy arising out of or relating to this Plan shall be governed by, and construed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internal laws of the State of Delaware, without regard to conflict of law principles that would result in any application of any law other than the law of the State of Delaware.</w:t>
      </w:r>
    </w:p>
    <w:p>
      <w:pPr>
        <w:spacing w:after="0" w:line="168"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ovenants of 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43" w:lineRule="auto"/>
        <w:tabs>
          <w:tab w:leader="none" w:pos="1018" w:val="left"/>
        </w:tabs>
        <w:numPr>
          <w:ilvl w:val="1"/>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Compliance with Law. </w:t>
      </w:r>
      <w:r>
        <w:rPr>
          <w:rFonts w:ascii="Times New Roman" w:cs="Times New Roman" w:eastAsia="Times New Roman" w:hAnsi="Times New Roman"/>
          <w:sz w:val="20"/>
          <w:szCs w:val="20"/>
          <w:color w:val="auto"/>
        </w:rPr>
        <w:t>The Company will seek to obtain from each regulatory commission or agency, as may be deemed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76"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dditional</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ules for</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ubject to</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20"/>
          <w:szCs w:val="20"/>
          <w:b w:val="1"/>
          <w:bCs w:val="1"/>
          <w:color w:val="auto"/>
        </w:rPr>
        <w:t xml:space="preserve"> 409A.</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1"/>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Application. </w:t>
      </w:r>
      <w:r>
        <w:rPr>
          <w:rFonts w:ascii="Times New Roman" w:cs="Times New Roman" w:eastAsia="Times New Roman" w:hAnsi="Times New Roman"/>
          <w:sz w:val="20"/>
          <w:szCs w:val="20"/>
          <w:color w:val="auto"/>
        </w:rPr>
        <w:t>Unless the provisions of this Section of the Plan are expressly superseded by the provisions in the form of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provisions of this Section shall apply and shall supersede anything to the contrary set forth in the Award Agreement for a Non-Exempt Award.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ind w:firstLine="757"/>
        <w:spacing w:after="0" w:line="273" w:lineRule="auto"/>
        <w:tabs>
          <w:tab w:leader="none" w:pos="1018"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Non-Exempt Awards Subject to Non-Exempt Severance Arrangements. </w:t>
      </w:r>
      <w:r>
        <w:rPr>
          <w:rFonts w:ascii="Times New Roman" w:cs="Times New Roman" w:eastAsia="Times New Roman" w:hAnsi="Times New Roman"/>
          <w:sz w:val="20"/>
          <w:szCs w:val="20"/>
          <w:color w:val="auto"/>
        </w:rPr>
        <w:t>To the extent a Non-Exempt Award is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409A due to application of a Non-Exempt Severance Arrangement, the following provisions of this subsection (b) apply.</w:t>
      </w:r>
    </w:p>
    <w:p>
      <w:pPr>
        <w:spacing w:after="0" w:line="155" w:lineRule="exact"/>
        <w:rPr>
          <w:rFonts w:ascii="Times New Roman" w:cs="Times New Roman" w:eastAsia="Times New Roman" w:hAnsi="Times New Roman"/>
          <w:sz w:val="20"/>
          <w:szCs w:val="20"/>
          <w:b w:val="1"/>
          <w:bCs w:val="1"/>
          <w:color w:val="auto"/>
        </w:rPr>
      </w:pPr>
    </w:p>
    <w:p>
      <w:pPr>
        <w:jc w:val="both"/>
        <w:ind w:left="100" w:firstLine="1495"/>
        <w:spacing w:after="0" w:line="249" w:lineRule="auto"/>
        <w:tabs>
          <w:tab w:leader="none" w:pos="2047" w:val="left"/>
        </w:tabs>
        <w:numPr>
          <w:ilvl w:val="1"/>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xml:space="preserve"> of the calendar year that includes the applicable vesting date, or (ii) the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that follows the applicable vesting date.</w:t>
      </w:r>
    </w:p>
    <w:p>
      <w:pPr>
        <w:spacing w:after="0" w:line="179" w:lineRule="exact"/>
        <w:rPr>
          <w:rFonts w:ascii="Times New Roman" w:cs="Times New Roman" w:eastAsia="Times New Roman" w:hAnsi="Times New Roman"/>
          <w:sz w:val="20"/>
          <w:szCs w:val="20"/>
          <w:b w:val="1"/>
          <w:bCs w:val="1"/>
          <w:color w:val="auto"/>
        </w:rPr>
      </w:pPr>
    </w:p>
    <w:p>
      <w:pPr>
        <w:jc w:val="both"/>
        <w:ind w:left="100" w:firstLine="1495"/>
        <w:spacing w:after="0" w:line="243" w:lineRule="auto"/>
        <w:tabs>
          <w:tab w:leader="none" w:pos="2047" w:val="left"/>
        </w:tabs>
        <w:numPr>
          <w:ilvl w:val="1"/>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six-month period.</w:t>
      </w:r>
    </w:p>
    <w:p>
      <w:pPr>
        <w:spacing w:after="0" w:line="185" w:lineRule="exact"/>
        <w:rPr>
          <w:rFonts w:ascii="Times New Roman" w:cs="Times New Roman" w:eastAsia="Times New Roman" w:hAnsi="Times New Roman"/>
          <w:sz w:val="20"/>
          <w:szCs w:val="20"/>
          <w:b w:val="1"/>
          <w:bCs w:val="1"/>
          <w:color w:val="auto"/>
        </w:rPr>
      </w:pPr>
    </w:p>
    <w:p>
      <w:pPr>
        <w:jc w:val="both"/>
        <w:ind w:left="100" w:firstLine="1495"/>
        <w:spacing w:after="0" w:line="259" w:lineRule="auto"/>
        <w:tabs>
          <w:tab w:leader="none" w:pos="2047" w:val="left"/>
        </w:tabs>
        <w:numPr>
          <w:ilvl w:val="1"/>
          <w:numId w:val="10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68" w:lineRule="exact"/>
        <w:rPr>
          <w:rFonts w:ascii="Times New Roman" w:cs="Times New Roman" w:eastAsia="Times New Roman" w:hAnsi="Times New Roman"/>
          <w:sz w:val="19"/>
          <w:szCs w:val="19"/>
          <w:b w:val="1"/>
          <w:bCs w:val="1"/>
          <w:color w:val="auto"/>
        </w:rPr>
      </w:pPr>
    </w:p>
    <w:p>
      <w:pPr>
        <w:jc w:val="both"/>
        <w:ind w:firstLine="757"/>
        <w:spacing w:after="0" w:line="250" w:lineRule="auto"/>
        <w:tabs>
          <w:tab w:leader="none" w:pos="1018"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Treatment of Non-Exempt Awards Upon a Corporate Transaction for Employees and Consultants. </w:t>
      </w:r>
      <w:r>
        <w:rPr>
          <w:rFonts w:ascii="Times New Roman" w:cs="Times New Roman" w:eastAsia="Times New Roman" w:hAnsi="Times New Roman"/>
          <w:sz w:val="20"/>
          <w:szCs w:val="20"/>
          <w:color w:val="auto"/>
        </w:rPr>
        <w:t>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75" w:lineRule="exact"/>
        <w:rPr>
          <w:rFonts w:ascii="Times New Roman" w:cs="Times New Roman" w:eastAsia="Times New Roman" w:hAnsi="Times New Roman"/>
          <w:sz w:val="20"/>
          <w:szCs w:val="20"/>
          <w:b w:val="1"/>
          <w:bCs w:val="1"/>
          <w:color w:val="auto"/>
        </w:rPr>
      </w:pPr>
    </w:p>
    <w:p>
      <w:pPr>
        <w:ind w:left="100" w:firstLine="1495"/>
        <w:spacing w:after="0" w:line="273" w:lineRule="auto"/>
        <w:tabs>
          <w:tab w:leader="none" w:pos="2047" w:val="left"/>
        </w:tabs>
        <w:numPr>
          <w:ilvl w:val="1"/>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Vested Non-Exempt Awards. </w:t>
      </w:r>
      <w:r>
        <w:rPr>
          <w:rFonts w:ascii="Times New Roman" w:cs="Times New Roman" w:eastAsia="Times New Roman" w:hAnsi="Times New Roman"/>
          <w:sz w:val="20"/>
          <w:szCs w:val="20"/>
          <w:color w:val="auto"/>
        </w:rPr>
        <w:t>The following provisions shall apply to any Vested Non-Exempt Award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a Corporate Transaction:</w:t>
      </w:r>
    </w:p>
    <w:p>
      <w:pPr>
        <w:spacing w:after="0" w:line="155" w:lineRule="exact"/>
        <w:rPr>
          <w:rFonts w:ascii="Times New Roman" w:cs="Times New Roman" w:eastAsia="Times New Roman" w:hAnsi="Times New Roman"/>
          <w:sz w:val="20"/>
          <w:szCs w:val="20"/>
          <w:b w:val="1"/>
          <w:bCs w:val="1"/>
          <w:color w:val="auto"/>
        </w:rPr>
      </w:pPr>
    </w:p>
    <w:p>
      <w:pPr>
        <w:jc w:val="both"/>
        <w:ind w:firstLine="2254"/>
        <w:spacing w:after="0" w:line="246" w:lineRule="auto"/>
        <w:tabs>
          <w:tab w:leader="none" w:pos="2546" w:val="left"/>
        </w:tabs>
        <w:numPr>
          <w:ilvl w:val="2"/>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6" w:name="page147"/>
    <w:bookmarkEnd w:id="146"/>
    <w:p>
      <w:pPr>
        <w:jc w:val="both"/>
        <w:ind w:firstLine="2254"/>
        <w:spacing w:after="0" w:line="244" w:lineRule="auto"/>
        <w:tabs>
          <w:tab w:leader="none" w:pos="2546" w:val="left"/>
        </w:tabs>
        <w:numPr>
          <w:ilvl w:val="3"/>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81" w:lineRule="exact"/>
        <w:rPr>
          <w:rFonts w:ascii="Times New Roman" w:cs="Times New Roman" w:eastAsia="Times New Roman" w:hAnsi="Times New Roman"/>
          <w:sz w:val="20"/>
          <w:szCs w:val="20"/>
          <w:b w:val="1"/>
          <w:bCs w:val="1"/>
          <w:color w:val="auto"/>
        </w:rPr>
      </w:pPr>
    </w:p>
    <w:p>
      <w:pPr>
        <w:ind w:left="100" w:right="20" w:firstLine="1495"/>
        <w:spacing w:after="0" w:line="273" w:lineRule="auto"/>
        <w:tabs>
          <w:tab w:leader="none" w:pos="2047" w:val="left"/>
        </w:tabs>
        <w:numPr>
          <w:ilvl w:val="2"/>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Unvested Non-Exempt Awards. </w:t>
      </w:r>
      <w:r>
        <w:rPr>
          <w:rFonts w:ascii="Times New Roman" w:cs="Times New Roman" w:eastAsia="Times New Roman" w:hAnsi="Times New Roman"/>
          <w:sz w:val="20"/>
          <w:szCs w:val="20"/>
          <w:color w:val="auto"/>
        </w:rPr>
        <w:t>The following provisions shall apply to any Unvested Non-Exempt Award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determined by the Board pursuant to subsection (e) of this Section.</w:t>
      </w:r>
    </w:p>
    <w:p>
      <w:pPr>
        <w:spacing w:after="0" w:line="155" w:lineRule="exact"/>
        <w:rPr>
          <w:rFonts w:ascii="Times New Roman" w:cs="Times New Roman" w:eastAsia="Times New Roman" w:hAnsi="Times New Roman"/>
          <w:sz w:val="20"/>
          <w:szCs w:val="20"/>
          <w:b w:val="1"/>
          <w:bCs w:val="1"/>
          <w:color w:val="auto"/>
        </w:rPr>
      </w:pPr>
    </w:p>
    <w:p>
      <w:pPr>
        <w:jc w:val="both"/>
        <w:ind w:firstLine="2254"/>
        <w:spacing w:after="0" w:line="243" w:lineRule="auto"/>
        <w:tabs>
          <w:tab w:leader="none" w:pos="2546" w:val="left"/>
        </w:tabs>
        <w:numPr>
          <w:ilvl w:val="3"/>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89" w:lineRule="exact"/>
        <w:rPr>
          <w:rFonts w:ascii="Times New Roman" w:cs="Times New Roman" w:eastAsia="Times New Roman" w:hAnsi="Times New Roman"/>
          <w:sz w:val="20"/>
          <w:szCs w:val="20"/>
          <w:b w:val="1"/>
          <w:bCs w:val="1"/>
          <w:color w:val="auto"/>
        </w:rPr>
      </w:pPr>
    </w:p>
    <w:p>
      <w:pPr>
        <w:jc w:val="both"/>
        <w:ind w:firstLine="2254"/>
        <w:spacing w:after="0" w:line="256" w:lineRule="auto"/>
        <w:tabs>
          <w:tab w:leader="none" w:pos="2546" w:val="left"/>
        </w:tabs>
        <w:numPr>
          <w:ilvl w:val="3"/>
          <w:numId w:val="10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w:t>
      </w:r>
    </w:p>
    <w:p>
      <w:pPr>
        <w:jc w:val="both"/>
        <w:ind w:firstLine="8"/>
        <w:spacing w:after="0" w:line="242" w:lineRule="auto"/>
        <w:tabs>
          <w:tab w:leader="none" w:pos="298"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86" w:lineRule="exact"/>
        <w:rPr>
          <w:rFonts w:ascii="Times New Roman" w:cs="Times New Roman" w:eastAsia="Times New Roman" w:hAnsi="Times New Roman"/>
          <w:sz w:val="20"/>
          <w:szCs w:val="20"/>
          <w:color w:val="auto"/>
        </w:rPr>
      </w:pPr>
    </w:p>
    <w:p>
      <w:pPr>
        <w:ind w:right="20" w:firstLine="2254"/>
        <w:spacing w:after="0" w:line="269" w:lineRule="auto"/>
        <w:tabs>
          <w:tab w:leader="none" w:pos="2546" w:val="left"/>
        </w:tabs>
        <w:numPr>
          <w:ilvl w:val="3"/>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foregoing treatment shall apply with respect to all Unvested Non-Exempt Awards upon any Corporate Transaction, and regardless of whether or not such Corporate Transaction is also a Section 409A Change in Control.</w:t>
      </w:r>
    </w:p>
    <w:p>
      <w:pPr>
        <w:spacing w:after="0" w:line="155"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1"/>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Treatment of Non-Exempt Awards Upon a Corporate Transaction for Non-Employee Directors. </w:t>
      </w:r>
      <w:r>
        <w:rPr>
          <w:rFonts w:ascii="Times New Roman" w:cs="Times New Roman" w:eastAsia="Times New Roman" w:hAnsi="Times New Roman"/>
          <w:sz w:val="20"/>
          <w:szCs w:val="20"/>
          <w:color w:val="auto"/>
        </w:rPr>
        <w:t>The following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subsection (d) shall apply and shall supersede anything to the contrary that may be set forth in the Plan with respect to the permitted treatment of a Non-Exempt Director Award in connection with a Corporate Transaction.</w:t>
      </w:r>
    </w:p>
    <w:p>
      <w:pPr>
        <w:spacing w:after="0" w:line="172" w:lineRule="exact"/>
        <w:rPr>
          <w:rFonts w:ascii="Times New Roman" w:cs="Times New Roman" w:eastAsia="Times New Roman" w:hAnsi="Times New Roman"/>
          <w:sz w:val="20"/>
          <w:szCs w:val="20"/>
          <w:b w:val="1"/>
          <w:bCs w:val="1"/>
          <w:color w:val="auto"/>
        </w:rPr>
      </w:pPr>
    </w:p>
    <w:p>
      <w:pPr>
        <w:jc w:val="both"/>
        <w:ind w:left="100" w:firstLine="1495"/>
        <w:spacing w:after="0" w:line="254" w:lineRule="auto"/>
        <w:tabs>
          <w:tab w:leader="none" w:pos="2047" w:val="left"/>
        </w:tabs>
        <w:numPr>
          <w:ilvl w:val="2"/>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jc w:val="both"/>
        <w:ind w:left="100"/>
        <w:spacing w:after="0" w:line="254" w:lineRule="auto"/>
        <w:rPr>
          <w:sz w:val="20"/>
          <w:szCs w:val="20"/>
          <w:color w:val="auto"/>
        </w:rPr>
      </w:pPr>
      <w:r>
        <w:rPr>
          <w:rFonts w:ascii="Times New Roman" w:cs="Times New Roman" w:eastAsia="Times New Roman" w:hAnsi="Times New Roman"/>
          <w:sz w:val="20"/>
          <w:szCs w:val="20"/>
          <w:color w:val="auto"/>
        </w:rPr>
        <w:t>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74" w:lineRule="exact"/>
        <w:rPr>
          <w:sz w:val="20"/>
          <w:szCs w:val="20"/>
          <w:color w:val="auto"/>
        </w:rPr>
      </w:pPr>
    </w:p>
    <w:p>
      <w:pPr>
        <w:jc w:val="both"/>
        <w:ind w:left="100" w:firstLine="1495"/>
        <w:spacing w:after="0" w:line="243" w:lineRule="auto"/>
        <w:tabs>
          <w:tab w:leader="none" w:pos="2047" w:val="left"/>
        </w:tabs>
        <w:numPr>
          <w:ilvl w:val="1"/>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89" w:lineRule="exact"/>
        <w:rPr>
          <w:rFonts w:ascii="Times New Roman" w:cs="Times New Roman" w:eastAsia="Times New Roman" w:hAnsi="Times New Roman"/>
          <w:sz w:val="20"/>
          <w:szCs w:val="20"/>
          <w:b w:val="1"/>
          <w:bCs w:val="1"/>
          <w:color w:val="auto"/>
        </w:rPr>
      </w:pPr>
    </w:p>
    <w:p>
      <w:pPr>
        <w:ind w:right="20" w:firstLine="757"/>
        <w:spacing w:after="0" w:line="269" w:lineRule="auto"/>
        <w:tabs>
          <w:tab w:leader="none" w:pos="1018"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59" w:lineRule="exact"/>
        <w:rPr>
          <w:rFonts w:ascii="Times New Roman" w:cs="Times New Roman" w:eastAsia="Times New Roman" w:hAnsi="Times New Roman"/>
          <w:sz w:val="20"/>
          <w:szCs w:val="20"/>
          <w:b w:val="1"/>
          <w:bCs w:val="1"/>
          <w:color w:val="auto"/>
        </w:rPr>
      </w:pPr>
    </w:p>
    <w:p>
      <w:pPr>
        <w:jc w:val="both"/>
        <w:ind w:left="100" w:firstLine="1495"/>
        <w:spacing w:after="0" w:line="254" w:lineRule="auto"/>
        <w:tabs>
          <w:tab w:leader="none" w:pos="2047" w:val="left"/>
        </w:tabs>
        <w:numPr>
          <w:ilvl w:val="1"/>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74" w:lineRule="exact"/>
        <w:rPr>
          <w:sz w:val="20"/>
          <w:szCs w:val="20"/>
          <w:color w:val="auto"/>
        </w:rPr>
      </w:pPr>
    </w:p>
    <w:p>
      <w:pPr>
        <w:jc w:val="both"/>
        <w:ind w:left="100" w:firstLine="1495"/>
        <w:spacing w:after="0" w:line="254" w:lineRule="auto"/>
        <w:tabs>
          <w:tab w:leader="none" w:pos="2047" w:val="left"/>
        </w:tabs>
        <w:numPr>
          <w:ilvl w:val="1"/>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74" w:lineRule="exact"/>
        <w:rPr>
          <w:rFonts w:ascii="Times New Roman" w:cs="Times New Roman" w:eastAsia="Times New Roman" w:hAnsi="Times New Roman"/>
          <w:sz w:val="20"/>
          <w:szCs w:val="20"/>
          <w:b w:val="1"/>
          <w:bCs w:val="1"/>
          <w:color w:val="auto"/>
        </w:rPr>
      </w:pPr>
    </w:p>
    <w:p>
      <w:pPr>
        <w:jc w:val="both"/>
        <w:ind w:left="100" w:firstLine="1495"/>
        <w:spacing w:after="0" w:line="243" w:lineRule="auto"/>
        <w:tabs>
          <w:tab w:leader="none" w:pos="2047" w:val="left"/>
        </w:tabs>
        <w:numPr>
          <w:ilvl w:val="1"/>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85" w:lineRule="exact"/>
        <w:rPr>
          <w:rFonts w:ascii="Times New Roman" w:cs="Times New Roman" w:eastAsia="Times New Roman" w:hAnsi="Times New Roman"/>
          <w:sz w:val="20"/>
          <w:szCs w:val="20"/>
          <w:b w:val="1"/>
          <w:bCs w:val="1"/>
          <w:color w:val="auto"/>
        </w:rPr>
      </w:pPr>
    </w:p>
    <w:p>
      <w:pPr>
        <w:jc w:val="both"/>
        <w:ind w:left="100" w:firstLine="1495"/>
        <w:spacing w:after="0" w:line="249" w:lineRule="auto"/>
        <w:tabs>
          <w:tab w:leader="none" w:pos="2047" w:val="left"/>
        </w:tabs>
        <w:numPr>
          <w:ilvl w:val="1"/>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7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If all or any part of the Plan or any Award Agreement is declared by any court or governmental authority to be unlawful or invalid, such unlawfulness or invalidity shall not invalidate any portion of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jc w:val="both"/>
        <w:spacing w:after="0" w:line="254" w:lineRule="auto"/>
        <w:rPr>
          <w:sz w:val="20"/>
          <w:szCs w:val="20"/>
          <w:color w:val="auto"/>
        </w:rPr>
      </w:pPr>
      <w:r>
        <w:rPr>
          <w:rFonts w:ascii="Times New Roman" w:cs="Times New Roman" w:eastAsia="Times New Roman" w:hAnsi="Times New Roman"/>
          <w:sz w:val="20"/>
          <w:szCs w:val="20"/>
          <w:color w:val="auto"/>
        </w:rPr>
        <w:t>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0"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ermination of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spacing w:after="0" w:line="170" w:lineRule="exact"/>
        <w:rPr>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used in the Plan, the following definitions apply to the capitalized terms indicated below:</w:t>
      </w:r>
    </w:p>
    <w:p>
      <w:pPr>
        <w:spacing w:after="0" w:line="212" w:lineRule="exact"/>
        <w:rPr>
          <w:sz w:val="20"/>
          <w:szCs w:val="20"/>
          <w:color w:val="auto"/>
        </w:rPr>
      </w:pPr>
    </w:p>
    <w:p>
      <w:pPr>
        <w:ind w:left="1020" w:hanging="263"/>
        <w:spacing w:after="0"/>
        <w:tabs>
          <w:tab w:leader="none" w:pos="102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Acquiring Entity</w:t>
      </w:r>
      <w:r>
        <w:rPr>
          <w:rFonts w:ascii="Times New Roman" w:cs="Times New Roman" w:eastAsia="Times New Roman" w:hAnsi="Times New Roman"/>
          <w:sz w:val="20"/>
          <w:szCs w:val="20"/>
          <w:color w:val="auto"/>
        </w:rPr>
        <w:t>” means the surviving or acquiring corporation (or its parent company) in connection with a Corporate</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Transaction.</w:t>
      </w:r>
    </w:p>
    <w:p>
      <w:pPr>
        <w:spacing w:after="0" w:line="18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Adoption Date</w:t>
      </w:r>
      <w:r>
        <w:rPr>
          <w:rFonts w:ascii="Times New Roman" w:cs="Times New Roman" w:eastAsia="Times New Roman" w:hAnsi="Times New Roman"/>
          <w:sz w:val="20"/>
          <w:szCs w:val="20"/>
          <w:color w:val="auto"/>
        </w:rPr>
        <w:t>” means the date the Plan is first approved by the Board or Compensation Committee, as applicable.</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68" w:lineRule="exact"/>
        <w:rPr>
          <w:rFonts w:ascii="Times New Roman" w:cs="Times New Roman" w:eastAsia="Times New Roman" w:hAnsi="Times New Roman"/>
          <w:sz w:val="20"/>
          <w:szCs w:val="20"/>
          <w:b w:val="1"/>
          <w:bCs w:val="1"/>
          <w:color w:val="auto"/>
        </w:rPr>
      </w:pPr>
    </w:p>
    <w:p>
      <w:pPr>
        <w:jc w:val="both"/>
        <w:ind w:firstLine="757"/>
        <w:spacing w:after="0" w:line="247" w:lineRule="auto"/>
        <w:tabs>
          <w:tab w:leader="none" w:pos="1018"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w:t>
      </w:r>
      <w:r>
        <w:rPr>
          <w:rFonts w:ascii="Times New Roman" w:cs="Times New Roman" w:eastAsia="Times New Roman" w:hAnsi="Times New Roman"/>
          <w:sz w:val="20"/>
          <w:szCs w:val="20"/>
          <w:color w:val="auto"/>
        </w:rPr>
        <w:t>” means shall mean the Code, any applicable U.S. or non U.S. securities,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80" w:lineRule="exact"/>
        <w:rPr>
          <w:rFonts w:ascii="Times New Roman" w:cs="Times New Roman" w:eastAsia="Times New Roman" w:hAnsi="Times New Roman"/>
          <w:sz w:val="20"/>
          <w:szCs w:val="20"/>
          <w:b w:val="1"/>
          <w:bCs w:val="1"/>
          <w:color w:val="auto"/>
        </w:rPr>
      </w:pPr>
    </w:p>
    <w:p>
      <w:pPr>
        <w:ind w:firstLine="757"/>
        <w:spacing w:after="0" w:line="273" w:lineRule="auto"/>
        <w:tabs>
          <w:tab w:leader="none" w:pos="1018"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151" w:lineRule="exact"/>
        <w:rPr>
          <w:rFonts w:ascii="Times New Roman" w:cs="Times New Roman" w:eastAsia="Times New Roman" w:hAnsi="Times New Roman"/>
          <w:sz w:val="20"/>
          <w:szCs w:val="20"/>
          <w:b w:val="1"/>
          <w:bCs w:val="1"/>
          <w:color w:val="auto"/>
        </w:rPr>
      </w:pPr>
    </w:p>
    <w:p>
      <w:pPr>
        <w:jc w:val="both"/>
        <w:ind w:right="20" w:firstLine="757"/>
        <w:spacing w:after="0" w:line="256" w:lineRule="auto"/>
        <w:tabs>
          <w:tab w:leader="none" w:pos="1018"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68"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68"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Capitalization Adjustment</w:t>
      </w:r>
      <w:r>
        <w:rPr>
          <w:rFonts w:ascii="Times New Roman" w:cs="Times New Roman" w:eastAsia="Times New Roman" w:hAnsi="Times New Roman"/>
          <w:sz w:val="20"/>
          <w:szCs w:val="20"/>
          <w:color w:val="auto"/>
        </w:rPr>
        <w:t>” means any change that is made in, or other events that occur with respect to, the Common Stock subject to the Plan or subject to any Award after the Effective Date without the receipt of consideration by the Company through merger, consolidation, reorganization,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jc w:val="both"/>
        <w:spacing w:after="0" w:line="246" w:lineRule="auto"/>
        <w:rPr>
          <w:sz w:val="20"/>
          <w:szCs w:val="20"/>
          <w:color w:val="auto"/>
        </w:rPr>
      </w:pPr>
      <w:r>
        <w:rPr>
          <w:rFonts w:ascii="Times New Roman" w:cs="Times New Roman" w:eastAsia="Times New Roman" w:hAnsi="Times New Roman"/>
          <w:sz w:val="20"/>
          <w:szCs w:val="20"/>
          <w:color w:val="auto"/>
        </w:rPr>
        <w:t>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1" w:lineRule="exact"/>
        <w:rPr>
          <w:sz w:val="20"/>
          <w:szCs w:val="20"/>
          <w:color w:val="auto"/>
        </w:rPr>
      </w:pPr>
    </w:p>
    <w:p>
      <w:pPr>
        <w:ind w:left="1020" w:hanging="263"/>
        <w:spacing w:after="0"/>
        <w:tabs>
          <w:tab w:leader="none" w:pos="1020"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Stock</w:t>
      </w:r>
      <w:r>
        <w:rPr>
          <w:rFonts w:ascii="Times New Roman" w:cs="Times New Roman" w:eastAsia="Times New Roman" w:hAnsi="Times New Roman"/>
          <w:sz w:val="20"/>
          <w:szCs w:val="20"/>
          <w:color w:val="auto"/>
        </w:rPr>
        <w:t>” means each and every class of stock of the Company, regardless of the number of votes per share.</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42" w:lineRule="auto"/>
        <w:tabs>
          <w:tab w:leader="none" w:pos="1018"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has the meaning ascribed to such term in any written agreement between the Participant and the Company, or any Company severance plan covering such Participant, in either case defining such term, and, in the absence of such agreement, such term means, with respect to a Participant, (a) unauthorized use or disclosure of the Company’s confidential information or trade secrets in violation of any covenants agreement or confidentiality agreement between Participant and the Company; (b) conviction of, or plea of "guilty" or "no contest" to, a felony under the laws of the United States or any state thereof; (c) Participant’s gross negligence or willful misconduct relating to Participant’s role and/or responsibilities to the Company; or (iv) a continued material breach by Participant of any agreement between Participant and the Company, a continued material failure by Participant to comply with the Company's written policies or rules, or a continued failure by Participant to perform assigned duties after receiving sixty (60) days written notification of such failure or breach from the Company and a reasonable opportunity to cure. The determination that a termination of the Participant’s Continuous Service is either for Cause or without Cause will be made by the Board (or a committee thereof) with respect to Participants who are executive officers of the Company and by the Company’s Chief Executive Officer or his delegate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an Affiliate, as the case may be, or such Participant for any other purpose.</w:t>
      </w:r>
    </w:p>
    <w:p>
      <w:pPr>
        <w:spacing w:after="0" w:line="182"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72" w:lineRule="exact"/>
        <w:rPr>
          <w:rFonts w:ascii="Times New Roman" w:cs="Times New Roman" w:eastAsia="Times New Roman" w:hAnsi="Times New Roman"/>
          <w:sz w:val="20"/>
          <w:szCs w:val="20"/>
          <w:b w:val="1"/>
          <w:bCs w:val="1"/>
          <w:color w:val="auto"/>
        </w:rPr>
      </w:pPr>
    </w:p>
    <w:p>
      <w:pPr>
        <w:jc w:val="both"/>
        <w:ind w:left="100" w:firstLine="1495"/>
        <w:spacing w:after="0" w:line="256" w:lineRule="auto"/>
        <w:tabs>
          <w:tab w:leader="none" w:pos="2047" w:val="left"/>
        </w:tabs>
        <w:numPr>
          <w:ilvl w:val="1"/>
          <w:numId w:val="1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9"/>
          <w:szCs w:val="19"/>
          <w:b w:val="1"/>
          <w:bCs w:val="1"/>
          <w:i w:val="1"/>
          <w:iCs w:val="1"/>
          <w:color w:val="auto"/>
        </w:rPr>
        <w:t>Subject Person</w:t>
      </w:r>
      <w:r>
        <w:rPr>
          <w:rFonts w:ascii="Times New Roman" w:cs="Times New Roman" w:eastAsia="Times New Roman" w:hAnsi="Times New Roman"/>
          <w:sz w:val="19"/>
          <w:szCs w:val="19"/>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jc w:val="both"/>
        <w:ind w:left="100" w:firstLine="1495"/>
        <w:spacing w:after="0" w:line="244" w:lineRule="auto"/>
        <w:tabs>
          <w:tab w:leader="none" w:pos="2047"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5" w:lineRule="exact"/>
        <w:rPr>
          <w:rFonts w:ascii="Times New Roman" w:cs="Times New Roman" w:eastAsia="Times New Roman" w:hAnsi="Times New Roman"/>
          <w:sz w:val="20"/>
          <w:szCs w:val="20"/>
          <w:b w:val="1"/>
          <w:bCs w:val="1"/>
          <w:color w:val="auto"/>
        </w:rPr>
      </w:pPr>
    </w:p>
    <w:p>
      <w:pPr>
        <w:ind w:left="100" w:firstLine="1495"/>
        <w:spacing w:after="0" w:line="295" w:lineRule="auto"/>
        <w:tabs>
          <w:tab w:leader="none" w:pos="2047" w:val="left"/>
        </w:tabs>
        <w:numPr>
          <w:ilvl w:val="0"/>
          <w:numId w:val="1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37" w:lineRule="exact"/>
        <w:rPr>
          <w:rFonts w:ascii="Times New Roman" w:cs="Times New Roman" w:eastAsia="Times New Roman" w:hAnsi="Times New Roman"/>
          <w:sz w:val="19"/>
          <w:szCs w:val="19"/>
          <w:b w:val="1"/>
          <w:bCs w:val="1"/>
          <w:color w:val="auto"/>
        </w:rPr>
      </w:pPr>
    </w:p>
    <w:p>
      <w:pPr>
        <w:jc w:val="both"/>
        <w:ind w:left="100" w:firstLine="1495"/>
        <w:spacing w:after="0" w:line="246" w:lineRule="auto"/>
        <w:tabs>
          <w:tab w:leader="none" w:pos="2047"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0" w:lineRule="exact"/>
        <w:rPr>
          <w:rFonts w:ascii="Times New Roman" w:cs="Times New Roman" w:eastAsia="Times New Roman" w:hAnsi="Times New Roman"/>
          <w:sz w:val="20"/>
          <w:szCs w:val="20"/>
          <w:b w:val="1"/>
          <w:bCs w:val="1"/>
          <w:color w:val="auto"/>
        </w:rPr>
      </w:pPr>
    </w:p>
    <w:p>
      <w:pPr>
        <w:jc w:val="both"/>
        <w:ind w:left="100" w:firstLine="1495"/>
        <w:spacing w:after="0" w:line="250" w:lineRule="auto"/>
        <w:tabs>
          <w:tab w:leader="none" w:pos="2047"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individuals who, on the Adoption Date, are members of the Board (the “</w:t>
      </w:r>
      <w:r>
        <w:rPr>
          <w:rFonts w:ascii="Times New Roman" w:cs="Times New Roman" w:eastAsia="Times New Roman" w:hAnsi="Times New Roman"/>
          <w:sz w:val="20"/>
          <w:szCs w:val="20"/>
          <w:b w:val="1"/>
          <w:bCs w:val="1"/>
          <w:i w:val="1"/>
          <w:iCs w:val="1"/>
          <w:color w:val="auto"/>
        </w:rPr>
        <w:t>Incumbent Board</w:t>
      </w:r>
      <w:r>
        <w:rPr>
          <w:rFonts w:ascii="Times New Roman" w:cs="Times New Roman" w:eastAsia="Times New Roman" w:hAnsi="Times New Roman"/>
          <w:sz w:val="20"/>
          <w:szCs w:val="20"/>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81" w:lineRule="exact"/>
        <w:rPr>
          <w:sz w:val="20"/>
          <w:szCs w:val="20"/>
          <w:color w:val="auto"/>
        </w:rPr>
      </w:pPr>
    </w:p>
    <w:p>
      <w:pPr>
        <w:ind w:left="1020" w:hanging="263"/>
        <w:spacing w:after="0"/>
        <w:tabs>
          <w:tab w:leader="none" w:pos="102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including any applicable regulations and guidance</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thereunder.</w:t>
      </w:r>
    </w:p>
    <w:p>
      <w:pPr>
        <w:spacing w:after="0" w:line="190"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the Compensation Committee and any other committee of one or more Directors to whom authority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been delegated by the Board or Compensation Committee in accordance with the Plan.</w:t>
      </w:r>
    </w:p>
    <w:p>
      <w:pPr>
        <w:spacing w:after="0" w:line="152" w:lineRule="exact"/>
        <w:rPr>
          <w:sz w:val="20"/>
          <w:szCs w:val="20"/>
          <w:color w:val="auto"/>
        </w:rPr>
      </w:pPr>
    </w:p>
    <w:p>
      <w:pPr>
        <w:ind w:left="1020" w:hanging="263"/>
        <w:spacing w:after="0"/>
        <w:tabs>
          <w:tab w:leader="none" w:pos="102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w:t>
      </w:r>
    </w:p>
    <w:p>
      <w:pPr>
        <w:spacing w:after="0" w:line="215"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AN2 Therapeutics, Inc., a Delaware corporation, and any successor corporation thereto.</w:t>
      </w:r>
    </w:p>
    <w:p>
      <w:pPr>
        <w:spacing w:after="0" w:line="215"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means the Compensation Committee of the Board.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jc w:val="both"/>
        <w:ind w:firstLine="757"/>
        <w:spacing w:after="0" w:line="246" w:lineRule="auto"/>
        <w:tabs>
          <w:tab w:leader="none" w:pos="1018"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8" w:lineRule="exact"/>
        <w:rPr>
          <w:rFonts w:ascii="Times New Roman" w:cs="Times New Roman" w:eastAsia="Times New Roman" w:hAnsi="Times New Roman"/>
          <w:sz w:val="20"/>
          <w:szCs w:val="20"/>
          <w:b w:val="1"/>
          <w:bCs w:val="1"/>
          <w:color w:val="auto"/>
        </w:rPr>
      </w:pPr>
    </w:p>
    <w:p>
      <w:pPr>
        <w:jc w:val="both"/>
        <w:ind w:firstLine="757"/>
        <w:spacing w:after="0" w:line="241" w:lineRule="auto"/>
        <w:tabs>
          <w:tab w:leader="none" w:pos="1018"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Continuous Service</w:t>
      </w:r>
      <w:r>
        <w:rPr>
          <w:rFonts w:ascii="Times New Roman" w:cs="Times New Roman" w:eastAsia="Times New Roman" w:hAnsi="Times New Roman"/>
          <w:sz w:val="20"/>
          <w:szCs w:val="20"/>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and, subject to Applicable Law, a leave of absence will be treated as Continuous Service for no longer than six months.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w:t>
      </w:r>
    </w:p>
    <w:p>
      <w:pPr>
        <w:spacing w:after="0" w:line="191" w:lineRule="exact"/>
        <w:rPr>
          <w:rFonts w:ascii="Times New Roman" w:cs="Times New Roman" w:eastAsia="Times New Roman" w:hAnsi="Times New Roman"/>
          <w:sz w:val="20"/>
          <w:szCs w:val="20"/>
          <w:b w:val="1"/>
          <w:bCs w:val="1"/>
          <w:color w:val="auto"/>
        </w:rPr>
      </w:pPr>
    </w:p>
    <w:p>
      <w:pPr>
        <w:ind w:firstLine="757"/>
        <w:spacing w:after="0" w:line="273" w:lineRule="auto"/>
        <w:tabs>
          <w:tab w:leader="none" w:pos="1018"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Corporate Transaction</w:t>
      </w:r>
      <w:r>
        <w:rPr>
          <w:rFonts w:ascii="Times New Roman" w:cs="Times New Roman" w:eastAsia="Times New Roman" w:hAnsi="Times New Roman"/>
          <w:sz w:val="20"/>
          <w:szCs w:val="20"/>
          <w:color w:val="auto"/>
        </w:rPr>
        <w:t>” means the consummation, in a single transaction or in a series of related transactions, of any one or more of the following events:</w:t>
      </w:r>
    </w:p>
    <w:p>
      <w:pPr>
        <w:spacing w:after="0" w:line="155" w:lineRule="exact"/>
        <w:rPr>
          <w:rFonts w:ascii="Times New Roman" w:cs="Times New Roman" w:eastAsia="Times New Roman" w:hAnsi="Times New Roman"/>
          <w:sz w:val="20"/>
          <w:szCs w:val="20"/>
          <w:b w:val="1"/>
          <w:bCs w:val="1"/>
          <w:color w:val="auto"/>
        </w:rPr>
      </w:pPr>
    </w:p>
    <w:p>
      <w:pPr>
        <w:ind w:left="100" w:right="20" w:firstLine="1500"/>
        <w:spacing w:after="0" w:line="269" w:lineRule="auto"/>
        <w:tabs>
          <w:tab w:leader="none" w:pos="1993"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sale or other disposition of all or substantially all, as determined by the Board, of the consolidated assets of the Company and its Subsidiaries;</w:t>
      </w:r>
    </w:p>
    <w:p>
      <w:pPr>
        <w:spacing w:after="0" w:line="159" w:lineRule="exact"/>
        <w:rPr>
          <w:rFonts w:ascii="Times New Roman" w:cs="Times New Roman" w:eastAsia="Times New Roman" w:hAnsi="Times New Roman"/>
          <w:sz w:val="20"/>
          <w:szCs w:val="20"/>
          <w:color w:val="auto"/>
        </w:rPr>
      </w:pPr>
    </w:p>
    <w:p>
      <w:pPr>
        <w:ind w:left="2000" w:hanging="400"/>
        <w:spacing w:after="0"/>
        <w:tabs>
          <w:tab w:leader="none" w:pos="200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sale or other disposition of at least 50% of the outstanding securities of the Company;</w:t>
      </w:r>
    </w:p>
    <w:p>
      <w:pPr>
        <w:spacing w:after="0" w:line="215" w:lineRule="exact"/>
        <w:rPr>
          <w:rFonts w:ascii="Times New Roman" w:cs="Times New Roman" w:eastAsia="Times New Roman" w:hAnsi="Times New Roman"/>
          <w:sz w:val="20"/>
          <w:szCs w:val="20"/>
          <w:color w:val="auto"/>
        </w:rPr>
      </w:pPr>
    </w:p>
    <w:p>
      <w:pPr>
        <w:ind w:left="2000" w:hanging="400"/>
        <w:spacing w:after="0"/>
        <w:tabs>
          <w:tab w:leader="none" w:pos="200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merger, consolidation or similar transaction following which the Company is not the surviving corporation; or</w:t>
      </w:r>
    </w:p>
    <w:p>
      <w:pPr>
        <w:spacing w:after="0" w:line="215" w:lineRule="exact"/>
        <w:rPr>
          <w:rFonts w:ascii="Times New Roman" w:cs="Times New Roman" w:eastAsia="Times New Roman" w:hAnsi="Times New Roman"/>
          <w:sz w:val="20"/>
          <w:szCs w:val="20"/>
          <w:color w:val="auto"/>
        </w:rPr>
      </w:pPr>
    </w:p>
    <w:p>
      <w:pPr>
        <w:jc w:val="both"/>
        <w:ind w:left="100" w:firstLine="1500"/>
        <w:spacing w:after="0" w:line="254" w:lineRule="auto"/>
        <w:tabs>
          <w:tab w:leader="none" w:pos="1993"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merger, consolidation or similar transaction following which the Company is the surviving corporation but the shares of Capital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means a member of the Board.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2" w:name="page153"/>
    <w:bookmarkEnd w:id="152"/>
    <w:p>
      <w:pPr>
        <w:ind w:left="1020" w:hanging="263"/>
        <w:spacing w:after="0"/>
        <w:tabs>
          <w:tab w:leader="none" w:pos="1020"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determine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determined</w:t>
      </w:r>
      <w:r>
        <w:rPr>
          <w:rFonts w:ascii="Times New Roman" w:cs="Times New Roman" w:eastAsia="Times New Roman" w:hAnsi="Times New Roman"/>
          <w:sz w:val="20"/>
          <w:szCs w:val="20"/>
          <w:color w:val="auto"/>
        </w:rPr>
        <w:t>” means as determined by the Board or the Committee (or its designee) in its sole discretion.</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means the IPO Date, provided this Plan is approved by the Company’s stockholders prior to the IPO Date.</w:t>
      </w:r>
    </w:p>
    <w:p>
      <w:pPr>
        <w:spacing w:after="0" w:line="216" w:lineRule="exact"/>
        <w:rPr>
          <w:sz w:val="20"/>
          <w:szCs w:val="20"/>
          <w:color w:val="auto"/>
        </w:rPr>
      </w:pPr>
    </w:p>
    <w:p>
      <w:pPr>
        <w:ind w:right="20" w:firstLine="757"/>
        <w:spacing w:after="0" w:line="273" w:lineRule="auto"/>
        <w:tabs>
          <w:tab w:leader="none" w:pos="1018"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person employed by the Company or an Affiliate. However, service solely as a Director, or payment of a fee for such services, will not cause a Director to be considered an “</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for purposes of the Plan.</w:t>
      </w:r>
    </w:p>
    <w:p>
      <w:pPr>
        <w:spacing w:after="0" w:line="151"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Employer</w:t>
      </w:r>
      <w:r>
        <w:rPr>
          <w:rFonts w:ascii="Times New Roman" w:cs="Times New Roman" w:eastAsia="Times New Roman" w:hAnsi="Times New Roman"/>
          <w:sz w:val="20"/>
          <w:szCs w:val="20"/>
          <w:color w:val="auto"/>
        </w:rPr>
        <w:t>” means the Company or the Affiliate that employs the Participant.</w:t>
      </w:r>
    </w:p>
    <w:p>
      <w:pPr>
        <w:spacing w:after="0" w:line="215"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Entity</w:t>
      </w:r>
      <w:r>
        <w:rPr>
          <w:rFonts w:ascii="Times New Roman" w:cs="Times New Roman" w:eastAsia="Times New Roman" w:hAnsi="Times New Roman"/>
          <w:sz w:val="20"/>
          <w:szCs w:val="20"/>
          <w:color w:val="auto"/>
        </w:rPr>
        <w:t>” means a corporation, partnership, limited liability company or other entity.</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(aa)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 and the rules and regulations promulgated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thereunder.</w:t>
      </w:r>
    </w:p>
    <w:p>
      <w:pPr>
        <w:spacing w:after="0" w:line="15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(bb)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 Person</w:t>
      </w:r>
      <w:r>
        <w:rPr>
          <w:rFonts w:ascii="Times New Roman" w:cs="Times New Roman" w:eastAsia="Times New Roman" w:hAnsi="Times New Roman"/>
          <w:sz w:val="20"/>
          <w:szCs w:val="20"/>
          <w:color w:val="auto"/>
        </w:rPr>
        <w:t>” means any natural person, Entity or “group” (within the meaning of Section 13(d) or 14(d)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(cc)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date, unless otherwise determined by the Board, the value of the Common Stock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on a per share or aggregate basis, as applicable) determined as follows:</w:t>
      </w:r>
    </w:p>
    <w:p>
      <w:pPr>
        <w:spacing w:after="0" w:line="156" w:lineRule="exact"/>
        <w:rPr>
          <w:sz w:val="20"/>
          <w:szCs w:val="20"/>
          <w:color w:val="auto"/>
        </w:rPr>
      </w:pPr>
    </w:p>
    <w:p>
      <w:pPr>
        <w:jc w:val="both"/>
        <w:ind w:left="100" w:firstLine="1495"/>
        <w:spacing w:after="0" w:line="254" w:lineRule="auto"/>
        <w:tabs>
          <w:tab w:leader="none" w:pos="2047"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74" w:lineRule="exact"/>
        <w:rPr>
          <w:rFonts w:ascii="Times New Roman" w:cs="Times New Roman" w:eastAsia="Times New Roman" w:hAnsi="Times New Roman"/>
          <w:sz w:val="20"/>
          <w:szCs w:val="20"/>
          <w:b w:val="1"/>
          <w:bCs w:val="1"/>
          <w:color w:val="auto"/>
        </w:rPr>
      </w:pPr>
    </w:p>
    <w:p>
      <w:pPr>
        <w:ind w:left="100" w:firstLine="1495"/>
        <w:spacing w:after="0" w:line="269" w:lineRule="auto"/>
        <w:tabs>
          <w:tab w:leader="none" w:pos="2047"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there is no closing sales price for the Common Stock on the date of determination, then the Fair Market Value will be the closing selling price on the last preceding date for which such quotation exists.</w:t>
      </w:r>
    </w:p>
    <w:p>
      <w:pPr>
        <w:spacing w:after="0" w:line="159" w:lineRule="exact"/>
        <w:rPr>
          <w:rFonts w:ascii="Times New Roman" w:cs="Times New Roman" w:eastAsia="Times New Roman" w:hAnsi="Times New Roman"/>
          <w:sz w:val="20"/>
          <w:szCs w:val="20"/>
          <w:b w:val="1"/>
          <w:bCs w:val="1"/>
          <w:color w:val="auto"/>
        </w:rPr>
      </w:pPr>
    </w:p>
    <w:p>
      <w:pPr>
        <w:ind w:left="100" w:firstLine="1495"/>
        <w:spacing w:after="0" w:line="269" w:lineRule="auto"/>
        <w:tabs>
          <w:tab w:leader="none" w:pos="2047"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3" w:name="page154"/>
    <w:bookmarkEnd w:id="153"/>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(dd)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Body</w:t>
      </w:r>
      <w:r>
        <w:rPr>
          <w:rFonts w:ascii="Times New Roman" w:cs="Times New Roman" w:eastAsia="Times New Roman" w:hAnsi="Times New Roman"/>
          <w:sz w:val="20"/>
          <w:szCs w:val="20"/>
          <w:color w:val="auto"/>
        </w:rPr>
        <w:t>” means any: (a) nation, state, commonwealth, province, territory, county, municipality, district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jurisdiction of any nature; (b) U.S. or non-U.S. federal, state, local, municipal,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(ee)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means the notice provided to a Participant that he or she has been granted an Award under the Plan and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(ff)</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means an option granted pursuant to Section 4 of the Plan that is intended to be, and qualifies as,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“incentive stock option” within the meaning of Section 422 of the Code.</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(gg)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IPO Date</w:t>
      </w:r>
      <w:r>
        <w:rPr>
          <w:rFonts w:ascii="Times New Roman" w:cs="Times New Roman" w:eastAsia="Times New Roman" w:hAnsi="Times New Roman"/>
          <w:sz w:val="20"/>
          <w:szCs w:val="20"/>
          <w:color w:val="auto"/>
        </w:rPr>
        <w:t>” means the date of the underwriting agreement between the Company and the underwriter(s) managing the initial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public offering of the Common Stock, pursuant to which the Common Stock is priced for the initial public offering.</w:t>
      </w:r>
    </w:p>
    <w:p>
      <w:pPr>
        <w:spacing w:after="0" w:line="15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(hh)</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Materially Impair</w:t>
      </w:r>
      <w:r>
        <w:rPr>
          <w:rFonts w:ascii="Times New Roman" w:cs="Times New Roman" w:eastAsia="Times New Roman" w:hAnsi="Times New Roman"/>
          <w:sz w:val="20"/>
          <w:szCs w:val="20"/>
          <w:color w:val="auto"/>
        </w:rPr>
        <w:t>” means any amendment to the terms of the Award that materially adversely affects the Participant’s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86" w:lineRule="exact"/>
        <w:rPr>
          <w:sz w:val="20"/>
          <w:szCs w:val="20"/>
          <w:color w:val="auto"/>
        </w:rPr>
      </w:pPr>
    </w:p>
    <w:p>
      <w:pPr>
        <w:jc w:val="both"/>
        <w:ind w:firstLine="757"/>
        <w:spacing w:after="0" w:line="250" w:lineRule="auto"/>
        <w:tabs>
          <w:tab w:leader="none" w:pos="1018"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Non-Employee Director</w:t>
      </w:r>
      <w:r>
        <w:rPr>
          <w:rFonts w:ascii="Times New Roman" w:cs="Times New Roman" w:eastAsia="Times New Roman" w:hAnsi="Times New Roman"/>
          <w:sz w:val="20"/>
          <w:szCs w:val="20"/>
          <w:color w:val="auto"/>
        </w:rPr>
        <w:t>” means a Director who is not a current employee or officer of the Company or an Affiliate and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20"/>
          <w:szCs w:val="20"/>
          <w:b w:val="1"/>
          <w:bCs w:val="1"/>
          <w:i w:val="1"/>
          <w:iCs w:val="1"/>
          <w:color w:val="auto"/>
        </w:rPr>
        <w:t>Regulation S-K</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(jj)</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Non-Exempt Award</w:t>
      </w:r>
      <w:r>
        <w:rPr>
          <w:rFonts w:ascii="Times New Roman" w:cs="Times New Roman" w:eastAsia="Times New Roman" w:hAnsi="Times New Roman"/>
          <w:sz w:val="20"/>
          <w:szCs w:val="20"/>
          <w:color w:val="auto"/>
        </w:rPr>
        <w:t>” means any Award that is subject to, and not exempt from, Section 409A, including as the result of (i)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deferral of the issuance of the shares subject to the Award which is elected by the Participant or imposed by the Company or (ii) the terms of any Non-Exempt Severance Agreement.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(kk)</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Non-Exempt Director Award</w:t>
      </w:r>
      <w:r>
        <w:rPr>
          <w:rFonts w:ascii="Times New Roman" w:cs="Times New Roman" w:eastAsia="Times New Roman" w:hAnsi="Times New Roman"/>
          <w:sz w:val="20"/>
          <w:szCs w:val="20"/>
          <w:color w:val="auto"/>
        </w:rPr>
        <w:t>” means a Non-Exempt Award granted to a Participant who was a Director but not an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applicable grant date.</w:t>
      </w:r>
    </w:p>
    <w:p>
      <w:pPr>
        <w:spacing w:after="0" w:line="152" w:lineRule="exact"/>
        <w:rPr>
          <w:sz w:val="20"/>
          <w:szCs w:val="20"/>
          <w:color w:val="auto"/>
        </w:rPr>
      </w:pPr>
    </w:p>
    <w:p>
      <w:pPr>
        <w:ind w:firstLine="757"/>
        <w:spacing w:after="0" w:line="273" w:lineRule="auto"/>
        <w:tabs>
          <w:tab w:leader="none" w:pos="1018"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Non-Exempt Severance Arrangement</w:t>
      </w:r>
      <w:r>
        <w:rPr>
          <w:rFonts w:ascii="Times New Roman" w:cs="Times New Roman" w:eastAsia="Times New Roman" w:hAnsi="Times New Roman"/>
          <w:sz w:val="20"/>
          <w:szCs w:val="20"/>
          <w:color w:val="auto"/>
        </w:rPr>
        <w:t>” means a severance arrangement or other agreement between the Participant and the Company that provides for acceleration of vesting of an Award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4" w:name="page155"/>
    <w:bookmarkEnd w:id="154"/>
    <w:p>
      <w:pPr>
        <w:jc w:val="both"/>
        <w:spacing w:after="0" w:line="249" w:lineRule="auto"/>
        <w:rPr>
          <w:sz w:val="20"/>
          <w:szCs w:val="20"/>
          <w:color w:val="auto"/>
        </w:rPr>
      </w:pPr>
      <w:r>
        <w:rPr>
          <w:rFonts w:ascii="Times New Roman" w:cs="Times New Roman" w:eastAsia="Times New Roman" w:hAnsi="Times New Roman"/>
          <w:sz w:val="20"/>
          <w:szCs w:val="20"/>
          <w:color w:val="auto"/>
        </w:rPr>
        <w:t>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20"/>
          <w:szCs w:val="20"/>
          <w:b w:val="1"/>
          <w:bCs w:val="1"/>
          <w:i w:val="1"/>
          <w:iCs w:val="1"/>
          <w:color w:val="auto"/>
        </w:rPr>
        <w:t>Separation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Service</w:t>
      </w:r>
      <w:r>
        <w:rPr>
          <w:rFonts w:ascii="Times New Roman" w:cs="Times New Roman" w:eastAsia="Times New Roman" w:hAnsi="Times New Roman"/>
          <w:sz w:val="20"/>
          <w:szCs w:val="20"/>
          <w:color w:val="auto"/>
        </w:rPr>
        <w:t>”) and such severance benefit does not satisfy the requirements for an exemption from application of Section 409A provided under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Treasury Regulations Section 1.409A-1(b)(4), 1.409A-1(b)(9) or otherwise.</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(mm)</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Nonstatutory Stock Option</w:t>
      </w:r>
      <w:r>
        <w:rPr>
          <w:rFonts w:ascii="Times New Roman" w:cs="Times New Roman" w:eastAsia="Times New Roman" w:hAnsi="Times New Roman"/>
          <w:sz w:val="20"/>
          <w:szCs w:val="20"/>
          <w:color w:val="auto"/>
        </w:rPr>
        <w:t>” means any option granted pursuant to Section 4 of the Plan that does not qualify as an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Option.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(nn)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0"/>
          <w:szCs w:val="20"/>
          <w:color w:val="auto"/>
        </w:rPr>
        <w:t>” means a person who is an officer of the Company within the meaning of Section 16 of the Exchange Act.</w:t>
      </w:r>
    </w:p>
    <w:p>
      <w:pPr>
        <w:spacing w:after="0" w:line="21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(oo)</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means an Incentive Stock Option or a Nonstatutory Stock Option to purchase shares of Common Stock granted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the Plan.</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(pp)</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 Agreement</w:t>
      </w:r>
      <w:r>
        <w:rPr>
          <w:rFonts w:ascii="Times New Roman" w:cs="Times New Roman" w:eastAsia="Times New Roman" w:hAnsi="Times New Roman"/>
          <w:sz w:val="20"/>
          <w:szCs w:val="20"/>
          <w:color w:val="auto"/>
        </w:rPr>
        <w:t>” means a written agreement between the Company and the Optionholder evidencing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7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(qq)</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Optionholder</w:t>
      </w:r>
      <w:r>
        <w:rPr>
          <w:rFonts w:ascii="Times New Roman" w:cs="Times New Roman" w:eastAsia="Times New Roman" w:hAnsi="Times New Roman"/>
          <w:sz w:val="20"/>
          <w:szCs w:val="20"/>
          <w:color w:val="auto"/>
        </w:rPr>
        <w:t>” means a person to whom an Option is granted pursuant to the Plan or, if applicable, such other person who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holds an outstanding Option.</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(rr)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Award</w:t>
      </w:r>
      <w:r>
        <w:rPr>
          <w:rFonts w:ascii="Times New Roman" w:cs="Times New Roman" w:eastAsia="Times New Roman" w:hAnsi="Times New Roman"/>
          <w:sz w:val="20"/>
          <w:szCs w:val="20"/>
          <w:color w:val="auto"/>
        </w:rPr>
        <w:t>” means an award valued in whole or in part by reference to, or otherwise based on, Common Stock, including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appreciation in value thereof (e.g., options or stock rights with an exercise price or strike price less than 100% of the Fair Market Value at the time of grant) that is not an Incentive Stock Options, Nonstatutory Stock Option, SAR, Restricted Stock Award, RSU Award or Performance Award.</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(ss)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Award Agreement</w:t>
      </w:r>
      <w:r>
        <w:rPr>
          <w:rFonts w:ascii="Times New Roman" w:cs="Times New Roman" w:eastAsia="Times New Roman" w:hAnsi="Times New Roman"/>
          <w:sz w:val="20"/>
          <w:szCs w:val="20"/>
          <w:color w:val="auto"/>
        </w:rPr>
        <w:t>” means a written agreement between the Company and a holder of an Other Award evidencing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and conditions of an Other Award grant. Each Other Award Agreement will be subject to the terms and conditions of the Plan.</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(tt)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Own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Owned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Owner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Ownership</w:t>
      </w:r>
      <w:r>
        <w:rPr>
          <w:rFonts w:ascii="Times New Roman" w:cs="Times New Roman" w:eastAsia="Times New Roman" w:hAnsi="Times New Roman"/>
          <w:sz w:val="20"/>
          <w:szCs w:val="20"/>
          <w:color w:val="auto"/>
        </w:rPr>
        <w:t>” means that a person or Entity will be deemed to “Own,” to have “Owned,” to be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(uu)</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an Employee, Director or Consultant to whom an Award is granted pursuant to the Plan or, if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other person who holds an outstanding Award.</w:t>
      </w:r>
    </w:p>
    <w:p>
      <w:pPr>
        <w:spacing w:after="0" w:line="15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(vv)</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Award</w:t>
      </w:r>
      <w:r>
        <w:rPr>
          <w:rFonts w:ascii="Times New Roman" w:cs="Times New Roman" w:eastAsia="Times New Roman" w:hAnsi="Times New Roman"/>
          <w:sz w:val="20"/>
          <w:szCs w:val="20"/>
          <w:color w:val="auto"/>
        </w:rPr>
        <w:t>” means an Award that may vest or may be exercised or a cash award that may vest or become earned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jc w:val="both"/>
        <w:ind w:firstLine="749"/>
        <w:spacing w:after="0" w:line="254" w:lineRule="auto"/>
        <w:rPr>
          <w:sz w:val="20"/>
          <w:szCs w:val="20"/>
          <w:color w:val="auto"/>
        </w:rPr>
      </w:pPr>
      <w:r>
        <w:rPr>
          <w:rFonts w:ascii="Times New Roman" w:cs="Times New Roman" w:eastAsia="Times New Roman" w:hAnsi="Times New Roman"/>
          <w:sz w:val="19"/>
          <w:szCs w:val="19"/>
          <w:b w:val="1"/>
          <w:bCs w:val="1"/>
          <w:color w:val="auto"/>
        </w:rPr>
        <w:t>(ww)</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Criteria</w:t>
      </w:r>
      <w:r>
        <w:rPr>
          <w:rFonts w:ascii="Times New Roman" w:cs="Times New Roman" w:eastAsia="Times New Roman" w:hAnsi="Times New Roman"/>
          <w:sz w:val="19"/>
          <w:szCs w:val="19"/>
          <w:color w:val="auto"/>
        </w:rPr>
        <w:t>” means the one or more criteria that the Board will select for purposes of establishing the Performance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pre-clinical development related compound goals; financing; regulatory milestones, including approval of a compound; stockholder liquidity; corporate governance and compliance; product commercialization; intellectual property; personnel matters; progress of internal research or clinical programs; progress of partnered programs; partner satisfaction; budget management; clinical achievements; completing phases of a clinical study (including the treatment phase); announcing or presenting preliminary or final data from clinical studies; in each case, whether on particular timelines or generally; timely completion of clinical trials; submission of INDs and NDAs and other regulatory achievements; partner or collaborator achievements; internal controls, including those related to the Sarbanes-Oxley Act of 2002; research progress, including the development of programs; investor relations, analysts and communication; manufacturing achievements (including obtaining particular yields from manufacturing runs and other measurable objectives related to process development activities);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supply chain achievements (including establishing relationships with manufacturers or suppliers of active pharmaceutical ingredients and other component materials and manufacturers of the Company’s products); co-development, co-marketing, profit sharing, joint venture or other similar arrangements; individual performance goals; corporate development and planning goals; and other measures of performance selected by the Board or Committee.</w:t>
      </w:r>
    </w:p>
    <w:p>
      <w:pPr>
        <w:spacing w:after="0" w:line="200" w:lineRule="exact"/>
        <w:rPr>
          <w:sz w:val="20"/>
          <w:szCs w:val="20"/>
          <w:color w:val="auto"/>
        </w:rPr>
      </w:pPr>
    </w:p>
    <w:p>
      <w:pPr>
        <w:spacing w:after="0" w:line="20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(xx)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Goals</w:t>
      </w:r>
      <w:r>
        <w:rPr>
          <w:rFonts w:ascii="Times New Roman" w:cs="Times New Roman" w:eastAsia="Times New Roman" w:hAnsi="Times New Roman"/>
          <w:sz w:val="20"/>
          <w:szCs w:val="20"/>
          <w:color w:val="auto"/>
        </w:rPr>
        <w:t>” means, for a Performance Period, the one or more goals established by the Board for the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Capital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6" w:name="page157"/>
    <w:bookmarkEnd w:id="156"/>
    <w:p>
      <w:pPr>
        <w:jc w:val="both"/>
        <w:spacing w:after="0" w:line="245" w:lineRule="auto"/>
        <w:rPr>
          <w:sz w:val="20"/>
          <w:szCs w:val="20"/>
          <w:color w:val="auto"/>
        </w:rPr>
      </w:pPr>
      <w:r>
        <w:rPr>
          <w:rFonts w:ascii="Times New Roman" w:cs="Times New Roman" w:eastAsia="Times New Roman" w:hAnsi="Times New Roman"/>
          <w:sz w:val="20"/>
          <w:szCs w:val="20"/>
          <w:color w:val="auto"/>
        </w:rPr>
        <w:t>costs incurred in connection with potential acquisitions or divestitures that are required to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80"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(yy)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 means the period of time selected by the Board over which the attainment of one or more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Goals will be measured for the purpose of determining a Participant’s right to vesting or exercise of an Award. Performance Periods may be of varying and overlapping duration, at the sole discretion of the Board.</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(zz)</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AN2 Therapeutics, Inc. 2022 Equity Incentive Plan.</w:t>
      </w:r>
    </w:p>
    <w:p>
      <w:pPr>
        <w:spacing w:after="0" w:line="21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(aaa)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 Administrator</w:t>
      </w:r>
      <w:r>
        <w:rPr>
          <w:rFonts w:ascii="Times New Roman" w:cs="Times New Roman" w:eastAsia="Times New Roman" w:hAnsi="Times New Roman"/>
          <w:sz w:val="20"/>
          <w:szCs w:val="20"/>
          <w:color w:val="auto"/>
        </w:rPr>
        <w:t>” means the person, persons, and/or third-party administrator designated by the Company to administer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day-to-day operations of the Plan and the Company’s other equity incentive programs.</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(bbb)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Post-Termination Exercise Period</w:t>
      </w:r>
      <w:r>
        <w:rPr>
          <w:rFonts w:ascii="Times New Roman" w:cs="Times New Roman" w:eastAsia="Times New Roman" w:hAnsi="Times New Roman"/>
          <w:sz w:val="20"/>
          <w:szCs w:val="20"/>
          <w:color w:val="auto"/>
        </w:rPr>
        <w:t>” means the period following termination of a Participant’s Continuous Service within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an Option or SAR is exercisable, as specified in Section 4(j).</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(ccc)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Prior Plan’s Available Reserve</w:t>
      </w:r>
      <w:r>
        <w:rPr>
          <w:rFonts w:ascii="Times New Roman" w:cs="Times New Roman" w:eastAsia="Times New Roman" w:hAnsi="Times New Roman"/>
          <w:sz w:val="20"/>
          <w:szCs w:val="20"/>
          <w:color w:val="auto"/>
        </w:rPr>
        <w:t>” means the number of shares available for the grant of new awards under the Prior Plan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prior to the Effective Date.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(ddd)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Prior Plan</w:t>
      </w:r>
      <w:r>
        <w:rPr>
          <w:rFonts w:ascii="Times New Roman" w:cs="Times New Roman" w:eastAsia="Times New Roman" w:hAnsi="Times New Roman"/>
          <w:sz w:val="20"/>
          <w:szCs w:val="20"/>
          <w:color w:val="auto"/>
        </w:rPr>
        <w:t>” means the AN2 Therapeutics, Inc. 2017 Equity Incentive Plan, as amended.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(eee)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Prospectus</w:t>
      </w:r>
      <w:r>
        <w:rPr>
          <w:rFonts w:ascii="Times New Roman" w:cs="Times New Roman" w:eastAsia="Times New Roman" w:hAnsi="Times New Roman"/>
          <w:sz w:val="20"/>
          <w:szCs w:val="20"/>
          <w:color w:val="auto"/>
        </w:rPr>
        <w:t>” means the document containing the Plan information specified in Section 10(a) of the Securities Act.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(fff)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Award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RSA</w:t>
      </w:r>
      <w:r>
        <w:rPr>
          <w:rFonts w:ascii="Times New Roman" w:cs="Times New Roman" w:eastAsia="Times New Roman" w:hAnsi="Times New Roman"/>
          <w:sz w:val="20"/>
          <w:szCs w:val="20"/>
          <w:color w:val="auto"/>
        </w:rPr>
        <w:t>” means an Award of shares of Common Stock which is granted pursuant to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of Section 5(a).</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(ggg)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Award Agreement</w:t>
      </w:r>
      <w:r>
        <w:rPr>
          <w:rFonts w:ascii="Times New Roman" w:cs="Times New Roman" w:eastAsia="Times New Roman" w:hAnsi="Times New Roman"/>
          <w:sz w:val="20"/>
          <w:szCs w:val="20"/>
          <w:color w:val="auto"/>
        </w:rPr>
        <w:t>” means a written agreement between the Company and a holder of a Restricted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(hhh)</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Returning Shares</w:t>
      </w:r>
      <w:r>
        <w:rPr>
          <w:rFonts w:ascii="Times New Roman" w:cs="Times New Roman" w:eastAsia="Times New Roman" w:hAnsi="Times New Roman"/>
          <w:sz w:val="20"/>
          <w:szCs w:val="20"/>
          <w:color w:val="auto"/>
        </w:rPr>
        <w:t>” means shares subject to outstanding stock awards granted under the Prior Plan and that following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(iii)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RSU Award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RSU</w:t>
      </w:r>
      <w:r>
        <w:rPr>
          <w:rFonts w:ascii="Times New Roman" w:cs="Times New Roman" w:eastAsia="Times New Roman" w:hAnsi="Times New Roman"/>
          <w:sz w:val="20"/>
          <w:szCs w:val="20"/>
          <w:color w:val="auto"/>
        </w:rPr>
        <w:t>” means an Award of restricted stock units representing the right to receive an issuance of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which is granted pursuant to the terms and conditions of Section 5(a).</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(jjj)</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RSU Award Agreement</w:t>
      </w:r>
      <w:r>
        <w:rPr>
          <w:rFonts w:ascii="Times New Roman" w:cs="Times New Roman" w:eastAsia="Times New Roman" w:hAnsi="Times New Roman"/>
          <w:sz w:val="20"/>
          <w:szCs w:val="20"/>
          <w:color w:val="auto"/>
        </w:rPr>
        <w:t>” means a written agreement between the Company and a holder of a RSU Award evidencing the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conditions of a RSU Award.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(kkk)</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16b-3</w:t>
      </w:r>
      <w:r>
        <w:rPr>
          <w:rFonts w:ascii="Times New Roman" w:cs="Times New Roman" w:eastAsia="Times New Roman" w:hAnsi="Times New Roman"/>
          <w:sz w:val="20"/>
          <w:szCs w:val="20"/>
          <w:color w:val="auto"/>
        </w:rPr>
        <w:t>” means Rule 16b-3 promulgated under the Exchange Act or any successor to Rule 16b-3, as in effect from time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time.</w:t>
      </w:r>
    </w:p>
    <w:p>
      <w:pPr>
        <w:spacing w:after="0" w:line="19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(lll)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16b-3 Director</w:t>
      </w:r>
      <w:r>
        <w:rPr>
          <w:rFonts w:ascii="Times New Roman" w:cs="Times New Roman" w:eastAsia="Times New Roman" w:hAnsi="Times New Roman"/>
          <w:sz w:val="20"/>
          <w:szCs w:val="20"/>
          <w:color w:val="auto"/>
        </w:rPr>
        <w:t>” means a Non-Employee Director who either (i) does not possess an interest in any other transaction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(mmm)</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405</w:t>
      </w:r>
      <w:r>
        <w:rPr>
          <w:rFonts w:ascii="Times New Roman" w:cs="Times New Roman" w:eastAsia="Times New Roman" w:hAnsi="Times New Roman"/>
          <w:sz w:val="20"/>
          <w:szCs w:val="20"/>
          <w:color w:val="auto"/>
        </w:rPr>
        <w:t>” means Rule 405 promulgated under the Securities Act.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(nnn)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the regulations and other guidance thereunder.</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(ooo)</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 Change in Control</w:t>
      </w:r>
      <w:r>
        <w:rPr>
          <w:rFonts w:ascii="Times New Roman" w:cs="Times New Roman" w:eastAsia="Times New Roman" w:hAnsi="Times New Roman"/>
          <w:sz w:val="20"/>
          <w:szCs w:val="20"/>
          <w:color w:val="auto"/>
        </w:rPr>
        <w:t>” means a change in the ownership or effective control of the Company, or in the ownership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 substantial portion of the Company’s assets, as provided in Section 409A(a)(2)(A)(v) of the Code and Treasury Regulations Section 1.409A-3(i)(5) (without regard to any alternative definition thereunder).</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(ppp)</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U.S. Securities Act of 1933, as amended.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(qqq)</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 Reserve</w:t>
      </w:r>
      <w:r>
        <w:rPr>
          <w:rFonts w:ascii="Times New Roman" w:cs="Times New Roman" w:eastAsia="Times New Roman" w:hAnsi="Times New Roman"/>
          <w:sz w:val="20"/>
          <w:szCs w:val="20"/>
          <w:color w:val="auto"/>
        </w:rPr>
        <w:t>” means the number of shares available for issuance under the Plan as set forth in Section 2(a).</w:t>
      </w:r>
    </w:p>
    <w:p>
      <w:pPr>
        <w:spacing w:after="0" w:line="21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(rrr)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Appreciation Right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SAR</w:t>
      </w:r>
      <w:r>
        <w:rPr>
          <w:rFonts w:ascii="Times New Roman" w:cs="Times New Roman" w:eastAsia="Times New Roman" w:hAnsi="Times New Roman"/>
          <w:sz w:val="20"/>
          <w:szCs w:val="20"/>
          <w:color w:val="auto"/>
        </w:rPr>
        <w:t>” means a right to receive the appreciation on Common Stock that is granted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terms and conditions of Section 4.</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(sss)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SAR Agreement</w:t>
      </w:r>
      <w:r>
        <w:rPr>
          <w:rFonts w:ascii="Times New Roman" w:cs="Times New Roman" w:eastAsia="Times New Roman" w:hAnsi="Times New Roman"/>
          <w:sz w:val="20"/>
          <w:szCs w:val="20"/>
          <w:color w:val="auto"/>
        </w:rPr>
        <w:t>” means a written agreement between the Company and a holder of a SAR evidencing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(ttt)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with respect to the Company, (i) any corporation of which more than 50% of the outstanding capital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8" w:name="page159"/>
    <w:bookmarkEnd w:id="158"/>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(uuu)</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Ten Percent Stockholder</w:t>
      </w:r>
      <w:r>
        <w:rPr>
          <w:rFonts w:ascii="Times New Roman" w:cs="Times New Roman" w:eastAsia="Times New Roman" w:hAnsi="Times New Roman"/>
          <w:sz w:val="20"/>
          <w:szCs w:val="20"/>
          <w:color w:val="auto"/>
        </w:rPr>
        <w:t>” means a person who Owns (or is deemed to Own pursuant to Section 424(d) of the Code)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possessing more than 10% of the total combined voting power of all classes of stock of the Company or any Affiliate.</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(vvv)</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Trading Policy</w:t>
      </w:r>
      <w:r>
        <w:rPr>
          <w:rFonts w:ascii="Times New Roman" w:cs="Times New Roman" w:eastAsia="Times New Roman" w:hAnsi="Times New Roman"/>
          <w:sz w:val="20"/>
          <w:szCs w:val="20"/>
          <w:color w:val="auto"/>
        </w:rPr>
        <w:t>” means the Company’s policy permitting certain individuals to sell Company shares only during certain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"window" periods and/or otherwise restricts the ability of certain individuals to transfer or encumber Company shares, as in effect from time to time.</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(www)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Unvested Non-Exempt Award</w:t>
      </w:r>
      <w:r>
        <w:rPr>
          <w:rFonts w:ascii="Times New Roman" w:cs="Times New Roman" w:eastAsia="Times New Roman" w:hAnsi="Times New Roman"/>
          <w:sz w:val="20"/>
          <w:szCs w:val="20"/>
          <w:color w:val="auto"/>
        </w:rPr>
        <w:t>” means the portion of any Non-Exempt Award that had not vested in accordance with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upon or prior to the date of any Corporate Transaction.</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(xxx)</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Vested Non-Exempt Award</w:t>
      </w:r>
      <w:r>
        <w:rPr>
          <w:rFonts w:ascii="Times New Roman" w:cs="Times New Roman" w:eastAsia="Times New Roman" w:hAnsi="Times New Roman"/>
          <w:sz w:val="20"/>
          <w:szCs w:val="20"/>
          <w:color w:val="auto"/>
        </w:rPr>
        <w:t>” means the portion of any Non-Exempt Award that had vested in accordance with its terms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prior to the date of a Corporate Transaction.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9" w:name="page160"/>
    <w:bookmarkEnd w:id="159"/>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AN2 T</w:t>
      </w:r>
      <w:r>
        <w:rPr>
          <w:rFonts w:ascii="Times New Roman" w:cs="Times New Roman" w:eastAsia="Times New Roman" w:hAnsi="Times New Roman"/>
          <w:sz w:val="15"/>
          <w:szCs w:val="15"/>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RSU A</w:t>
      </w:r>
      <w:r>
        <w:rPr>
          <w:rFonts w:ascii="Times New Roman" w:cs="Times New Roman" w:eastAsia="Times New Roman" w:hAnsi="Times New Roman"/>
          <w:sz w:val="15"/>
          <w:szCs w:val="15"/>
          <w:b w:val="1"/>
          <w:bCs w:val="1"/>
          <w:color w:val="auto"/>
        </w:rPr>
        <w:t>WARD</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5"/>
          <w:szCs w:val="15"/>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5"/>
          <w:szCs w:val="15"/>
          <w:b w:val="1"/>
          <w:bCs w:val="1"/>
          <w:color w:val="auto"/>
        </w:rPr>
        <w:t>OTICE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5"/>
          <w:szCs w:val="15"/>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AN2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2022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awarded to you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number of restricted stock units specified, and on the terms set forth, below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Your RSU Award is subject to all of the terms and conditions set forth herein and in the Plan and the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attached hereto and incorporated herein in their entirety. Capitalized terms not explicitly defined herein but defined in the Plan or the Agreement shall have the meanings set forth in the Plan or the Agreement.</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0</wp:posOffset>
            </wp:positionV>
            <wp:extent cx="439737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8">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0</wp:posOffset>
            </wp:positionV>
            <wp:extent cx="439737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9">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0</wp:posOffset>
            </wp:positionV>
            <wp:extent cx="43973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0">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0</wp:posOffset>
            </wp:positionV>
            <wp:extent cx="43973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1">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-7620</wp:posOffset>
            </wp:positionV>
            <wp:extent cx="2857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Notwithstanding the foregoing, vesting shall terminate upon Participant’s termination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Continuous Service.</w:t>
      </w:r>
    </w:p>
    <w:p>
      <w:pPr>
        <w:spacing w:after="0" w:line="135" w:lineRule="exact"/>
        <w:rPr>
          <w:sz w:val="20"/>
          <w:szCs w:val="20"/>
          <w:color w:val="auto"/>
        </w:rPr>
      </w:pPr>
    </w:p>
    <w:p>
      <w:pPr>
        <w:sectPr>
          <w:pgSz w:w="11900" w:h="16838" w:orient="portrait"/>
          <w:cols w:equalWidth="0" w:num="2">
            <w:col w:w="3580" w:space="720"/>
            <w:col w:w="694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Issuance Schedule:</w:t>
      </w:r>
    </w:p>
    <w:p>
      <w:pPr>
        <w:spacing w:after="0" w:line="20" w:lineRule="exact"/>
        <w:rPr>
          <w:sz w:val="20"/>
          <w:szCs w:val="20"/>
          <w:color w:val="auto"/>
        </w:rPr>
      </w:pPr>
      <w:r>
        <w:rPr>
          <w:sz w:val="20"/>
          <w:szCs w:val="20"/>
          <w:color w:val="auto"/>
        </w:rPr>
        <w:br w:type="column"/>
      </w:r>
    </w:p>
    <w:p>
      <w:pPr>
        <w:ind w:right="400"/>
        <w:spacing w:after="0" w:line="282" w:lineRule="auto"/>
        <w:rPr>
          <w:sz w:val="20"/>
          <w:szCs w:val="20"/>
          <w:color w:val="auto"/>
        </w:rPr>
      </w:pPr>
      <w:r>
        <w:rPr>
          <w:rFonts w:ascii="Times New Roman" w:cs="Times New Roman" w:eastAsia="Times New Roman" w:hAnsi="Times New Roman"/>
          <w:sz w:val="18"/>
          <w:szCs w:val="18"/>
          <w:color w:val="auto"/>
        </w:rPr>
        <w:t>One share of Common Stock will be issued for each restricted stock unit which vests as set forth in Section 5 of the Agreement.</w:t>
      </w:r>
    </w:p>
    <w:p>
      <w:pPr>
        <w:spacing w:after="0" w:line="171" w:lineRule="exact"/>
        <w:rPr>
          <w:sz w:val="20"/>
          <w:szCs w:val="20"/>
          <w:color w:val="auto"/>
        </w:rPr>
      </w:pPr>
    </w:p>
    <w:p>
      <w:pPr>
        <w:sectPr>
          <w:pgSz w:w="11900" w:h="16838" w:orient="portrait"/>
          <w:cols w:equalWidth="0" w:num="2">
            <w:col w:w="3580" w:space="720"/>
            <w:col w:w="6940"/>
          </w:cols>
          <w:pgMar w:left="320" w:top="1440" w:right="339" w:bottom="1440" w:gutter="0" w:footer="0" w:header="0"/>
          <w:type w:val="continuous"/>
        </w:sectPr>
      </w:pPr>
    </w:p>
    <w:p>
      <w:pPr>
        <w:ind w:right="60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Participant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1" w:lineRule="exact"/>
        <w:rPr>
          <w:sz w:val="20"/>
          <w:szCs w:val="20"/>
          <w:color w:val="auto"/>
        </w:rPr>
      </w:pPr>
    </w:p>
    <w:p>
      <w:pPr>
        <w:ind w:left="1040" w:right="40" w:hanging="560"/>
        <w:spacing w:after="0" w:line="259" w:lineRule="auto"/>
        <w:tabs>
          <w:tab w:leader="none" w:pos="1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 is governed by this RSU Award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may not be modified, amended or revised except in a writing signed by you and a duly authorized officer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w:t>
      </w:r>
    </w:p>
    <w:p>
      <w:pPr>
        <w:spacing w:after="0" w:line="235" w:lineRule="exact"/>
        <w:rPr>
          <w:rFonts w:ascii="Times New Roman" w:cs="Times New Roman" w:eastAsia="Times New Roman" w:hAnsi="Times New Roman"/>
          <w:sz w:val="18"/>
          <w:szCs w:val="18"/>
          <w:color w:val="auto"/>
        </w:rPr>
      </w:pPr>
    </w:p>
    <w:p>
      <w:pPr>
        <w:ind w:left="1040" w:right="240" w:hanging="560"/>
        <w:spacing w:after="0" w:line="312" w:lineRule="auto"/>
        <w:tabs>
          <w:tab w:leader="none" w:pos="10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193" w:lineRule="exact"/>
        <w:rPr>
          <w:rFonts w:ascii="Times New Roman" w:cs="Times New Roman" w:eastAsia="Times New Roman" w:hAnsi="Times New Roman"/>
          <w:sz w:val="17"/>
          <w:szCs w:val="17"/>
          <w:color w:val="auto"/>
        </w:rPr>
      </w:pPr>
    </w:p>
    <w:p>
      <w:pPr>
        <w:ind w:left="1040" w:right="200" w:hanging="560"/>
        <w:spacing w:after="0" w:line="281" w:lineRule="auto"/>
        <w:tabs>
          <w:tab w:leader="none" w:pos="10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AN2 T</w:t>
            </w:r>
            <w:r>
              <w:rPr>
                <w:rFonts w:ascii="Times New Roman" w:cs="Times New Roman" w:eastAsia="Times New Roman" w:hAnsi="Times New Roman"/>
                <w:sz w:val="15"/>
                <w:szCs w:val="15"/>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tc>
        <w:tc>
          <w:tcPr>
            <w:tcW w:w="59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ARTICIPANT</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r>
      <w:tr>
        <w:trPr>
          <w:trHeight w:val="45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4"/>
                <w:szCs w:val="24"/>
                <w:color w:val="auto"/>
              </w:rPr>
            </w:pPr>
          </w:p>
        </w:tc>
      </w:tr>
      <w:tr>
        <w:trPr>
          <w:trHeight w:val="250"/>
        </w:trPr>
        <w:tc>
          <w:tcPr>
            <w:tcW w:w="780" w:type="dxa"/>
            <w:vAlign w:val="bottom"/>
          </w:tcPr>
          <w:p>
            <w:pPr>
              <w:spacing w:after="0"/>
              <w:rPr>
                <w:sz w:val="21"/>
                <w:szCs w:val="21"/>
                <w:color w:val="auto"/>
              </w:rPr>
            </w:pPr>
          </w:p>
        </w:tc>
        <w:tc>
          <w:tcPr>
            <w:tcW w:w="452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Signature</w:t>
            </w:r>
          </w:p>
        </w:tc>
        <w:tc>
          <w:tcPr>
            <w:tcW w:w="1300" w:type="dxa"/>
            <w:vAlign w:val="bottom"/>
          </w:tcPr>
          <w:p>
            <w:pPr>
              <w:spacing w:after="0"/>
              <w:rPr>
                <w:sz w:val="21"/>
                <w:szCs w:val="21"/>
                <w:color w:val="auto"/>
              </w:rPr>
            </w:pPr>
          </w:p>
        </w:tc>
        <w:tc>
          <w:tcPr>
            <w:tcW w:w="4620" w:type="dxa"/>
            <w:vAlign w:val="bottom"/>
            <w:tcBorders>
              <w:top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Signature</w:t>
            </w:r>
          </w:p>
        </w:tc>
        <w:tc>
          <w:tcPr>
            <w:tcW w:w="20" w:type="dxa"/>
            <w:vAlign w:val="bottom"/>
          </w:tcPr>
          <w:p>
            <w:pPr>
              <w:spacing w:after="0"/>
              <w:rPr>
                <w:sz w:val="21"/>
                <w:szCs w:val="21"/>
                <w:color w:val="auto"/>
              </w:rPr>
            </w:pPr>
          </w:p>
        </w:tc>
      </w:tr>
      <w:tr>
        <w:trPr>
          <w:trHeight w:val="45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Borders>
              <w:bottom w:val="single" w:sz="8" w:color="auto"/>
            </w:tcBorders>
          </w:tcPr>
          <w:p>
            <w:pPr>
              <w:spacing w:after="0"/>
              <w:rPr>
                <w:sz w:val="24"/>
                <w:szCs w:val="24"/>
                <w:color w:val="auto"/>
              </w:rPr>
            </w:pPr>
          </w:p>
        </w:tc>
        <w:tc>
          <w:tcPr>
            <w:tcW w:w="1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13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47"/>
        </w:trPr>
        <w:tc>
          <w:tcPr>
            <w:tcW w:w="780" w:type="dxa"/>
            <w:vAlign w:val="bottom"/>
            <w:tcBorders>
              <w:bottom w:val="single" w:sz="8" w:color="9A9A9A"/>
            </w:tcBorders>
          </w:tcPr>
          <w:p>
            <w:pPr>
              <w:spacing w:after="0"/>
              <w:rPr>
                <w:sz w:val="24"/>
                <w:szCs w:val="24"/>
                <w:color w:val="auto"/>
              </w:rPr>
            </w:pPr>
          </w:p>
        </w:tc>
        <w:tc>
          <w:tcPr>
            <w:tcW w:w="4520" w:type="dxa"/>
            <w:vAlign w:val="bottom"/>
            <w:tcBorders>
              <w:top w:val="single" w:sz="8" w:color="auto"/>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0" w:name="page161"/>
    <w:bookmarkEnd w:id="16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TTACHMENTS</w:t>
      </w:r>
      <w:r>
        <w:rPr>
          <w:rFonts w:ascii="Times New Roman" w:cs="Times New Roman" w:eastAsia="Times New Roman" w:hAnsi="Times New Roman"/>
          <w:sz w:val="18"/>
          <w:szCs w:val="18"/>
          <w:color w:val="auto"/>
        </w:rPr>
        <w:t>: RSU Award Agreement, 2022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1177925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WARD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AN2 T</w:t>
      </w:r>
      <w:r>
        <w:rPr>
          <w:rFonts w:ascii="Times New Roman" w:cs="Times New Roman" w:eastAsia="Times New Roman" w:hAnsi="Times New Roman"/>
          <w:sz w:val="15"/>
          <w:szCs w:val="15"/>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5"/>
          <w:szCs w:val="15"/>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RSU A</w:t>
      </w:r>
      <w:r>
        <w:rPr>
          <w:rFonts w:ascii="Times New Roman" w:cs="Times New Roman" w:eastAsia="Times New Roman" w:hAnsi="Times New Roman"/>
          <w:sz w:val="15"/>
          <w:szCs w:val="15"/>
          <w:b w:val="1"/>
          <w:bCs w:val="1"/>
          <w:color w:val="auto"/>
        </w:rPr>
        <w:t>WARD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GREEMENT</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As reflected by your Restricted Stock Unit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AN2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RSU Award under its 2022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 indicated in your Grant Notice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The terms of your RSU Award as specified in this Award Agreement for your RSU Award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Grant Notice constitute your “</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Defined terms not explicitly defined in this Agreement but defined in the Grant Notice or the Plan shall have the same definitions as in the Grant Notice or Plan, as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terms applicable to your RSU Award are as follows:</w:t>
      </w:r>
    </w:p>
    <w:p>
      <w:pPr>
        <w:spacing w:after="0" w:line="221" w:lineRule="exact"/>
        <w:rPr>
          <w:sz w:val="20"/>
          <w:szCs w:val="20"/>
          <w:color w:val="auto"/>
        </w:rPr>
      </w:pPr>
    </w:p>
    <w:p>
      <w:pPr>
        <w:ind w:left="180" w:hanging="172"/>
        <w:spacing w:after="0"/>
        <w:tabs>
          <w:tab w:leader="none" w:pos="18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5"/>
          <w:szCs w:val="15"/>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OCUMENT</w:t>
      </w:r>
      <w:r>
        <w:rPr>
          <w:rFonts w:ascii="Times New Roman" w:cs="Times New Roman" w:eastAsia="Times New Roman" w:hAnsi="Times New Roman"/>
          <w:sz w:val="18"/>
          <w:szCs w:val="18"/>
          <w:color w:val="auto"/>
        </w:rPr>
        <w:t>. Your RSU Award is subject to all the provisions of the Plan, including but not limited to the provisions in:</w:t>
      </w:r>
    </w:p>
    <w:p>
      <w:pPr>
        <w:spacing w:after="0" w:line="229" w:lineRule="exact"/>
        <w:rPr>
          <w:sz w:val="20"/>
          <w:szCs w:val="20"/>
          <w:color w:val="auto"/>
        </w:rPr>
      </w:pPr>
    </w:p>
    <w:p>
      <w:pPr>
        <w:ind w:left="260" w:hanging="252"/>
        <w:spacing w:after="0"/>
        <w:tabs>
          <w:tab w:leader="none" w:pos="2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of the Plan regarding the impact of a Capitalization Adjustment, dissolution, liquidation, or Corporate Transaction on your RSU Award;</w:t>
      </w:r>
    </w:p>
    <w:p>
      <w:pPr>
        <w:spacing w:after="0" w:line="22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of the Plan regarding the Company’s retained rights to terminate your Continuous Service notwithstanding the grant of the RSU Award;</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of the Plan regarding the tax consequences of your RSU Award.</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72" w:lineRule="exact"/>
        <w:rPr>
          <w:sz w:val="20"/>
          <w:szCs w:val="20"/>
          <w:color w:val="auto"/>
        </w:rPr>
      </w:pPr>
    </w:p>
    <w:p>
      <w:pPr>
        <w:ind w:right="20" w:firstLine="8"/>
        <w:spacing w:after="0" w:line="257" w:lineRule="auto"/>
        <w:tabs>
          <w:tab w:leader="none" w:pos="1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5"/>
          <w:szCs w:val="15"/>
          <w:b w:val="1"/>
          <w:bCs w:val="1"/>
          <w:color w:val="auto"/>
        </w:rPr>
        <w:t>RANT OF THE</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5"/>
          <w:szCs w:val="15"/>
          <w:b w:val="1"/>
          <w:bCs w:val="1"/>
          <w:color w:val="auto"/>
        </w:rPr>
        <w:t>WARD</w:t>
      </w:r>
      <w:r>
        <w:rPr>
          <w:rFonts w:ascii="Times New Roman" w:cs="Times New Roman" w:eastAsia="Times New Roman" w:hAnsi="Times New Roman"/>
          <w:sz w:val="18"/>
          <w:szCs w:val="18"/>
          <w:color w:val="auto"/>
        </w:rPr>
        <w:t>. This RSU Award represents your right to be issued on a future date the number of shares of the Company’s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82" w:lineRule="exact"/>
        <w:rPr>
          <w:rFonts w:ascii="Times New Roman" w:cs="Times New Roman" w:eastAsia="Times New Roman" w:hAnsi="Times New Roman"/>
          <w:sz w:val="18"/>
          <w:szCs w:val="18"/>
          <w:b w:val="1"/>
          <w:bCs w:val="1"/>
          <w:color w:val="auto"/>
        </w:rPr>
      </w:pPr>
    </w:p>
    <w:p>
      <w:pPr>
        <w:ind w:right="20" w:firstLine="8"/>
        <w:spacing w:after="0" w:line="268" w:lineRule="auto"/>
        <w:tabs>
          <w:tab w:leader="none" w:pos="1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5"/>
          <w:szCs w:val="15"/>
          <w:b w:val="1"/>
          <w:bCs w:val="1"/>
          <w:color w:val="auto"/>
        </w:rPr>
        <w:t>IVIDENDS</w:t>
      </w:r>
      <w:r>
        <w:rPr>
          <w:rFonts w:ascii="Times New Roman" w:cs="Times New Roman" w:eastAsia="Times New Roman" w:hAnsi="Times New Roman"/>
          <w:sz w:val="18"/>
          <w:szCs w:val="18"/>
          <w:color w:val="auto"/>
        </w:rPr>
        <w:t>. You shall receive no benefit or adjustment to your RSU Award with respect to any cash dividend, stock dividend or other distribution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does not result from a Capitalization Adjustment as provided in the Plan;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this sentence shall not apply with respect to any shares of Common Stock that are delivered to you in connection with your RSU Award after such shares have been delivered to you.</w:t>
      </w:r>
    </w:p>
    <w:p>
      <w:pPr>
        <w:spacing w:after="0" w:line="386" w:lineRule="exact"/>
        <w:rPr>
          <w:rFonts w:ascii="Times New Roman" w:cs="Times New Roman" w:eastAsia="Times New Roman" w:hAnsi="Times New Roman"/>
          <w:sz w:val="18"/>
          <w:szCs w:val="18"/>
          <w:b w:val="1"/>
          <w:bCs w:val="1"/>
          <w:color w:val="auto"/>
        </w:rPr>
      </w:pPr>
    </w:p>
    <w:p>
      <w:pPr>
        <w:ind w:right="80" w:firstLine="8"/>
        <w:spacing w:after="0" w:line="259" w:lineRule="auto"/>
        <w:tabs>
          <w:tab w:leader="none" w:pos="1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BLIGATIONS</w:t>
      </w:r>
      <w:r>
        <w:rPr>
          <w:rFonts w:ascii="Times New Roman" w:cs="Times New Roman" w:eastAsia="Times New Roman" w:hAnsi="Times New Roman"/>
          <w:sz w:val="18"/>
          <w:szCs w:val="18"/>
          <w:color w:val="auto"/>
        </w:rPr>
        <w:t>. As further provided in Section 8 of the Plan, you hereby authorize withholding from payroll and any other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to you, and otherwise agree to make adequate provision for, any sums required to satisfy the federal, state, local and foreign tax withholding obligations, if any, which arise in connection with your RSU Award (the “</w:t>
      </w:r>
      <w:r>
        <w:rPr>
          <w:rFonts w:ascii="Times New Roman" w:cs="Times New Roman" w:eastAsia="Times New Roman" w:hAnsi="Times New Roman"/>
          <w:sz w:val="18"/>
          <w:szCs w:val="18"/>
          <w:b w:val="1"/>
          <w:bCs w:val="1"/>
          <w:i w:val="1"/>
          <w:iCs w:val="1"/>
          <w:color w:val="auto"/>
        </w:rPr>
        <w:t>Withholding Obligation</w:t>
      </w:r>
      <w:r>
        <w:rPr>
          <w:rFonts w:ascii="Times New Roman" w:cs="Times New Roman" w:eastAsia="Times New Roman" w:hAnsi="Times New Roman"/>
          <w:sz w:val="18"/>
          <w:szCs w:val="18"/>
          <w:color w:val="auto"/>
        </w:rPr>
        <w:t>”) in accordance with the withholding procedures established by the Company. You understand and agree that the Company, on your behalf, may instruct the Company’s broker or stock plan administrator, as applicable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to (1) sell, at the then-applicable market price, that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2" w:name="page163"/>
    <w:bookmarkEnd w:id="162"/>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of shares of Common Stock issued upon the vesting or settlement of the Restricted Stock Units as necessary to satisfy any applicable Withholding Obligations and all applicable fees and commissions due to, or required to be collected by, the Agent with respect thereto, and (2) pay the cash proceeds of such sale(s) to the Company, with such sales to occur on or as soon as the Agent determines is reasonably practicable after the date on which the applicable Withholding Obligation arises (a “</w:t>
      </w:r>
      <w:r>
        <w:rPr>
          <w:rFonts w:ascii="Times New Roman" w:cs="Times New Roman" w:eastAsia="Times New Roman" w:hAnsi="Times New Roman"/>
          <w:sz w:val="18"/>
          <w:szCs w:val="18"/>
          <w:b w:val="1"/>
          <w:bCs w:val="1"/>
          <w:i w:val="1"/>
          <w:iCs w:val="1"/>
          <w:color w:val="auto"/>
        </w:rPr>
        <w:t>Sell to Cover</w:t>
      </w:r>
      <w:r>
        <w:rPr>
          <w:rFonts w:ascii="Times New Roman" w:cs="Times New Roman" w:eastAsia="Times New Roman" w:hAnsi="Times New Roman"/>
          <w:sz w:val="18"/>
          <w:szCs w:val="18"/>
          <w:color w:val="auto"/>
        </w:rPr>
        <w:t>”). The Company shall then make a cash payment equal to the required Withholding Obligations from the cash proceeds of such sale(s) directly to the appropriate taxing authorities.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292" w:lineRule="exact"/>
        <w:rPr>
          <w:sz w:val="20"/>
          <w:szCs w:val="20"/>
          <w:color w:val="auto"/>
        </w:rPr>
      </w:pPr>
    </w:p>
    <w:p>
      <w:pPr>
        <w:ind w:left="180" w:hanging="172"/>
        <w:spacing w:after="0"/>
        <w:tabs>
          <w:tab w:leader="none" w:pos="18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5"/>
          <w:szCs w:val="15"/>
          <w:b w:val="1"/>
          <w:bCs w:val="1"/>
          <w:color w:val="auto"/>
        </w:rPr>
        <w:t>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SSUANCE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80" w:firstLine="8"/>
        <w:spacing w:after="0" w:line="256" w:lineRule="auto"/>
        <w:tabs>
          <w:tab w:leader="none" w:pos="255"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as soon as practicable following the applicable vesting date(s) but no later than the date that is the 15th day of the third calendar month of the applicable year following the year in which the shares of Common Stock under this RSU Award are no longer subject to a “substantial risk of forfeiture” within the meaning of Treasury Regulations Section 1.409A-1(d) (subject to any adjustment under Section 3 above, and subject to any different provisions in the Grant Notice).</w:t>
      </w:r>
    </w:p>
    <w:p>
      <w:pPr>
        <w:spacing w:after="0" w:line="187" w:lineRule="exact"/>
        <w:rPr>
          <w:rFonts w:ascii="Times New Roman" w:cs="Times New Roman" w:eastAsia="Times New Roman" w:hAnsi="Times New Roman"/>
          <w:sz w:val="18"/>
          <w:szCs w:val="18"/>
          <w:b w:val="1"/>
          <w:bCs w:val="1"/>
          <w:color w:val="auto"/>
        </w:rPr>
      </w:pPr>
    </w:p>
    <w:p>
      <w:pPr>
        <w:ind w:right="200" w:firstLine="8"/>
        <w:spacing w:after="0" w:line="261" w:lineRule="auto"/>
        <w:tabs>
          <w:tab w:leader="none" w:pos="265"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76" w:lineRule="exact"/>
        <w:rPr>
          <w:sz w:val="20"/>
          <w:szCs w:val="20"/>
          <w:color w:val="auto"/>
        </w:rPr>
      </w:pPr>
    </w:p>
    <w:p>
      <w:pPr>
        <w:ind w:right="140" w:firstLine="8"/>
        <w:spacing w:after="0" w:line="286" w:lineRule="auto"/>
        <w:tabs>
          <w:tab w:leader="none" w:pos="1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RANSFERABILITY</w:t>
      </w:r>
      <w:r>
        <w:rPr>
          <w:rFonts w:ascii="Times New Roman" w:cs="Times New Roman" w:eastAsia="Times New Roman" w:hAnsi="Times New Roman"/>
          <w:sz w:val="18"/>
          <w:szCs w:val="18"/>
          <w:color w:val="auto"/>
        </w:rPr>
        <w:t>. Except as otherwise provided in the Plan, your RSU Award is not transferable, except by will or by the applicable laws of descent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distribution.</w:t>
      </w:r>
    </w:p>
    <w:p>
      <w:pPr>
        <w:spacing w:after="0" w:line="154" w:lineRule="exact"/>
        <w:rPr>
          <w:rFonts w:ascii="Times New Roman" w:cs="Times New Roman" w:eastAsia="Times New Roman" w:hAnsi="Times New Roman"/>
          <w:sz w:val="18"/>
          <w:szCs w:val="18"/>
          <w:b w:val="1"/>
          <w:bCs w:val="1"/>
          <w:color w:val="auto"/>
        </w:rPr>
      </w:pPr>
    </w:p>
    <w:p>
      <w:pPr>
        <w:jc w:val="both"/>
        <w:ind w:right="280" w:firstLine="8"/>
        <w:spacing w:after="0" w:line="268" w:lineRule="auto"/>
        <w:tabs>
          <w:tab w:leader="none" w:pos="1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RANSACTION</w:t>
      </w:r>
      <w:r>
        <w:rPr>
          <w:rFonts w:ascii="Times New Roman" w:cs="Times New Roman" w:eastAsia="Times New Roman" w:hAnsi="Times New Roman"/>
          <w:sz w:val="18"/>
          <w:szCs w:val="18"/>
          <w:color w:val="auto"/>
        </w:rPr>
        <w:t>. Your RSU Award is subject to the terms of any agreement governing a Corporate Transaction involving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 provision for the appointment of a stockholder representative that is authorized to act on your behalf with respect to any escrow, indemnities and any contingent consideration.</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1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5"/>
          <w:szCs w:val="15"/>
          <w:b w:val="1"/>
          <w:bCs w:val="1"/>
          <w:color w:val="auto"/>
        </w:rPr>
        <w:t>IABILITY</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5"/>
          <w:szCs w:val="15"/>
          <w:b w:val="1"/>
          <w:bCs w:val="1"/>
          <w:color w:val="auto"/>
        </w:rPr>
        <w:t>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AXES</w:t>
      </w:r>
      <w:r>
        <w:rPr>
          <w:rFonts w:ascii="Times New Roman" w:cs="Times New Roman" w:eastAsia="Times New Roman" w:hAnsi="Times New Roman"/>
          <w:sz w:val="18"/>
          <w:szCs w:val="18"/>
          <w:color w:val="auto"/>
        </w:rPr>
        <w:t>. As a condition to accepting the RSU Award, you hereby (a) agree to not make any claim against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76" w:lineRule="exact"/>
        <w:rPr>
          <w:rFonts w:ascii="Times New Roman" w:cs="Times New Roman" w:eastAsia="Times New Roman" w:hAnsi="Times New Roman"/>
          <w:sz w:val="18"/>
          <w:szCs w:val="18"/>
          <w:b w:val="1"/>
          <w:bCs w:val="1"/>
          <w:color w:val="auto"/>
        </w:rPr>
      </w:pPr>
    </w:p>
    <w:p>
      <w:pPr>
        <w:ind w:right="60" w:firstLine="8"/>
        <w:spacing w:after="0" w:line="256" w:lineRule="auto"/>
        <w:tabs>
          <w:tab w:leader="none" w:pos="1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EVERABILITY</w:t>
      </w:r>
      <w:r>
        <w:rPr>
          <w:rFonts w:ascii="Times New Roman" w:cs="Times New Roman" w:eastAsia="Times New Roman" w:hAnsi="Times New Roman"/>
          <w:sz w:val="18"/>
          <w:szCs w:val="18"/>
          <w:color w:val="auto"/>
        </w:rPr>
        <w:t>. If any part of this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3" w:lineRule="exact"/>
        <w:rPr>
          <w:rFonts w:ascii="Times New Roman" w:cs="Times New Roman" w:eastAsia="Times New Roman" w:hAnsi="Times New Roman"/>
          <w:sz w:val="18"/>
          <w:szCs w:val="18"/>
          <w:b w:val="1"/>
          <w:bCs w:val="1"/>
          <w:color w:val="auto"/>
        </w:rPr>
      </w:pPr>
    </w:p>
    <w:p>
      <w:pPr>
        <w:ind w:right="320" w:firstLine="8"/>
        <w:spacing w:after="0" w:line="255" w:lineRule="auto"/>
        <w:tabs>
          <w:tab w:leader="none" w:pos="27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5"/>
          <w:szCs w:val="15"/>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5"/>
          <w:szCs w:val="15"/>
          <w:b w:val="1"/>
          <w:bCs w:val="1"/>
          <w:color w:val="auto"/>
        </w:rPr>
        <w:t>OCUMENTS</w:t>
      </w:r>
      <w:r>
        <w:rPr>
          <w:rFonts w:ascii="Times New Roman" w:cs="Times New Roman" w:eastAsia="Times New Roman" w:hAnsi="Times New Roman"/>
          <w:sz w:val="18"/>
          <w:szCs w:val="18"/>
          <w:color w:val="auto"/>
        </w:rPr>
        <w:t>. You hereby acknowledge receipt of or the right to receive a document providing the information required by Rule 428(b)(1)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under the Securities Act, which includes the Prospectus. In addition, you acknowledge and agree to be subject to the Company’s Trading Policy, which such Trading Policy has been or will be made available to you.</w:t>
      </w:r>
    </w:p>
    <w:p>
      <w:pPr>
        <w:spacing w:after="0" w:line="181" w:lineRule="exact"/>
        <w:rPr>
          <w:rFonts w:ascii="Times New Roman" w:cs="Times New Roman" w:eastAsia="Times New Roman" w:hAnsi="Times New Roman"/>
          <w:sz w:val="18"/>
          <w:szCs w:val="18"/>
          <w:b w:val="1"/>
          <w:bCs w:val="1"/>
          <w:color w:val="auto"/>
        </w:rPr>
      </w:pPr>
    </w:p>
    <w:p>
      <w:pPr>
        <w:ind w:right="500" w:firstLine="8"/>
        <w:spacing w:after="0" w:line="286" w:lineRule="auto"/>
        <w:tabs>
          <w:tab w:leader="none" w:pos="2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5"/>
          <w:szCs w:val="15"/>
          <w:b w:val="1"/>
          <w:bCs w:val="1"/>
          <w:color w:val="auto"/>
        </w:rPr>
        <w:t>UESTIONS</w:t>
      </w:r>
      <w:r>
        <w:rPr>
          <w:rFonts w:ascii="Times New Roman" w:cs="Times New Roman" w:eastAsia="Times New Roman" w:hAnsi="Times New Roman"/>
          <w:sz w:val="18"/>
          <w:szCs w:val="18"/>
          <w:color w:val="auto"/>
        </w:rPr>
        <w:t>. If you have questions regarding these or any other terms and conditions applicable to your RSU Award,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5"/>
          <w:szCs w:val="15"/>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1172845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10.6</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AN2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2022 E</w:t>
      </w:r>
      <w:r>
        <w:rPr>
          <w:rFonts w:ascii="Times New Roman" w:cs="Times New Roman" w:eastAsia="Times New Roman" w:hAnsi="Times New Roman"/>
          <w:sz w:val="13"/>
          <w:szCs w:val="13"/>
          <w:b w:val="1"/>
          <w:bCs w:val="1"/>
          <w:color w:val="auto"/>
        </w:rPr>
        <w:t>mployee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urchase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dopted by 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oard of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20"/>
          <w:szCs w:val="20"/>
          <w:b w:val="1"/>
          <w:bCs w:val="1"/>
          <w:color w:val="auto"/>
        </w:rPr>
        <w:t>: M</w:t>
      </w:r>
      <w:r>
        <w:rPr>
          <w:rFonts w:ascii="Times New Roman" w:cs="Times New Roman" w:eastAsia="Times New Roman" w:hAnsi="Times New Roman"/>
          <w:sz w:val="13"/>
          <w:szCs w:val="13"/>
          <w:b w:val="1"/>
          <w:bCs w:val="1"/>
          <w:color w:val="auto"/>
        </w:rPr>
        <w:t>arch</w:t>
      </w:r>
      <w:r>
        <w:rPr>
          <w:rFonts w:ascii="Times New Roman" w:cs="Times New Roman" w:eastAsia="Times New Roman" w:hAnsi="Times New Roman"/>
          <w:sz w:val="20"/>
          <w:szCs w:val="20"/>
          <w:b w:val="1"/>
          <w:bCs w:val="1"/>
          <w:color w:val="auto"/>
        </w:rPr>
        <w:t xml:space="preserve"> 17, 2022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pproved by the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20"/>
          <w:szCs w:val="20"/>
          <w:b w:val="1"/>
          <w:bCs w:val="1"/>
          <w:color w:val="auto"/>
        </w:rPr>
        <w:t>: M</w:t>
      </w:r>
      <w:r>
        <w:rPr>
          <w:rFonts w:ascii="Times New Roman" w:cs="Times New Roman" w:eastAsia="Times New Roman" w:hAnsi="Times New Roman"/>
          <w:sz w:val="13"/>
          <w:szCs w:val="13"/>
          <w:b w:val="1"/>
          <w:bCs w:val="1"/>
          <w:color w:val="auto"/>
        </w:rPr>
        <w:t>arch</w:t>
      </w:r>
      <w:r>
        <w:rPr>
          <w:rFonts w:ascii="Times New Roman" w:cs="Times New Roman" w:eastAsia="Times New Roman" w:hAnsi="Times New Roman"/>
          <w:sz w:val="20"/>
          <w:szCs w:val="20"/>
          <w:b w:val="1"/>
          <w:bCs w:val="1"/>
          <w:color w:val="auto"/>
        </w:rPr>
        <w:t xml:space="preserve"> 18, 2022</w:t>
      </w:r>
    </w:p>
    <w:p>
      <w:pPr>
        <w:jc w:val="center"/>
        <w:spacing w:after="0"/>
        <w:rPr>
          <w:sz w:val="20"/>
          <w:szCs w:val="20"/>
          <w:color w:val="auto"/>
        </w:rPr>
      </w:pPr>
      <w:r>
        <w:rPr>
          <w:rFonts w:ascii="Times New Roman" w:cs="Times New Roman" w:eastAsia="Times New Roman" w:hAnsi="Times New Roman"/>
          <w:sz w:val="20"/>
          <w:szCs w:val="20"/>
          <w:b w:val="1"/>
          <w:bCs w:val="1"/>
          <w:color w:val="auto"/>
        </w:rPr>
        <w:t>IPO 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20"/>
          <w:szCs w:val="20"/>
          <w:b w:val="1"/>
          <w:bCs w:val="1"/>
          <w:color w:val="auto"/>
        </w:rPr>
        <w:t>: M</w:t>
      </w:r>
      <w:r>
        <w:rPr>
          <w:rFonts w:ascii="Times New Roman" w:cs="Times New Roman" w:eastAsia="Times New Roman" w:hAnsi="Times New Roman"/>
          <w:sz w:val="13"/>
          <w:szCs w:val="13"/>
          <w:b w:val="1"/>
          <w:bCs w:val="1"/>
          <w:color w:val="auto"/>
        </w:rPr>
        <w:t>arch</w:t>
      </w:r>
      <w:r>
        <w:rPr>
          <w:rFonts w:ascii="Times New Roman" w:cs="Times New Roman" w:eastAsia="Times New Roman" w:hAnsi="Times New Roman"/>
          <w:sz w:val="20"/>
          <w:szCs w:val="20"/>
          <w:b w:val="1"/>
          <w:bCs w:val="1"/>
          <w:color w:val="auto"/>
        </w:rPr>
        <w:t xml:space="preserve"> 25, 2022</w:t>
      </w: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20"/>
          <w:szCs w:val="20"/>
          <w:b w:val="1"/>
          <w:bCs w:val="1"/>
          <w:color w:val="auto"/>
        </w:rPr>
        <w:t>; P</w:t>
      </w:r>
      <w:r>
        <w:rPr>
          <w:rFonts w:ascii="Times New Roman" w:cs="Times New Roman" w:eastAsia="Times New Roman" w:hAnsi="Times New Roman"/>
          <w:sz w:val="13"/>
          <w:szCs w:val="13"/>
          <w:b w:val="1"/>
          <w:bCs w:val="1"/>
          <w:color w:val="auto"/>
        </w:rPr>
        <w:t>urpose</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018" w:val="left"/>
        </w:tabs>
        <w:numPr>
          <w:ilvl w:val="1"/>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provides a means by which Eligible Employees of the Company and certain Eligible Employees of designated Related Corporations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17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Except as otherwise provided in the Plan or determined by the Board, the Non-423 Component will operate and be administered in the same manner as the 423 Component.</w:t>
      </w:r>
    </w:p>
    <w:p>
      <w:pPr>
        <w:spacing w:after="0" w:line="184"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18" w:val="left"/>
        </w:tabs>
        <w:numPr>
          <w:ilvl w:val="1"/>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17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18" w:val="left"/>
        </w:tabs>
        <w:numPr>
          <w:ilvl w:val="1"/>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or the Committee will administer the Plan. References herein to the Board shall be deemed to refer to the Committee except where context dictates otherwise.</w:t>
      </w:r>
    </w:p>
    <w:p>
      <w:pPr>
        <w:spacing w:after="0" w:line="15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will have the power, subject to, and within the limitations of, the express provisions of the Plan:</w:t>
      </w:r>
    </w:p>
    <w:p>
      <w:pPr>
        <w:spacing w:after="0" w:line="215"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2"/>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determine how and when Purchase Rights will be granted and the provisions of each Offering (which need not</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be identical).</w:t>
      </w:r>
    </w:p>
    <w:p>
      <w:pPr>
        <w:spacing w:after="0" w:line="193" w:lineRule="exact"/>
        <w:rPr>
          <w:rFonts w:ascii="Times New Roman" w:cs="Times New Roman" w:eastAsia="Times New Roman" w:hAnsi="Times New Roman"/>
          <w:sz w:val="20"/>
          <w:szCs w:val="20"/>
          <w:b w:val="1"/>
          <w:bCs w:val="1"/>
          <w:color w:val="auto"/>
        </w:rPr>
      </w:pPr>
    </w:p>
    <w:p>
      <w:pPr>
        <w:jc w:val="both"/>
        <w:ind w:firstLine="1505"/>
        <w:spacing w:after="0" w:line="249" w:lineRule="auto"/>
        <w:tabs>
          <w:tab w:leader="none" w:pos="2036" w:val="left"/>
        </w:tabs>
        <w:numPr>
          <w:ilvl w:val="2"/>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designate from time to time (A) which Related Corporations will be eligible to participate in the Plan as Designated 423 Corporations, (B) which Related Corporations or Affiliates will be eligible to participate in the Plan as Designated Non-423 Corporations, and (C) which Designated Companies will participate in separate Offerings (to the extent that the Company makes separate Offerings).</w:t>
      </w:r>
    </w:p>
    <w:p>
      <w:pPr>
        <w:spacing w:after="0" w:line="179" w:lineRule="exact"/>
        <w:rPr>
          <w:rFonts w:ascii="Times New Roman" w:cs="Times New Roman" w:eastAsia="Times New Roman" w:hAnsi="Times New Roman"/>
          <w:sz w:val="20"/>
          <w:szCs w:val="20"/>
          <w:b w:val="1"/>
          <w:bCs w:val="1"/>
          <w:color w:val="auto"/>
        </w:rPr>
      </w:pPr>
    </w:p>
    <w:p>
      <w:pPr>
        <w:jc w:val="both"/>
        <w:ind w:firstLine="1505"/>
        <w:spacing w:after="0" w:line="254" w:lineRule="auto"/>
        <w:tabs>
          <w:tab w:leader="none" w:pos="2036" w:val="left"/>
        </w:tabs>
        <w:numPr>
          <w:ilvl w:val="2"/>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5" w:name="page166"/>
    <w:bookmarkEnd w:id="165"/>
    <w:p>
      <w:pPr>
        <w:ind w:left="2040" w:hanging="535"/>
        <w:spacing w:after="0"/>
        <w:tabs>
          <w:tab w:leader="none" w:pos="2040" w:val="left"/>
        </w:tabs>
        <w:numPr>
          <w:ilvl w:val="2"/>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settle all controversies regarding the Plan and Purchase Rights granted under the Plan.</w:t>
      </w:r>
    </w:p>
    <w:p>
      <w:pPr>
        <w:spacing w:after="0" w:line="215"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2"/>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suspend or terminate the Plan at any time as provided in Section 12.</w:t>
      </w:r>
    </w:p>
    <w:p>
      <w:pPr>
        <w:spacing w:after="0" w:line="215"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2"/>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amend the Plan at any time as provided in Section 12.</w:t>
      </w:r>
    </w:p>
    <w:p>
      <w:pPr>
        <w:spacing w:after="0" w:line="215" w:lineRule="exact"/>
        <w:rPr>
          <w:rFonts w:ascii="Times New Roman" w:cs="Times New Roman" w:eastAsia="Times New Roman" w:hAnsi="Times New Roman"/>
          <w:sz w:val="20"/>
          <w:szCs w:val="20"/>
          <w:b w:val="1"/>
          <w:bCs w:val="1"/>
          <w:color w:val="auto"/>
        </w:rPr>
      </w:pPr>
    </w:p>
    <w:p>
      <w:pPr>
        <w:jc w:val="both"/>
        <w:ind w:firstLine="1505"/>
        <w:spacing w:after="0" w:line="254" w:lineRule="auto"/>
        <w:tabs>
          <w:tab w:leader="none" w:pos="2036" w:val="left"/>
        </w:tabs>
        <w:numPr>
          <w:ilvl w:val="2"/>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Generally, to exercise such powers and to perform such acts as it deems necessary or expedient to promote the best interests of the Company, its Related Corporations and Affiliates, and to carry out the intent that the Plan be treated as an Employee Stock Purchase Plan with respect to the 423 Component.</w:t>
      </w:r>
    </w:p>
    <w:p>
      <w:pPr>
        <w:spacing w:after="0" w:line="174" w:lineRule="exact"/>
        <w:rPr>
          <w:rFonts w:ascii="Times New Roman" w:cs="Times New Roman" w:eastAsia="Times New Roman" w:hAnsi="Times New Roman"/>
          <w:sz w:val="20"/>
          <w:szCs w:val="20"/>
          <w:b w:val="1"/>
          <w:bCs w:val="1"/>
          <w:color w:val="auto"/>
        </w:rPr>
      </w:pPr>
    </w:p>
    <w:p>
      <w:pPr>
        <w:jc w:val="both"/>
        <w:ind w:firstLine="1505"/>
        <w:spacing w:after="0" w:line="243" w:lineRule="auto"/>
        <w:tabs>
          <w:tab w:leader="none" w:pos="2036" w:val="left"/>
        </w:tabs>
        <w:numPr>
          <w:ilvl w:val="2"/>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adopt such rules, procedures and sub-plans as are necessary or appropriate to permit or facilitate participation in the Plan by Employees who are non-U.S.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Corporation, do not have to comply with the requirements of Section 423 of the Code.</w:t>
      </w:r>
    </w:p>
    <w:p>
      <w:pPr>
        <w:spacing w:after="0" w:line="189" w:lineRule="exact"/>
        <w:rPr>
          <w:rFonts w:ascii="Times New Roman" w:cs="Times New Roman" w:eastAsia="Times New Roman" w:hAnsi="Times New Roman"/>
          <w:sz w:val="20"/>
          <w:szCs w:val="20"/>
          <w:b w:val="1"/>
          <w:bCs w:val="1"/>
          <w:color w:val="auto"/>
        </w:rPr>
      </w:pPr>
    </w:p>
    <w:p>
      <w:pPr>
        <w:jc w:val="both"/>
        <w:ind w:firstLine="757"/>
        <w:spacing w:after="0" w:line="242" w:lineRule="auto"/>
        <w:tabs>
          <w:tab w:leader="none" w:pos="1018" w:val="left"/>
        </w:tabs>
        <w:numPr>
          <w:ilvl w:val="1"/>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delegate some or all of the administration of the Plan to the Committee or such other Committees as it deems fit. If administration is delegated to a Committee, the Committee will have, in connection with the administration of the Plan, the powers theretofore possessed by the Board that have been delegated to the Committee, subject, however, to such resolutions, not inconsistent with the provisions of the Plan, as may be adopted from time to time by the Board. Further, to the extent not prohibited by Applicable Law, the Board or Committee may, from time to time, delegate any of the administrative powers the Board or Committee is authorized to exercise to a subcommittee or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w:t>
      </w:r>
    </w:p>
    <w:p>
      <w:pPr>
        <w:spacing w:after="0" w:line="192" w:lineRule="exact"/>
        <w:rPr>
          <w:rFonts w:ascii="Times New Roman" w:cs="Times New Roman" w:eastAsia="Times New Roman" w:hAnsi="Times New Roman"/>
          <w:sz w:val="20"/>
          <w:szCs w:val="20"/>
          <w:b w:val="1"/>
          <w:bCs w:val="1"/>
          <w:color w:val="auto"/>
        </w:rPr>
      </w:pPr>
    </w:p>
    <w:p>
      <w:pPr>
        <w:ind w:right="20" w:firstLine="757"/>
        <w:spacing w:after="0" w:line="269" w:lineRule="auto"/>
        <w:tabs>
          <w:tab w:leader="none" w:pos="1018" w:val="left"/>
        </w:tabs>
        <w:numPr>
          <w:ilvl w:val="1"/>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determinations, interpretations and constructions made by the Board in good faith will not be subject to review by any person and will be final, binding and conclusive on all persons.</w:t>
      </w:r>
    </w:p>
    <w:p>
      <w:pPr>
        <w:spacing w:after="0" w:line="15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hares of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ommon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ubject to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Subject to the provisions of Section 11(a) relating to Capitalization Adjustments, the maximum number of shares of Common Stock that may be issued under the Plan will not exceed </w:t>
      </w:r>
      <w:r>
        <w:rPr>
          <w:rFonts w:ascii="Times New Roman" w:cs="Times New Roman" w:eastAsia="Times New Roman" w:hAnsi="Times New Roman"/>
          <w:sz w:val="21"/>
          <w:szCs w:val="21"/>
          <w:color w:val="auto"/>
        </w:rPr>
        <w:t>187,000</w:t>
      </w:r>
      <w:r>
        <w:rPr>
          <w:rFonts w:ascii="Times New Roman" w:cs="Times New Roman" w:eastAsia="Times New Roman" w:hAnsi="Times New Roman"/>
          <w:sz w:val="20"/>
          <w:szCs w:val="20"/>
          <w:color w:val="auto"/>
        </w:rPr>
        <w:t>, plus the number of shares of Common Stock that are automatically added on January 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xml:space="preserve"> of each year for a period of up to ten years, commencing on January 1, 2023 and ending on (and including) January 1, 2032, in an amount equal to the lesser of (i) 1% of the total number of shares of Capital Stock outstanding on the prior December 31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xml:space="preserve">, and (ii) </w:t>
      </w:r>
      <w:r>
        <w:rPr>
          <w:rFonts w:ascii="Times New Roman" w:cs="Times New Roman" w:eastAsia="Times New Roman" w:hAnsi="Times New Roman"/>
          <w:sz w:val="21"/>
          <w:szCs w:val="21"/>
          <w:color w:val="auto"/>
        </w:rPr>
        <w:t xml:space="preserve">561,000 </w:t>
      </w:r>
      <w:r>
        <w:rPr>
          <w:rFonts w:ascii="Times New Roman" w:cs="Times New Roman" w:eastAsia="Times New Roman" w:hAnsi="Times New Roman"/>
          <w:sz w:val="19"/>
          <w:szCs w:val="19"/>
          <w:color w:val="auto"/>
        </w:rPr>
        <w:t>shares of Common Stock. Notwithstanding the foregoing, the Board may act prior to January 1</w:t>
      </w:r>
      <w:r>
        <w:rPr>
          <w:rFonts w:ascii="Times New Roman" w:cs="Times New Roman" w:eastAsia="Times New Roman" w:hAnsi="Times New Roman"/>
          <w:sz w:val="13"/>
          <w:szCs w:val="13"/>
          <w:color w:val="auto"/>
        </w:rPr>
        <w:t>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of a given year to provide that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there will be no January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9"/>
          <w:szCs w:val="19"/>
          <w:color w:val="auto"/>
        </w:rPr>
        <w:t xml:space="preserve"> increase in the share reserve for such calendar year or that the increase in the share reserve for such calendar year will be a lesser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p>
      <w:pPr>
        <w:jc w:val="both"/>
        <w:spacing w:after="0" w:line="249" w:lineRule="auto"/>
        <w:rPr>
          <w:sz w:val="20"/>
          <w:szCs w:val="20"/>
          <w:color w:val="auto"/>
        </w:rPr>
      </w:pPr>
      <w:r>
        <w:rPr>
          <w:rFonts w:ascii="Times New Roman" w:cs="Times New Roman" w:eastAsia="Times New Roman" w:hAnsi="Times New Roman"/>
          <w:sz w:val="20"/>
          <w:szCs w:val="20"/>
          <w:color w:val="auto"/>
        </w:rPr>
        <w:t>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180" w:lineRule="exact"/>
        <w:rPr>
          <w:sz w:val="20"/>
          <w:szCs w:val="20"/>
          <w:color w:val="auto"/>
        </w:rPr>
      </w:pPr>
    </w:p>
    <w:p>
      <w:pPr>
        <w:ind w:firstLine="757"/>
        <w:spacing w:after="0" w:line="269" w:lineRule="auto"/>
        <w:tabs>
          <w:tab w:leader="none" w:pos="1018" w:val="left"/>
        </w:tabs>
        <w:numPr>
          <w:ilvl w:val="1"/>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59"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18" w:val="left"/>
        </w:tabs>
        <w:numPr>
          <w:ilvl w:val="1"/>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stock purchasable under the Plan will be shares of authorized but unissued or reacquired Common Stock, including shares repurchased by the Company on the open market.</w:t>
      </w:r>
    </w:p>
    <w:p>
      <w:pPr>
        <w:spacing w:after="0" w:line="15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rant of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urchase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20"/>
          <w:szCs w:val="20"/>
          <w:b w:val="1"/>
          <w:bCs w:val="1"/>
          <w:color w:val="auto"/>
        </w:rPr>
        <w:t>; O</w:t>
      </w:r>
      <w:r>
        <w:rPr>
          <w:rFonts w:ascii="Times New Roman" w:cs="Times New Roman" w:eastAsia="Times New Roman" w:hAnsi="Times New Roman"/>
          <w:sz w:val="13"/>
          <w:szCs w:val="13"/>
          <w:b w:val="1"/>
          <w:bCs w:val="1"/>
          <w:color w:val="auto"/>
        </w:rPr>
        <w:t>ffering</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3" w:lineRule="auto"/>
        <w:tabs>
          <w:tab w:leader="none" w:pos="1018" w:val="left"/>
        </w:tabs>
        <w:numPr>
          <w:ilvl w:val="1"/>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8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 Participant has more than one Purchase Right outstanding under the Plan, unless he or she otherwise indicates in forms delivered to the Company or a third party designated by the Company (each, a “</w:t>
      </w:r>
      <w:r>
        <w:rPr>
          <w:rFonts w:ascii="Times New Roman" w:cs="Times New Roman" w:eastAsia="Times New Roman" w:hAnsi="Times New Roman"/>
          <w:sz w:val="20"/>
          <w:szCs w:val="20"/>
          <w:b w:val="1"/>
          <w:bCs w:val="1"/>
          <w:i w:val="1"/>
          <w:iCs w:val="1"/>
          <w:color w:val="auto"/>
        </w:rPr>
        <w:t>Company Designee</w:t>
      </w:r>
      <w:r>
        <w:rPr>
          <w:rFonts w:ascii="Times New Roman" w:cs="Times New Roman" w:eastAsia="Times New Roman" w:hAnsi="Times New Roman"/>
          <w:sz w:val="20"/>
          <w:szCs w:val="20"/>
          <w:color w:val="auto"/>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4" w:lineRule="exact"/>
        <w:rPr>
          <w:rFonts w:ascii="Times New Roman" w:cs="Times New Roman" w:eastAsia="Times New Roman" w:hAnsi="Times New Roman"/>
          <w:sz w:val="20"/>
          <w:szCs w:val="20"/>
          <w:b w:val="1"/>
          <w:bCs w:val="1"/>
          <w:color w:val="auto"/>
        </w:rPr>
      </w:pPr>
    </w:p>
    <w:p>
      <w:pPr>
        <w:jc w:val="both"/>
        <w:ind w:firstLine="757"/>
        <w:spacing w:after="0" w:line="266" w:lineRule="auto"/>
        <w:tabs>
          <w:tab w:leader="none" w:pos="1018" w:val="left"/>
        </w:tabs>
        <w:numPr>
          <w:ilvl w:val="1"/>
          <w:numId w:val="1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161" w:lineRule="exact"/>
        <w:rPr>
          <w:rFonts w:ascii="Times New Roman" w:cs="Times New Roman" w:eastAsia="Times New Roman" w:hAnsi="Times New Roman"/>
          <w:sz w:val="19"/>
          <w:szCs w:val="19"/>
          <w:b w:val="1"/>
          <w:bCs w:val="1"/>
          <w:color w:val="auto"/>
        </w:rPr>
      </w:pPr>
    </w:p>
    <w:p>
      <w:pPr>
        <w:ind w:left="520" w:hanging="512"/>
        <w:spacing w:after="0"/>
        <w:tabs>
          <w:tab w:leader="none" w:pos="520"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ligibility</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018" w:val="left"/>
        </w:tabs>
        <w:numPr>
          <w:ilvl w:val="1"/>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or the Related Corporation or an Affiliate, as the case may be, for such continuous period preceding such Offering Date as the Board may require, but in no event will the required period of continuous employment be equal to or greater than two years. In addition, the Board may (unless prohibited by Applicable Law) provide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7" w:name="page168"/>
    <w:bookmarkEnd w:id="167"/>
    <w:p>
      <w:pPr>
        <w:jc w:val="both"/>
        <w:spacing w:after="0" w:line="245" w:lineRule="auto"/>
        <w:rPr>
          <w:sz w:val="20"/>
          <w:szCs w:val="20"/>
          <w:color w:val="auto"/>
        </w:rPr>
      </w:pPr>
      <w:r>
        <w:rPr>
          <w:rFonts w:ascii="Times New Roman" w:cs="Times New Roman" w:eastAsia="Times New Roman" w:hAnsi="Times New Roman"/>
          <w:sz w:val="20"/>
          <w:szCs w:val="20"/>
          <w:color w:val="auto"/>
        </w:rPr>
        <w:t>that no Employee will be eligible to be granted Purchase Rights under the Plan unless, on the Offering Date, such Employee’s customary employment with the Company, the Related Corporation or the Affiliate, as the case may be, is more than 20 hours per week and more than five months per calendar year or such other criteria as the Board may determine consistent with Section 423 of the Code with respect to the 423 Component. The Board may also exclude from participation in the Plan or any Offering Employees who are "highly compensated employees" (within the meaning of Section 423(b)(4)(D) of the Code) of the Company, a Related Corporation or an Affiliate, or a subset of such highly compensated employees.</w:t>
      </w:r>
    </w:p>
    <w:p>
      <w:pPr>
        <w:spacing w:after="0" w:line="184" w:lineRule="exact"/>
        <w:rPr>
          <w:sz w:val="20"/>
          <w:szCs w:val="20"/>
          <w:color w:val="auto"/>
        </w:rPr>
      </w:pPr>
    </w:p>
    <w:p>
      <w:pPr>
        <w:jc w:val="both"/>
        <w:ind w:firstLine="757"/>
        <w:spacing w:after="0" w:line="246" w:lineRule="auto"/>
        <w:tabs>
          <w:tab w:leader="none" w:pos="1018"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84" w:lineRule="exact"/>
        <w:rPr>
          <w:rFonts w:ascii="Times New Roman" w:cs="Times New Roman" w:eastAsia="Times New Roman" w:hAnsi="Times New Roman"/>
          <w:sz w:val="20"/>
          <w:szCs w:val="20"/>
          <w:b w:val="1"/>
          <w:bCs w:val="1"/>
          <w:color w:val="auto"/>
        </w:rPr>
      </w:pPr>
    </w:p>
    <w:p>
      <w:pPr>
        <w:ind w:right="20" w:firstLine="1505"/>
        <w:spacing w:after="0" w:line="269" w:lineRule="auto"/>
        <w:tabs>
          <w:tab w:leader="none" w:pos="2036" w:val="left"/>
        </w:tabs>
        <w:numPr>
          <w:ilvl w:val="1"/>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date on which such Purchase Right is granted will be the “Offering Date” of such Purchase Right for all purposes, including determination of the exercise price of such Purchase Right;</w:t>
      </w:r>
    </w:p>
    <w:p>
      <w:pPr>
        <w:spacing w:after="0" w:line="159" w:lineRule="exact"/>
        <w:rPr>
          <w:rFonts w:ascii="Times New Roman" w:cs="Times New Roman" w:eastAsia="Times New Roman" w:hAnsi="Times New Roman"/>
          <w:sz w:val="20"/>
          <w:szCs w:val="20"/>
          <w:b w:val="1"/>
          <w:bCs w:val="1"/>
          <w:color w:val="auto"/>
        </w:rPr>
      </w:pPr>
    </w:p>
    <w:p>
      <w:pPr>
        <w:ind w:firstLine="1505"/>
        <w:spacing w:after="0" w:line="269" w:lineRule="auto"/>
        <w:tabs>
          <w:tab w:leader="none" w:pos="2036" w:val="left"/>
        </w:tabs>
        <w:numPr>
          <w:ilvl w:val="1"/>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period of the Offering with respect to such Purchase Right will begin on its Offering Date and end coincident with the end of such Offering; and</w:t>
      </w:r>
    </w:p>
    <w:p>
      <w:pPr>
        <w:spacing w:after="0" w:line="159" w:lineRule="exact"/>
        <w:rPr>
          <w:rFonts w:ascii="Times New Roman" w:cs="Times New Roman" w:eastAsia="Times New Roman" w:hAnsi="Times New Roman"/>
          <w:sz w:val="20"/>
          <w:szCs w:val="20"/>
          <w:b w:val="1"/>
          <w:bCs w:val="1"/>
          <w:color w:val="auto"/>
        </w:rPr>
      </w:pPr>
    </w:p>
    <w:p>
      <w:pPr>
        <w:ind w:firstLine="1505"/>
        <w:spacing w:after="0" w:line="269" w:lineRule="auto"/>
        <w:tabs>
          <w:tab w:leader="none" w:pos="2036" w:val="left"/>
        </w:tabs>
        <w:numPr>
          <w:ilvl w:val="1"/>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provide that if such person first becomes an Eligible Employee within a specified period of time before the end of the Offering, he or she will not receive any Purchase Right under that Offering.</w:t>
      </w:r>
    </w:p>
    <w:p>
      <w:pPr>
        <w:spacing w:after="0" w:line="15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84"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018"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As specified by Section 423(b)(8) of the Code, an Eligible Employee participating in the 423 Component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84"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18"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Officers of the Company and any Designated Company, if they are otherwise Eligible Employees, will be eligible to participate in Offerings under the Plan.</w:t>
      </w:r>
    </w:p>
    <w:p>
      <w:pPr>
        <w:spacing w:after="0" w:line="15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anything in this Section 5 or the remaining provisions of the Plan to the contrary, in the case of an Offering under the Non-423 Component, the Board may provide that Consultants of a Designated Non-423 Corporation are eligible to participate in the Plan, provided the Consultants otherwise meet the eligibility criteria set forth in this Section 5, as determined by the Board (unless prohibited by Applicable Law). Any references in this Plan to Employees and Eligible Employees shall encompass references to Consultants, as appropriate, and any reference to employment shall encompass references to services as a Consultant, as appropriate.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8" w:name="page169"/>
    <w:bookmarkEnd w:id="168"/>
    <w:p>
      <w:pPr>
        <w:jc w:val="both"/>
        <w:ind w:firstLine="757"/>
        <w:spacing w:after="0" w:line="249" w:lineRule="auto"/>
        <w:tabs>
          <w:tab w:leader="none" w:pos="1018" w:val="left"/>
        </w:tabs>
        <w:numPr>
          <w:ilvl w:val="1"/>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 (unless prohibited by Applicable Law).</w:t>
      </w:r>
    </w:p>
    <w:p>
      <w:pPr>
        <w:spacing w:after="0" w:line="17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urchase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20"/>
          <w:szCs w:val="20"/>
          <w:b w:val="1"/>
          <w:bCs w:val="1"/>
          <w:color w:val="auto"/>
        </w:rPr>
        <w:t>; P</w:t>
      </w:r>
      <w:r>
        <w:rPr>
          <w:rFonts w:ascii="Times New Roman" w:cs="Times New Roman" w:eastAsia="Times New Roman" w:hAnsi="Times New Roman"/>
          <w:sz w:val="13"/>
          <w:szCs w:val="13"/>
          <w:b w:val="1"/>
          <w:bCs w:val="1"/>
          <w:color w:val="auto"/>
        </w:rPr>
        <w:t>urchase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rice</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each Offering Date, each Eligible Employee, pursuant to an Offering made under the Plan, will be granted a Purchase Right to purchase up to that number of shares of Common Stock purchasable either with a percentage of such Employee’s earnings (as defined by the Board in each Offering) or with a maximum dollar amount, as designated by the Board, during the period that begins on the Offering Date (or such later date as the Board determines for a particular Offering) and ends on the date stated in the Offering, which date will be no later than the end of the Offering.</w:t>
      </w:r>
    </w:p>
    <w:p>
      <w:pPr>
        <w:spacing w:after="0" w:line="184" w:lineRule="exact"/>
        <w:rPr>
          <w:rFonts w:ascii="Times New Roman" w:cs="Times New Roman" w:eastAsia="Times New Roman" w:hAnsi="Times New Roman"/>
          <w:sz w:val="20"/>
          <w:szCs w:val="20"/>
          <w:b w:val="1"/>
          <w:bCs w:val="1"/>
          <w:color w:val="auto"/>
        </w:rPr>
      </w:pPr>
    </w:p>
    <w:p>
      <w:pPr>
        <w:ind w:right="20" w:firstLine="757"/>
        <w:spacing w:after="0" w:line="269" w:lineRule="auto"/>
        <w:tabs>
          <w:tab w:leader="none" w:pos="1018" w:val="left"/>
        </w:tabs>
        <w:numPr>
          <w:ilvl w:val="1"/>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59" w:lineRule="exact"/>
        <w:rPr>
          <w:rFonts w:ascii="Times New Roman" w:cs="Times New Roman" w:eastAsia="Times New Roman" w:hAnsi="Times New Roman"/>
          <w:sz w:val="20"/>
          <w:szCs w:val="20"/>
          <w:b w:val="1"/>
          <w:bCs w:val="1"/>
          <w:color w:val="auto"/>
        </w:rPr>
      </w:pPr>
    </w:p>
    <w:p>
      <w:pPr>
        <w:jc w:val="both"/>
        <w:ind w:firstLine="757"/>
        <w:spacing w:after="0" w:line="243" w:lineRule="auto"/>
        <w:tabs>
          <w:tab w:leader="none" w:pos="1018" w:val="left"/>
        </w:tabs>
        <w:numPr>
          <w:ilvl w:val="1"/>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8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purchase price of shares of Common Stock acquired pursuant to Purchase Rights will be not less than the lesser of:</w:t>
      </w:r>
    </w:p>
    <w:p>
      <w:pPr>
        <w:spacing w:after="0" w:line="215"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2"/>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amount equal to 85% of the Fair Market Value of the shares of Common Stock on the Offering Date; or</w:t>
      </w:r>
    </w:p>
    <w:p>
      <w:pPr>
        <w:spacing w:after="0" w:line="215"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2"/>
          <w:numId w:val="13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an amount equal to 85% of the Fair Market Value of the shares of Common Stock on the applicable Purchase Date.</w:t>
      </w:r>
    </w:p>
    <w:p>
      <w:pPr>
        <w:spacing w:after="0" w:line="223" w:lineRule="exact"/>
        <w:rPr>
          <w:rFonts w:ascii="Times New Roman" w:cs="Times New Roman" w:eastAsia="Times New Roman" w:hAnsi="Times New Roman"/>
          <w:sz w:val="19"/>
          <w:szCs w:val="19"/>
          <w:b w:val="1"/>
          <w:bCs w:val="1"/>
          <w:color w:val="auto"/>
        </w:rPr>
      </w:pPr>
    </w:p>
    <w:p>
      <w:pPr>
        <w:ind w:left="520" w:hanging="512"/>
        <w:spacing w:after="0"/>
        <w:tabs>
          <w:tab w:leader="none" w:pos="520"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articipation</w:t>
      </w:r>
      <w:r>
        <w:rPr>
          <w:rFonts w:ascii="Times New Roman" w:cs="Times New Roman" w:eastAsia="Times New Roman" w:hAnsi="Times New Roman"/>
          <w:sz w:val="20"/>
          <w:szCs w:val="20"/>
          <w:b w:val="1"/>
          <w:bCs w:val="1"/>
          <w:color w:val="auto"/>
        </w:rPr>
        <w:t>; W</w:t>
      </w:r>
      <w:r>
        <w:rPr>
          <w:rFonts w:ascii="Times New Roman" w:cs="Times New Roman" w:eastAsia="Times New Roman" w:hAnsi="Times New Roman"/>
          <w:sz w:val="13"/>
          <w:szCs w:val="13"/>
          <w:b w:val="1"/>
          <w:bCs w:val="1"/>
          <w:color w:val="auto"/>
        </w:rPr>
        <w:t>ithdrawal</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ermination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3" w:lineRule="auto"/>
        <w:tabs>
          <w:tab w:leader="none" w:pos="1018" w:val="left"/>
        </w:tabs>
        <w:numPr>
          <w:ilvl w:val="1"/>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a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held separately or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9" w:name="page170"/>
    <w:bookmarkEnd w:id="169"/>
    <w:p>
      <w:pPr>
        <w:jc w:val="both"/>
        <w:spacing w:after="0" w:line="249" w:lineRule="auto"/>
        <w:rPr>
          <w:sz w:val="20"/>
          <w:szCs w:val="20"/>
          <w:color w:val="auto"/>
        </w:rPr>
      </w:pPr>
      <w:r>
        <w:rPr>
          <w:rFonts w:ascii="Times New Roman" w:cs="Times New Roman" w:eastAsia="Times New Roman" w:hAnsi="Times New Roman"/>
          <w:sz w:val="20"/>
          <w:szCs w:val="20"/>
          <w:color w:val="auto"/>
        </w:rPr>
        <w:t>included in the new Offering). If permitted in the Offering, a Participant may thereafter reduce (including to zero) or increase his or her Contributions. If payroll deductions are not permissible or problematic under Applicable Law or if specifically provided in the Offering, in addition to or instead of making Contributions by payroll deductions, a Participant may make Contributions through the payment by cash, check or wire transfer prior to a Purchase Date.</w:t>
      </w:r>
    </w:p>
    <w:p>
      <w:pPr>
        <w:spacing w:after="0" w:line="180" w:lineRule="exact"/>
        <w:rPr>
          <w:sz w:val="20"/>
          <w:szCs w:val="20"/>
          <w:color w:val="auto"/>
        </w:rPr>
      </w:pPr>
    </w:p>
    <w:p>
      <w:pPr>
        <w:jc w:val="both"/>
        <w:ind w:firstLine="757"/>
        <w:spacing w:after="0" w:line="244" w:lineRule="auto"/>
        <w:tabs>
          <w:tab w:leader="none" w:pos="1018" w:val="left"/>
        </w:tabs>
        <w:numPr>
          <w:ilvl w:val="1"/>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During an Offering, a Participant may cease making Contributions and withdraw from the Offering by delivering to the Company or a Company Designee a withdrawal form provided by the Company or a Company Designee.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without interest,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85"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18" w:val="left"/>
        </w:tabs>
        <w:numPr>
          <w:ilvl w:val="1"/>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Purchase Rights granted pursuant to any Offering under the Plan will terminate immediately if the Participant either (i) is no longer an Employee for any reason or for no reason or (ii) is otherwise no longer eligible to participate. The Company will distribute as soon as practicable to such individual all of his or her accumulated but unused Contributions, without interest.</w:t>
      </w:r>
    </w:p>
    <w:p>
      <w:pPr>
        <w:spacing w:after="0" w:line="174" w:lineRule="exact"/>
        <w:rPr>
          <w:rFonts w:ascii="Times New Roman" w:cs="Times New Roman" w:eastAsia="Times New Roman" w:hAnsi="Times New Roman"/>
          <w:sz w:val="20"/>
          <w:szCs w:val="20"/>
          <w:b w:val="1"/>
          <w:bCs w:val="1"/>
          <w:color w:val="auto"/>
        </w:rPr>
      </w:pPr>
    </w:p>
    <w:p>
      <w:pPr>
        <w:jc w:val="both"/>
        <w:ind w:firstLine="757"/>
        <w:spacing w:after="0" w:line="243" w:lineRule="auto"/>
        <w:tabs>
          <w:tab w:leader="none" w:pos="1018" w:val="left"/>
        </w:tabs>
        <w:numPr>
          <w:ilvl w:val="1"/>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otherwise determined by the Board, a Participant whose employment transfers or whose employment who is terminated and rehired with no break in service (as determined by the Board)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for the remainder of the Offering. The Board may establish different and additional rules governing transfers between separate Offerings within the 423 Component and between Offerings under the 423 Component and Offerings under the Non-423 Component.</w:t>
      </w:r>
    </w:p>
    <w:p>
      <w:pPr>
        <w:spacing w:after="0" w:line="185"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18" w:val="left"/>
        </w:tabs>
        <w:numPr>
          <w:ilvl w:val="1"/>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74"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18" w:val="left"/>
        </w:tabs>
        <w:numPr>
          <w:ilvl w:val="1"/>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otherwise specified in the Offering or as required by Applicable Law, the Company will have no obligation to pay interest on Contributions.</w:t>
      </w:r>
    </w:p>
    <w:p>
      <w:pPr>
        <w:spacing w:after="0" w:line="15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xercise of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urchase</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18" w:val="left"/>
        </w:tabs>
        <w:numPr>
          <w:ilvl w:val="1"/>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74"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18" w:val="left"/>
        </w:tabs>
        <w:numPr>
          <w:ilvl w:val="1"/>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otherwise provided in the Offering, if any amount of accumulated Contributions remains in a Participant’s account after the purchase of shares of Common Stock on the final Purchase Date of an Offering, then such remaining amount will not roll over to the next Offering and will instead be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0" w:name="page171"/>
    <w:bookmarkEnd w:id="170"/>
    <w:p>
      <w:pPr>
        <w:spacing w:after="0" w:line="269" w:lineRule="auto"/>
        <w:rPr>
          <w:sz w:val="20"/>
          <w:szCs w:val="20"/>
          <w:color w:val="auto"/>
        </w:rPr>
      </w:pPr>
      <w:r>
        <w:rPr>
          <w:rFonts w:ascii="Times New Roman" w:cs="Times New Roman" w:eastAsia="Times New Roman" w:hAnsi="Times New Roman"/>
          <w:sz w:val="20"/>
          <w:szCs w:val="20"/>
          <w:color w:val="auto"/>
        </w:rPr>
        <w:t>distributed in full to such Participant after the final Purchase Date of such Offering as soon as practicable without interest (unless otherwise required by Applicable Law).</w:t>
      </w:r>
    </w:p>
    <w:p>
      <w:pPr>
        <w:spacing w:after="0" w:line="159" w:lineRule="exact"/>
        <w:rPr>
          <w:sz w:val="20"/>
          <w:szCs w:val="20"/>
          <w:color w:val="auto"/>
        </w:rPr>
      </w:pPr>
    </w:p>
    <w:p>
      <w:pPr>
        <w:jc w:val="both"/>
        <w:ind w:firstLine="757"/>
        <w:spacing w:after="0" w:line="242" w:lineRule="auto"/>
        <w:tabs>
          <w:tab w:leader="none" w:pos="1018" w:val="left"/>
        </w:tabs>
        <w:numPr>
          <w:ilvl w:val="1"/>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and non-U.S. federal, state and other securities, exchange control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spacing w:after="0" w:line="188"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ovenants of 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Company will seek to obtain from each U.S. and non-U.S. federal, state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82" w:lineRule="exact"/>
        <w:rPr>
          <w:sz w:val="20"/>
          <w:szCs w:val="20"/>
          <w:color w:val="auto"/>
        </w:rPr>
      </w:pPr>
    </w:p>
    <w:p>
      <w:pPr>
        <w:ind w:left="520" w:hanging="512"/>
        <w:spacing w:after="0"/>
        <w:tabs>
          <w:tab w:leader="none" w:pos="520"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esignation of</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eneficiary</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018" w:val="left"/>
        </w:tabs>
        <w:numPr>
          <w:ilvl w:val="1"/>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79"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145" w:val="left"/>
        </w:tabs>
        <w:numPr>
          <w:ilvl w:val="1"/>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18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djustments upon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hanges in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ommon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ransactions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18" w:val="left"/>
        </w:tabs>
        <w:numPr>
          <w:ilvl w:val="1"/>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1" w:name="page172"/>
    <w:bookmarkEnd w:id="171"/>
    <w:p>
      <w:pPr>
        <w:jc w:val="both"/>
        <w:spacing w:after="0" w:line="254" w:lineRule="auto"/>
        <w:rPr>
          <w:sz w:val="20"/>
          <w:szCs w:val="20"/>
          <w:color w:val="auto"/>
        </w:rPr>
      </w:pPr>
      <w:r>
        <w:rPr>
          <w:rFonts w:ascii="Times New Roman" w:cs="Times New Roman" w:eastAsia="Times New Roman" w:hAnsi="Times New Roman"/>
          <w:sz w:val="20"/>
          <w:szCs w:val="20"/>
          <w:color w:val="auto"/>
        </w:rPr>
        <w:t>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74" w:lineRule="exact"/>
        <w:rPr>
          <w:sz w:val="20"/>
          <w:szCs w:val="20"/>
          <w:color w:val="auto"/>
        </w:rPr>
      </w:pPr>
    </w:p>
    <w:p>
      <w:pPr>
        <w:jc w:val="both"/>
        <w:ind w:firstLine="757"/>
        <w:spacing w:after="0" w:line="244" w:lineRule="auto"/>
        <w:tabs>
          <w:tab w:leader="none" w:pos="1018" w:val="left"/>
        </w:tabs>
        <w:numPr>
          <w:ilvl w:val="1"/>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w:t>
      </w:r>
    </w:p>
    <w:p>
      <w:pPr>
        <w:spacing w:after="0" w:line="18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mendment</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ermination or</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uspension of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18" w:val="left"/>
        </w:tabs>
        <w:numPr>
          <w:ilvl w:val="1"/>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w:t>
      </w:r>
    </w:p>
    <w:p>
      <w:pPr>
        <w:spacing w:after="0" w:line="174" w:lineRule="exact"/>
        <w:rPr>
          <w:rFonts w:ascii="Times New Roman" w:cs="Times New Roman" w:eastAsia="Times New Roman" w:hAnsi="Times New Roman"/>
          <w:sz w:val="20"/>
          <w:szCs w:val="20"/>
          <w:b w:val="1"/>
          <w:bCs w:val="1"/>
          <w:color w:val="auto"/>
        </w:rPr>
      </w:pPr>
    </w:p>
    <w:p>
      <w:pPr>
        <w:ind w:right="20" w:firstLine="757"/>
        <w:spacing w:after="0" w:line="269" w:lineRule="auto"/>
        <w:tabs>
          <w:tab w:leader="none" w:pos="1018" w:val="left"/>
        </w:tabs>
        <w:numPr>
          <w:ilvl w:val="1"/>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may suspend or terminate the Plan at any time. No Purchase Rights may be granted under the Plan while the Plan is suspended or after it is terminated.</w:t>
      </w:r>
    </w:p>
    <w:p>
      <w:pPr>
        <w:spacing w:after="0" w:line="159" w:lineRule="exact"/>
        <w:rPr>
          <w:rFonts w:ascii="Times New Roman" w:cs="Times New Roman" w:eastAsia="Times New Roman" w:hAnsi="Times New Roman"/>
          <w:sz w:val="20"/>
          <w:szCs w:val="20"/>
          <w:b w:val="1"/>
          <w:bCs w:val="1"/>
          <w:color w:val="auto"/>
        </w:rPr>
      </w:pPr>
    </w:p>
    <w:p>
      <w:pPr>
        <w:jc w:val="both"/>
        <w:ind w:firstLine="757"/>
        <w:spacing w:after="0" w:line="241" w:lineRule="auto"/>
        <w:tabs>
          <w:tab w:leader="none" w:pos="1018" w:val="left"/>
        </w:tabs>
        <w:numPr>
          <w:ilvl w:val="1"/>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2" w:name="page173"/>
    <w:bookmarkEnd w:id="172"/>
    <w:p>
      <w:pPr>
        <w:ind w:left="520" w:hanging="512"/>
        <w:spacing w:after="0"/>
        <w:tabs>
          <w:tab w:leader="none" w:pos="520"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20"/>
          <w:szCs w:val="20"/>
          <w:b w:val="1"/>
          <w:bCs w:val="1"/>
          <w:color w:val="auto"/>
        </w:rPr>
        <w:t xml:space="preserve"> Q</w:t>
      </w:r>
      <w:r>
        <w:rPr>
          <w:rFonts w:ascii="Times New Roman" w:cs="Times New Roman" w:eastAsia="Times New Roman" w:hAnsi="Times New Roman"/>
          <w:sz w:val="13"/>
          <w:szCs w:val="13"/>
          <w:b w:val="1"/>
          <w:bCs w:val="1"/>
          <w:color w:val="auto"/>
        </w:rPr>
        <w:t>ualification</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018" w:val="left"/>
        </w:tabs>
        <w:numPr>
          <w:ilvl w:val="1"/>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79" w:lineRule="exact"/>
        <w:rPr>
          <w:rFonts w:ascii="Times New Roman" w:cs="Times New Roman" w:eastAsia="Times New Roman" w:hAnsi="Times New Roman"/>
          <w:sz w:val="20"/>
          <w:szCs w:val="20"/>
          <w:b w:val="1"/>
          <w:bCs w:val="1"/>
          <w:color w:val="auto"/>
        </w:rPr>
      </w:pPr>
    </w:p>
    <w:p>
      <w:pPr>
        <w:jc w:val="both"/>
        <w:ind w:firstLine="757"/>
        <w:spacing w:after="0" w:line="244" w:lineRule="auto"/>
        <w:tabs>
          <w:tab w:leader="none" w:pos="1018" w:val="left"/>
        </w:tabs>
        <w:numPr>
          <w:ilvl w:val="1"/>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Each Participant will make arrangements, satisfactory to the Company and any applicable Related Corporation or Affiliate, to enable the Company, the Related Corporation or the Affiliate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a Related Corporation or an Affiliate;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spacing w:after="0" w:line="18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 of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170" w:lineRule="exact"/>
        <w:rPr>
          <w:sz w:val="20"/>
          <w:szCs w:val="20"/>
          <w:color w:val="auto"/>
        </w:rPr>
      </w:pPr>
    </w:p>
    <w:p>
      <w:pPr>
        <w:ind w:left="520" w:hanging="512"/>
        <w:spacing w:after="0"/>
        <w:tabs>
          <w:tab w:leader="none" w:pos="52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rovisions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Proceeds from the sale of shares of Common Stock pursuant to Purchase Rights will constitute general funds of the Company.</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18" w:val="left"/>
        </w:tabs>
        <w:numPr>
          <w:ilvl w:val="1"/>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 and all tax withholding obligations have been satisfied.</w:t>
      </w:r>
    </w:p>
    <w:p>
      <w:pPr>
        <w:spacing w:after="0" w:line="174"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018" w:val="left"/>
        </w:tabs>
        <w:numPr>
          <w:ilvl w:val="1"/>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and Offering do not constitute an employment contract. Nothing in the Plan or in the Offering will in any way alter the at-will nature of a Participant’s employment or amend a Participant's employment contract, if applicable, or be deemed to create in any way whatsoever any obligation on the part of any Participant to continue in the employ of the Company, a Related Corporation or an Affiliate, or on the part of the Company, a Related Corporation or an Affiliate to continue the employment of a Participant.</w:t>
      </w:r>
    </w:p>
    <w:p>
      <w:pPr>
        <w:spacing w:after="0" w:line="17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provisions of the Plan will be governed by the laws of the State of Delaware without resort to that state’s conflicts of laws</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rules.</w:t>
      </w:r>
    </w:p>
    <w:p>
      <w:pPr>
        <w:spacing w:after="0" w:line="193"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18" w:val="left"/>
        </w:tabs>
        <w:numPr>
          <w:ilvl w:val="1"/>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3" w:name="page174"/>
    <w:bookmarkEnd w:id="173"/>
    <w:p>
      <w:pPr>
        <w:ind w:right="20" w:firstLine="757"/>
        <w:spacing w:after="0" w:line="269" w:lineRule="auto"/>
        <w:tabs>
          <w:tab w:leader="none" w:pos="1018" w:val="left"/>
        </w:tabs>
        <w:numPr>
          <w:ilvl w:val="1"/>
          <w:numId w:val="1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any provision of the Plan does not comply with Applicable Law, such provision shall be construed in such a manner as to comply with Applicable Law.</w:t>
      </w:r>
    </w:p>
    <w:p>
      <w:pPr>
        <w:spacing w:after="0" w:line="15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used in the Plan, the following definitions will apply to the capitalized terms indicated below:</w:t>
      </w:r>
    </w:p>
    <w:p>
      <w:pPr>
        <w:spacing w:after="0" w:line="212" w:lineRule="exact"/>
        <w:rPr>
          <w:sz w:val="20"/>
          <w:szCs w:val="20"/>
          <w:color w:val="auto"/>
        </w:rPr>
      </w:pPr>
    </w:p>
    <w:p>
      <w:pPr>
        <w:ind w:firstLine="757"/>
        <w:spacing w:after="0" w:line="273" w:lineRule="auto"/>
        <w:tabs>
          <w:tab w:leader="none" w:pos="1018"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423 Component</w:t>
      </w:r>
      <w:r>
        <w:rPr>
          <w:rFonts w:ascii="Times New Roman" w:cs="Times New Roman" w:eastAsia="Times New Roman" w:hAnsi="Times New Roman"/>
          <w:sz w:val="20"/>
          <w:szCs w:val="20"/>
          <w:color w:val="auto"/>
        </w:rPr>
        <w:t>” means the part of the Plan, which excludes the Non-423 Component, pursuant to which Purchase Rights that satisfy the requirements for an Employee Stock Purchase Plan may be granted to Eligible Employees.</w:t>
      </w:r>
    </w:p>
    <w:p>
      <w:pPr>
        <w:spacing w:after="0" w:line="151"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entity, other than a Related Corporation, whether now or subsequently established, which is at the time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determination, a “parent” or “subsidiary” of the Company as such terms are defined in Rule 405 promulgated under the Securities Act. The Board may determine the time or times at which “parent” or “subsidiary” status is determined within the foregoing definition.</w:t>
      </w:r>
    </w:p>
    <w:p>
      <w:pPr>
        <w:spacing w:after="0" w:line="168" w:lineRule="exact"/>
        <w:rPr>
          <w:rFonts w:ascii="Times New Roman" w:cs="Times New Roman" w:eastAsia="Times New Roman" w:hAnsi="Times New Roman"/>
          <w:sz w:val="20"/>
          <w:szCs w:val="20"/>
          <w:b w:val="1"/>
          <w:bCs w:val="1"/>
          <w:color w:val="auto"/>
        </w:rPr>
      </w:pPr>
    </w:p>
    <w:p>
      <w:pPr>
        <w:jc w:val="both"/>
        <w:ind w:firstLine="757"/>
        <w:spacing w:after="0" w:line="268" w:lineRule="auto"/>
        <w:tabs>
          <w:tab w:leader="none" w:pos="1018" w:val="left"/>
        </w:tabs>
        <w:numPr>
          <w:ilvl w:val="0"/>
          <w:numId w:val="1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Applicable Law</w:t>
      </w:r>
      <w:r>
        <w:rPr>
          <w:rFonts w:ascii="Times New Roman" w:cs="Times New Roman" w:eastAsia="Times New Roman" w:hAnsi="Times New Roman"/>
          <w:sz w:val="19"/>
          <w:szCs w:val="19"/>
          <w:color w:val="auto"/>
        </w:rPr>
        <w:t>” means shall mean the Code and any applicable U.S. and non-U.S. securities,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NASDAQ Stock Market or the Financial Industry Regulatory Authority).</w:t>
      </w:r>
    </w:p>
    <w:p>
      <w:pPr>
        <w:spacing w:after="0" w:line="158" w:lineRule="exact"/>
        <w:rPr>
          <w:rFonts w:ascii="Times New Roman" w:cs="Times New Roman" w:eastAsia="Times New Roman" w:hAnsi="Times New Roman"/>
          <w:sz w:val="19"/>
          <w:szCs w:val="19"/>
          <w:b w:val="1"/>
          <w:bCs w:val="1"/>
          <w:color w:val="auto"/>
        </w:rPr>
      </w:pPr>
    </w:p>
    <w:p>
      <w:pPr>
        <w:ind w:left="1020" w:hanging="263"/>
        <w:spacing w:after="0"/>
        <w:tabs>
          <w:tab w:leader="none" w:pos="1020"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Stock</w:t>
      </w:r>
      <w:r>
        <w:rPr>
          <w:rFonts w:ascii="Times New Roman" w:cs="Times New Roman" w:eastAsia="Times New Roman" w:hAnsi="Times New Roman"/>
          <w:sz w:val="20"/>
          <w:szCs w:val="20"/>
          <w:color w:val="auto"/>
        </w:rPr>
        <w:t>” means the common stock of the Company.</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018"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Capitalization Adjustment</w:t>
      </w:r>
      <w:r>
        <w:rPr>
          <w:rFonts w:ascii="Times New Roman" w:cs="Times New Roman" w:eastAsia="Times New Roman" w:hAnsi="Times New Roman"/>
          <w:sz w:val="20"/>
          <w:szCs w:val="20"/>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7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including any applicable regulations and guidance</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thereunder</w:t>
      </w:r>
      <w:r>
        <w:rPr>
          <w:rFonts w:ascii="Times New Roman" w:cs="Times New Roman" w:eastAsia="Times New Roman" w:hAnsi="Times New Roman"/>
          <w:sz w:val="20"/>
          <w:szCs w:val="20"/>
          <w:i w:val="1"/>
          <w:iCs w:val="1"/>
          <w:color w:val="auto"/>
        </w:rPr>
        <w:t>.</w:t>
      </w:r>
    </w:p>
    <w:p>
      <w:pPr>
        <w:spacing w:after="0" w:line="189"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a committee of one or more members of the Board to whom authority has been delegated by the Board in accordance with Section 2(c). For purposes of this Plan, Committee shall initially mean the Compensation Committee of the Board unless and until the Board delegates authority to an alternative committee of the Board in accordance with Section 2(c).</w:t>
      </w:r>
    </w:p>
    <w:p>
      <w:pPr>
        <w:spacing w:after="0" w:line="168"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w:t>
      </w:r>
    </w:p>
    <w:p>
      <w:pPr>
        <w:spacing w:after="0" w:line="215" w:lineRule="exact"/>
        <w:rPr>
          <w:rFonts w:ascii="Times New Roman" w:cs="Times New Roman" w:eastAsia="Times New Roman" w:hAnsi="Times New Roman"/>
          <w:sz w:val="20"/>
          <w:szCs w:val="20"/>
          <w:b w:val="1"/>
          <w:bCs w:val="1"/>
          <w:color w:val="auto"/>
        </w:rPr>
      </w:pPr>
    </w:p>
    <w:p>
      <w:pPr>
        <w:ind w:left="1080" w:hanging="323"/>
        <w:spacing w:after="0"/>
        <w:tabs>
          <w:tab w:leader="none" w:pos="1080"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AN2 Therapeutics, Inc., a Delaware corporation.</w:t>
      </w:r>
    </w:p>
    <w:p>
      <w:pPr>
        <w:spacing w:after="0" w:line="215" w:lineRule="exact"/>
        <w:rPr>
          <w:rFonts w:ascii="Times New Roman" w:cs="Times New Roman" w:eastAsia="Times New Roman" w:hAnsi="Times New Roman"/>
          <w:sz w:val="20"/>
          <w:szCs w:val="20"/>
          <w:b w:val="1"/>
          <w:bCs w:val="1"/>
          <w:color w:val="auto"/>
        </w:rPr>
      </w:pPr>
    </w:p>
    <w:p>
      <w:pPr>
        <w:ind w:firstLine="757"/>
        <w:spacing w:after="0" w:line="273" w:lineRule="auto"/>
        <w:tabs>
          <w:tab w:leader="none" w:pos="1018"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means any person, including an advisor, who is (i) engaged by a Related Corporation or an Affiliate to render consulting or advisory services or to otherwise act as a service provider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4" w:name="page175"/>
    <w:bookmarkEnd w:id="174"/>
    <w:p>
      <w:pPr>
        <w:jc w:val="both"/>
        <w:spacing w:after="0" w:line="246" w:lineRule="auto"/>
        <w:rPr>
          <w:sz w:val="20"/>
          <w:szCs w:val="20"/>
          <w:color w:val="auto"/>
        </w:rPr>
      </w:pPr>
      <w:r>
        <w:rPr>
          <w:rFonts w:ascii="Times New Roman" w:cs="Times New Roman" w:eastAsia="Times New Roman" w:hAnsi="Times New Roman"/>
          <w:sz w:val="20"/>
          <w:szCs w:val="20"/>
          <w:color w:val="auto"/>
        </w:rPr>
        <w:t>and is compensated for such services, or (ii) serving as a member of the board of directors of a Related Corporation or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81" w:lineRule="exact"/>
        <w:rPr>
          <w:sz w:val="20"/>
          <w:szCs w:val="20"/>
          <w:color w:val="auto"/>
        </w:rPr>
      </w:pPr>
    </w:p>
    <w:p>
      <w:pPr>
        <w:jc w:val="both"/>
        <w:ind w:firstLine="757"/>
        <w:spacing w:after="0" w:line="247" w:lineRule="auto"/>
        <w:tabs>
          <w:tab w:leader="none" w:pos="1018"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“Contributions</w:t>
      </w:r>
      <w:r>
        <w:rPr>
          <w:rFonts w:ascii="Times New Roman" w:cs="Times New Roman" w:eastAsia="Times New Roman" w:hAnsi="Times New Roman"/>
          <w:sz w:val="20"/>
          <w:szCs w:val="20"/>
          <w:color w:val="auto"/>
        </w:rPr>
        <w:t>” means the payroll deductions, contributions made by Participants in case payroll deductions are not permissible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problematic under Applicable Law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or other contributions.</w:t>
      </w:r>
    </w:p>
    <w:p>
      <w:pPr>
        <w:spacing w:after="0" w:line="180"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Corporate Transaction</w:t>
      </w:r>
      <w:r>
        <w:rPr>
          <w:rFonts w:ascii="Times New Roman" w:cs="Times New Roman" w:eastAsia="Times New Roman" w:hAnsi="Times New Roman"/>
          <w:sz w:val="20"/>
          <w:szCs w:val="20"/>
          <w:color w:val="auto"/>
        </w:rPr>
        <w:t>” means the consummation, in a single transaction or in a series of related transactions, of any one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more of the following events:</w:t>
      </w:r>
    </w:p>
    <w:p>
      <w:pPr>
        <w:spacing w:after="0" w:line="156" w:lineRule="exact"/>
        <w:rPr>
          <w:sz w:val="20"/>
          <w:szCs w:val="20"/>
          <w:color w:val="auto"/>
        </w:rPr>
      </w:pPr>
    </w:p>
    <w:p>
      <w:pPr>
        <w:ind w:firstLine="1505"/>
        <w:spacing w:after="0" w:line="269" w:lineRule="auto"/>
        <w:tabs>
          <w:tab w:leader="none" w:pos="2036" w:val="left"/>
        </w:tabs>
        <w:numPr>
          <w:ilvl w:val="1"/>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sale or other disposition of all or substantially all, as determined by the Board in its sole discretion, of the consolidated assets of the Company and its subsidiaries;</w:t>
      </w:r>
    </w:p>
    <w:p>
      <w:pPr>
        <w:spacing w:after="0" w:line="159"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1"/>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sale or other disposition of more than 50% of the outstanding securities of the Company;</w:t>
      </w:r>
    </w:p>
    <w:p>
      <w:pPr>
        <w:spacing w:after="0" w:line="215"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1"/>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merger, consolidation or similar transaction following which the Company is not the surviving corporation; or</w:t>
      </w:r>
    </w:p>
    <w:p>
      <w:pPr>
        <w:spacing w:after="0" w:line="215" w:lineRule="exact"/>
        <w:rPr>
          <w:rFonts w:ascii="Times New Roman" w:cs="Times New Roman" w:eastAsia="Times New Roman" w:hAnsi="Times New Roman"/>
          <w:sz w:val="20"/>
          <w:szCs w:val="20"/>
          <w:b w:val="1"/>
          <w:bCs w:val="1"/>
          <w:color w:val="auto"/>
        </w:rPr>
      </w:pPr>
    </w:p>
    <w:p>
      <w:pPr>
        <w:jc w:val="both"/>
        <w:ind w:firstLine="1505"/>
        <w:spacing w:after="0" w:line="254" w:lineRule="auto"/>
        <w:tabs>
          <w:tab w:leader="none" w:pos="2036" w:val="left"/>
        </w:tabs>
        <w:numPr>
          <w:ilvl w:val="1"/>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merger, consolidation or similar transaction following which the Company is the surviving corporation but the shares of Capital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0"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Designated 423 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Related Corporation selected by the Board to participate in the 423 Component.</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Designated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Designated Non-423 Corporation or Designated 423 Corporation, provided, however, that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given time a Related Corporation participating in the 423 Component shall not be a Related Corporation participating in the Non-423 Component.</w:t>
      </w:r>
    </w:p>
    <w:p>
      <w:pPr>
        <w:spacing w:after="0" w:line="168" w:lineRule="exact"/>
        <w:rPr>
          <w:rFonts w:ascii="Times New Roman" w:cs="Times New Roman" w:eastAsia="Times New Roman" w:hAnsi="Times New Roman"/>
          <w:sz w:val="20"/>
          <w:szCs w:val="20"/>
          <w:b w:val="1"/>
          <w:bCs w:val="1"/>
          <w:color w:val="auto"/>
        </w:rPr>
      </w:pPr>
    </w:p>
    <w:p>
      <w:pPr>
        <w:ind w:firstLine="757"/>
        <w:spacing w:after="0" w:line="273" w:lineRule="auto"/>
        <w:tabs>
          <w:tab w:leader="none" w:pos="1018"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Designated Non-423 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Related Corporation or Affiliate selected by the Board to participate in the Non-423 Component.</w:t>
      </w:r>
    </w:p>
    <w:p>
      <w:pPr>
        <w:spacing w:after="0" w:line="151"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means a member of the Board.</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Employee</w:t>
      </w:r>
      <w:r>
        <w:rPr>
          <w:rFonts w:ascii="Times New Roman" w:cs="Times New Roman" w:eastAsia="Times New Roman" w:hAnsi="Times New Roman"/>
          <w:sz w:val="20"/>
          <w:szCs w:val="20"/>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68"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5" w:name="page176"/>
    <w:bookmarkEnd w:id="175"/>
    <w:p>
      <w:pPr>
        <w:ind w:firstLine="757"/>
        <w:spacing w:after="0" w:line="273" w:lineRule="auto"/>
        <w:tabs>
          <w:tab w:leader="none" w:pos="1018"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 Stock Purchase Plan</w:t>
      </w:r>
      <w:r>
        <w:rPr>
          <w:rFonts w:ascii="Times New Roman" w:cs="Times New Roman" w:eastAsia="Times New Roman" w:hAnsi="Times New Roman"/>
          <w:sz w:val="20"/>
          <w:szCs w:val="20"/>
          <w:color w:val="auto"/>
        </w:rPr>
        <w:t>” means a plan that grants Purchase Rights intended to be options issued under an “employee stock purchase plan,” as that term is defined in Section 423(b) of the Code.</w:t>
      </w:r>
    </w:p>
    <w:p>
      <w:pPr>
        <w:spacing w:after="0" w:line="151"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 and the rules and regulations promulgated</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thereunder.</w:t>
      </w:r>
    </w:p>
    <w:p>
      <w:pPr>
        <w:spacing w:after="0" w:line="18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date, the value of the Common Stock determined as follows:</w:t>
      </w:r>
    </w:p>
    <w:p>
      <w:pPr>
        <w:spacing w:after="0" w:line="219" w:lineRule="exact"/>
        <w:rPr>
          <w:rFonts w:ascii="Times New Roman" w:cs="Times New Roman" w:eastAsia="Times New Roman" w:hAnsi="Times New Roman"/>
          <w:sz w:val="20"/>
          <w:szCs w:val="20"/>
          <w:b w:val="1"/>
          <w:bCs w:val="1"/>
          <w:color w:val="auto"/>
        </w:rPr>
      </w:pPr>
    </w:p>
    <w:p>
      <w:pPr>
        <w:jc w:val="both"/>
        <w:ind w:firstLine="1505"/>
        <w:spacing w:after="0" w:line="249" w:lineRule="auto"/>
        <w:tabs>
          <w:tab w:leader="none" w:pos="2036" w:val="left"/>
        </w:tabs>
        <w:numPr>
          <w:ilvl w:val="1"/>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Common Stock is listed on any established stock exchange or traded on any established market, the Fair Market Value of a share of Common Stock will be the immediately preceding five-day volume-weighted average price for such stock as quoted on such exchange or market (or the exchange or market with the greatest volume of trading in the Common Stock) on the date of determination, as reported in such source as the Board deems reliable.</w:t>
      </w:r>
    </w:p>
    <w:p>
      <w:pPr>
        <w:spacing w:after="0" w:line="179" w:lineRule="exact"/>
        <w:rPr>
          <w:rFonts w:ascii="Times New Roman" w:cs="Times New Roman" w:eastAsia="Times New Roman" w:hAnsi="Times New Roman"/>
          <w:sz w:val="20"/>
          <w:szCs w:val="20"/>
          <w:b w:val="1"/>
          <w:bCs w:val="1"/>
          <w:color w:val="auto"/>
        </w:rPr>
      </w:pPr>
    </w:p>
    <w:p>
      <w:pPr>
        <w:jc w:val="both"/>
        <w:ind w:firstLine="1505"/>
        <w:spacing w:after="0" w:line="254" w:lineRule="auto"/>
        <w:tabs>
          <w:tab w:leader="none" w:pos="2036" w:val="left"/>
        </w:tabs>
        <w:numPr>
          <w:ilvl w:val="1"/>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w:t>
      </w:r>
    </w:p>
    <w:p>
      <w:pPr>
        <w:spacing w:after="0" w:line="174" w:lineRule="exact"/>
        <w:rPr>
          <w:rFonts w:ascii="Times New Roman" w:cs="Times New Roman" w:eastAsia="Times New Roman" w:hAnsi="Times New Roman"/>
          <w:sz w:val="20"/>
          <w:szCs w:val="20"/>
          <w:b w:val="1"/>
          <w:bCs w:val="1"/>
          <w:color w:val="auto"/>
        </w:rPr>
      </w:pPr>
    </w:p>
    <w:p>
      <w:pPr>
        <w:jc w:val="both"/>
        <w:ind w:firstLine="1505"/>
        <w:spacing w:after="0" w:line="254" w:lineRule="auto"/>
        <w:tabs>
          <w:tab w:leader="none" w:pos="2036" w:val="left"/>
        </w:tabs>
        <w:numPr>
          <w:ilvl w:val="1"/>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17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Body</w:t>
      </w:r>
      <w:r>
        <w:rPr>
          <w:rFonts w:ascii="Times New Roman" w:cs="Times New Roman" w:eastAsia="Times New Roman" w:hAnsi="Times New Roman"/>
          <w:sz w:val="20"/>
          <w:szCs w:val="20"/>
          <w:color w:val="auto"/>
        </w:rPr>
        <w:t>” means any: (a) nation, state, commonwealth, province, territory, county, municipality, district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jurisdiction of any nature; (b) U.S. or non-U.S. federal, state, local, municipal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and the Financial Industry Regulatory Authority).</w:t>
      </w:r>
    </w:p>
    <w:p>
      <w:pPr>
        <w:spacing w:after="0" w:line="179" w:lineRule="exact"/>
        <w:rPr>
          <w:sz w:val="20"/>
          <w:szCs w:val="20"/>
          <w:color w:val="auto"/>
        </w:rPr>
      </w:pPr>
    </w:p>
    <w:p>
      <w:pPr>
        <w:ind w:firstLine="757"/>
        <w:spacing w:after="0" w:line="273" w:lineRule="auto"/>
        <w:tabs>
          <w:tab w:leader="none" w:pos="1018"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IPO Date</w:t>
      </w:r>
      <w:r>
        <w:rPr>
          <w:rFonts w:ascii="Times New Roman" w:cs="Times New Roman" w:eastAsia="Times New Roman" w:hAnsi="Times New Roman"/>
          <w:sz w:val="20"/>
          <w:szCs w:val="20"/>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51" w:lineRule="exact"/>
        <w:rPr>
          <w:rFonts w:ascii="Times New Roman" w:cs="Times New Roman" w:eastAsia="Times New Roman" w:hAnsi="Times New Roman"/>
          <w:sz w:val="20"/>
          <w:szCs w:val="20"/>
          <w:b w:val="1"/>
          <w:bCs w:val="1"/>
          <w:color w:val="auto"/>
        </w:rPr>
      </w:pPr>
    </w:p>
    <w:p>
      <w:pPr>
        <w:ind w:right="20" w:firstLine="757"/>
        <w:spacing w:after="0" w:line="273" w:lineRule="auto"/>
        <w:tabs>
          <w:tab w:leader="none" w:pos="1018"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Non-423 Component</w:t>
      </w:r>
      <w:r>
        <w:rPr>
          <w:rFonts w:ascii="Times New Roman" w:cs="Times New Roman" w:eastAsia="Times New Roman" w:hAnsi="Times New Roman"/>
          <w:sz w:val="20"/>
          <w:szCs w:val="20"/>
          <w:color w:val="auto"/>
        </w:rPr>
        <w:t>” means the part of the Plan, which excludes the 423 Component, pursuant to which Purchase Rights that are not intended to satisfy the requirements for an Employee Stock Purchase Plan may be granted to Eligible Employees.</w:t>
      </w:r>
    </w:p>
    <w:p>
      <w:pPr>
        <w:spacing w:after="0" w:line="151" w:lineRule="exact"/>
        <w:rPr>
          <w:rFonts w:ascii="Times New Roman" w:cs="Times New Roman" w:eastAsia="Times New Roman" w:hAnsi="Times New Roman"/>
          <w:sz w:val="20"/>
          <w:szCs w:val="20"/>
          <w:b w:val="1"/>
          <w:bCs w:val="1"/>
          <w:color w:val="auto"/>
        </w:rPr>
      </w:pPr>
    </w:p>
    <w:p>
      <w:pPr>
        <w:jc w:val="both"/>
        <w:ind w:firstLine="757"/>
        <w:spacing w:after="0" w:line="256" w:lineRule="auto"/>
        <w:tabs>
          <w:tab w:leader="none" w:pos="1018"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Offering</w:t>
      </w:r>
      <w:r>
        <w:rPr>
          <w:rFonts w:ascii="Times New Roman" w:cs="Times New Roman" w:eastAsia="Times New Roman" w:hAnsi="Times New Roman"/>
          <w:sz w:val="20"/>
          <w:szCs w:val="20"/>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20"/>
          <w:szCs w:val="20"/>
          <w:b w:val="1"/>
          <w:bCs w:val="1"/>
          <w:i w:val="1"/>
          <w:iCs w:val="1"/>
          <w:color w:val="auto"/>
        </w:rPr>
        <w:t>Offering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Document</w:t>
      </w:r>
      <w:r>
        <w:rPr>
          <w:rFonts w:ascii="Times New Roman" w:cs="Times New Roman" w:eastAsia="Times New Roman" w:hAnsi="Times New Roman"/>
          <w:sz w:val="20"/>
          <w:szCs w:val="20"/>
          <w:color w:val="auto"/>
        </w:rPr>
        <w:t>” approved by the Board for that Offering.</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(aa)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Offering Date</w:t>
      </w:r>
      <w:r>
        <w:rPr>
          <w:rFonts w:ascii="Times New Roman" w:cs="Times New Roman" w:eastAsia="Times New Roman" w:hAnsi="Times New Roman"/>
          <w:sz w:val="20"/>
          <w:szCs w:val="20"/>
          <w:color w:val="auto"/>
        </w:rPr>
        <w:t>” means a date selected by the Board for an Offering to commence.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6" w:name="page177"/>
    <w:bookmarkEnd w:id="176"/>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(bb)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0"/>
          <w:szCs w:val="20"/>
          <w:color w:val="auto"/>
        </w:rPr>
        <w:t>” means a person who is an officer of the Company or a Related Corporation within the meaning of Section 16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Act.</w:t>
      </w:r>
    </w:p>
    <w:p>
      <w:pPr>
        <w:spacing w:after="0" w:line="152" w:lineRule="exact"/>
        <w:rPr>
          <w:sz w:val="20"/>
          <w:szCs w:val="20"/>
          <w:color w:val="auto"/>
        </w:rPr>
      </w:pPr>
    </w:p>
    <w:p>
      <w:pPr>
        <w:ind w:left="1120" w:hanging="363"/>
        <w:spacing w:after="0"/>
        <w:tabs>
          <w:tab w:leader="none" w:pos="1120"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an Eligible Employee who holds an outstanding Purchase Right.</w:t>
      </w:r>
    </w:p>
    <w:p>
      <w:pPr>
        <w:spacing w:after="0" w:line="216"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(dd)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AN2 Therapeutics, Inc. 2022 Employee Stock Purchase Plan, as amended from time to time, including both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423 Component and the Non-423 Component.</w:t>
      </w:r>
    </w:p>
    <w:p>
      <w:pPr>
        <w:spacing w:after="0" w:line="15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(ee)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 Date</w:t>
      </w:r>
      <w:r>
        <w:rPr>
          <w:rFonts w:ascii="Times New Roman" w:cs="Times New Roman" w:eastAsia="Times New Roman" w:hAnsi="Times New Roman"/>
          <w:sz w:val="20"/>
          <w:szCs w:val="20"/>
          <w:color w:val="auto"/>
        </w:rPr>
        <w:t>” means one or more dates during an Offering selected by the Board on which Purchase Rights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exercised and on which purchases of shares of Common Stock will be carried out in accordance with such Offering.</w:t>
      </w:r>
    </w:p>
    <w:p>
      <w:pPr>
        <w:spacing w:after="0" w:line="152"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(ff)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 Period</w:t>
      </w:r>
      <w:r>
        <w:rPr>
          <w:rFonts w:ascii="Times New Roman" w:cs="Times New Roman" w:eastAsia="Times New Roman" w:hAnsi="Times New Roman"/>
          <w:sz w:val="20"/>
          <w:szCs w:val="20"/>
          <w:color w:val="auto"/>
        </w:rPr>
        <w:t>” means a period of time specified within an Offering, generally beginning on the Offering Date or on the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Trading Day following a Purchase Date, and ending on a Purchase Date. An Offering may consist of one or more Purchase Periods.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(gg)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Purchase Right</w:t>
      </w:r>
      <w:r>
        <w:rPr>
          <w:rFonts w:ascii="Times New Roman" w:cs="Times New Roman" w:eastAsia="Times New Roman" w:hAnsi="Times New Roman"/>
          <w:sz w:val="20"/>
          <w:szCs w:val="20"/>
          <w:color w:val="auto"/>
        </w:rPr>
        <w:t>” means an option to purchase shares of Common Stock granted pursuant to the Plan.</w:t>
      </w:r>
    </w:p>
    <w:p>
      <w:pPr>
        <w:spacing w:after="0" w:line="216"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(hh)</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Related Corporation</w:t>
      </w:r>
      <w:r>
        <w:rPr>
          <w:rFonts w:ascii="Times New Roman" w:cs="Times New Roman" w:eastAsia="Times New Roman" w:hAnsi="Times New Roman"/>
          <w:sz w:val="20"/>
          <w:szCs w:val="20"/>
          <w:color w:val="auto"/>
        </w:rPr>
        <w:t>” means any “parent corporation” or “subsidiary corporation” of the Company whether now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subsequently established, as those terms are defined in Sections 424(e) and (f), respectively, of the Code.</w:t>
      </w:r>
    </w:p>
    <w:p>
      <w:pPr>
        <w:spacing w:after="0" w:line="152" w:lineRule="exact"/>
        <w:rPr>
          <w:sz w:val="20"/>
          <w:szCs w:val="20"/>
          <w:color w:val="auto"/>
        </w:rPr>
      </w:pPr>
    </w:p>
    <w:p>
      <w:pPr>
        <w:ind w:left="1020" w:hanging="263"/>
        <w:spacing w:after="0"/>
        <w:tabs>
          <w:tab w:leader="none" w:pos="102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U.S. Securities Act of 1933, as amended.</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(jj)</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Tax-Related Items</w:t>
      </w:r>
      <w:r>
        <w:rPr>
          <w:rFonts w:ascii="Times New Roman" w:cs="Times New Roman" w:eastAsia="Times New Roman" w:hAnsi="Times New Roman"/>
          <w:sz w:val="20"/>
          <w:szCs w:val="20"/>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(kk)</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Trading Day</w:t>
      </w:r>
      <w:r>
        <w:rPr>
          <w:rFonts w:ascii="Times New Roman" w:cs="Times New Roman" w:eastAsia="Times New Roman" w:hAnsi="Times New Roman"/>
          <w:sz w:val="20"/>
          <w:szCs w:val="20"/>
          <w:color w:val="auto"/>
        </w:rPr>
        <w:t>” means any day on which the exchange(s) or market(s) on which shares of Common Stock are listed,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not limited to the NYSE, Nasdaq Global Select Market, the Nasdaq Global Market, the Nasdaq Capital Market or any successors thereto, is open for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28"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 xml:space="preserve">We hereby consent to the incorporation by reference in the Registration Statements on Form S-8 (No. </w:t>
      </w:r>
      <w:r>
        <w:rPr>
          <w:rFonts w:ascii="Arial" w:cs="Arial" w:eastAsia="Arial" w:hAnsi="Arial"/>
          <w:sz w:val="18"/>
          <w:szCs w:val="18"/>
          <w:color w:val="242424"/>
        </w:rPr>
        <w:t>333-263917</w:t>
      </w:r>
      <w:r>
        <w:rPr>
          <w:rFonts w:ascii="Arial" w:cs="Arial" w:eastAsia="Arial" w:hAnsi="Arial"/>
          <w:sz w:val="18"/>
          <w:szCs w:val="18"/>
          <w:color w:val="auto"/>
        </w:rPr>
        <w:t>) of AN2 Therapeutics, Inc. of our report dated March 29, 2024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29, 2024</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Eric Easom, certify that:</w:t>
      </w:r>
    </w:p>
    <w:p>
      <w:pPr>
        <w:spacing w:after="0" w:line="212" w:lineRule="exact"/>
        <w:rPr>
          <w:sz w:val="20"/>
          <w:szCs w:val="20"/>
          <w:color w:val="auto"/>
        </w:rPr>
      </w:pPr>
    </w:p>
    <w:p>
      <w:pPr>
        <w:ind w:left="520" w:hanging="512"/>
        <w:spacing w:after="0"/>
        <w:tabs>
          <w:tab w:leader="none" w:pos="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AN2 Therapeutics, Inc.;</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71" w:lineRule="auto"/>
        <w:tabs>
          <w:tab w:leader="none" w:pos="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53"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020" w:right="220" w:hanging="503"/>
        <w:spacing w:after="0" w:line="253" w:lineRule="auto"/>
        <w:tabs>
          <w:tab w:leader="none" w:pos="10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80" w:hanging="512"/>
        <w:spacing w:after="0" w:line="253" w:lineRule="auto"/>
        <w:tabs>
          <w:tab w:leader="none" w:pos="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20"/>
        <w:spacing w:after="0"/>
        <w:tabs>
          <w:tab w:leader="none" w:pos="5680" w:val="left"/>
          <w:tab w:leader="none" w:pos="8040" w:val="left"/>
        </w:tabs>
        <w:rPr>
          <w:sz w:val="20"/>
          <w:szCs w:val="20"/>
          <w:color w:val="auto"/>
        </w:rPr>
      </w:pPr>
      <w:r>
        <w:rPr>
          <w:rFonts w:ascii="Arial" w:cs="Arial" w:eastAsia="Arial" w:hAnsi="Arial"/>
          <w:sz w:val="18"/>
          <w:szCs w:val="18"/>
          <w:color w:val="auto"/>
        </w:rPr>
        <w:t>Date: March 29,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Eric Easom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17780</wp:posOffset>
            </wp:positionV>
            <wp:extent cx="330898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Eric Easom</w:t>
      </w:r>
    </w:p>
    <w:p>
      <w:pPr>
        <w:spacing w:after="0" w:line="5"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Chief Executive Officer and Director</w:t>
      </w:r>
    </w:p>
    <w:p>
      <w:pPr>
        <w:ind w:left="74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Lucy O. Day, certify that:</w:t>
      </w:r>
    </w:p>
    <w:p>
      <w:pPr>
        <w:spacing w:after="0" w:line="212" w:lineRule="exact"/>
        <w:rPr>
          <w:sz w:val="20"/>
          <w:szCs w:val="20"/>
          <w:color w:val="auto"/>
        </w:rPr>
      </w:pPr>
    </w:p>
    <w:p>
      <w:pPr>
        <w:ind w:left="520" w:hanging="512"/>
        <w:spacing w:after="0"/>
        <w:tabs>
          <w:tab w:leader="none" w:pos="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AN2 Therapeutics, Inc.;</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71" w:lineRule="auto"/>
        <w:tabs>
          <w:tab w:leader="none" w:pos="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53"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jc w:val="both"/>
        <w:ind w:left="1020" w:right="220" w:hanging="503"/>
        <w:spacing w:after="0" w:line="253" w:lineRule="auto"/>
        <w:tabs>
          <w:tab w:leader="none" w:pos="10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80" w:hanging="512"/>
        <w:spacing w:after="0" w:line="253" w:lineRule="auto"/>
        <w:tabs>
          <w:tab w:leader="none" w:pos="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20"/>
        <w:spacing w:after="0"/>
        <w:tabs>
          <w:tab w:leader="none" w:pos="5580" w:val="left"/>
          <w:tab w:leader="none" w:pos="8000" w:val="left"/>
        </w:tabs>
        <w:rPr>
          <w:sz w:val="20"/>
          <w:szCs w:val="20"/>
          <w:color w:val="auto"/>
        </w:rPr>
      </w:pPr>
      <w:r>
        <w:rPr>
          <w:rFonts w:ascii="Arial" w:cs="Arial" w:eastAsia="Arial" w:hAnsi="Arial"/>
          <w:sz w:val="18"/>
          <w:szCs w:val="18"/>
          <w:color w:val="auto"/>
        </w:rPr>
        <w:t>Date: March 29,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Lucy O.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17780</wp:posOffset>
            </wp:positionV>
            <wp:extent cx="330898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Lucy O. Day</w:t>
      </w:r>
    </w:p>
    <w:p>
      <w:pPr>
        <w:spacing w:after="0" w:line="5"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Financial Officer</w:t>
      </w:r>
    </w:p>
    <w:p>
      <w:pPr>
        <w:ind w:left="74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connection with the Annual Report of AN2 Therapeutics, Inc. (the “Company”) on Form 10-K for the period ending December 31, 2023 as filed with the Securities and Exchange Commission on the date hereof (the “Report”), I certify, pursuant to the requirement set forth in Rule 13a-14(b) of the Securities Exchange Act of 1934, as amended, (the “Exchange Act”) and Section 1350 of Chapter 63 of Title 18 of the United States Code (18 U.S.C. §1350), that:</w:t>
      </w:r>
    </w:p>
    <w:p>
      <w:pPr>
        <w:spacing w:after="0" w:line="174" w:lineRule="exact"/>
        <w:rPr>
          <w:sz w:val="20"/>
          <w:szCs w:val="20"/>
          <w:color w:val="auto"/>
        </w:rPr>
      </w:pPr>
    </w:p>
    <w:p>
      <w:pPr>
        <w:ind w:left="1020" w:hanging="503"/>
        <w:spacing w:after="0"/>
        <w:tabs>
          <w:tab w:leader="none" w:pos="10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11" w:lineRule="exact"/>
        <w:rPr>
          <w:rFonts w:ascii="Arial" w:cs="Arial" w:eastAsia="Arial" w:hAnsi="Arial"/>
          <w:sz w:val="18"/>
          <w:szCs w:val="18"/>
          <w:color w:val="auto"/>
        </w:rPr>
      </w:pPr>
    </w:p>
    <w:p>
      <w:pPr>
        <w:ind w:left="1020" w:right="140" w:hanging="503"/>
        <w:spacing w:after="0" w:line="271" w:lineRule="auto"/>
        <w:tabs>
          <w:tab w:leader="none" w:pos="10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80" w:val="left"/>
          <w:tab w:leader="none" w:pos="8040" w:val="left"/>
        </w:tabs>
        <w:rPr>
          <w:sz w:val="20"/>
          <w:szCs w:val="20"/>
          <w:color w:val="auto"/>
        </w:rPr>
      </w:pPr>
      <w:r>
        <w:rPr>
          <w:rFonts w:ascii="Arial" w:cs="Arial" w:eastAsia="Arial" w:hAnsi="Arial"/>
          <w:sz w:val="18"/>
          <w:szCs w:val="18"/>
          <w:color w:val="auto"/>
        </w:rPr>
        <w:t>Date: March 29,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Eric Easom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17780</wp:posOffset>
            </wp:positionV>
            <wp:extent cx="330898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Eric Easom</w:t>
      </w:r>
    </w:p>
    <w:p>
      <w:pPr>
        <w:spacing w:after="0" w:line="5"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Chief Executive Officer and Director</w:t>
      </w:r>
    </w:p>
    <w:p>
      <w:pPr>
        <w:ind w:left="74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connection with the Annual Report of AN2 Therapeutics, Inc. (the “Company”) on Form 10-K for the period ending December 31, 2023 as filed with the Securities and Exchange Commission on the date hereof (the “Report”), I certify, pursuant to the requirement set forth in Rule 13a-14(b) of the Securities Exchange Act of 1934, as amended, (the “Exchange Act”) and Section 1350 of Chapter 63 of Title 18 of the United States Code (18 U.S.C. §1350), that:</w:t>
      </w:r>
    </w:p>
    <w:p>
      <w:pPr>
        <w:spacing w:after="0" w:line="174" w:lineRule="exact"/>
        <w:rPr>
          <w:sz w:val="20"/>
          <w:szCs w:val="20"/>
          <w:color w:val="auto"/>
        </w:rPr>
      </w:pPr>
    </w:p>
    <w:p>
      <w:pPr>
        <w:ind w:left="1020" w:hanging="503"/>
        <w:spacing w:after="0"/>
        <w:tabs>
          <w:tab w:leader="none" w:pos="10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11" w:lineRule="exact"/>
        <w:rPr>
          <w:rFonts w:ascii="Arial" w:cs="Arial" w:eastAsia="Arial" w:hAnsi="Arial"/>
          <w:sz w:val="18"/>
          <w:szCs w:val="18"/>
          <w:color w:val="auto"/>
        </w:rPr>
      </w:pPr>
    </w:p>
    <w:p>
      <w:pPr>
        <w:ind w:left="1020" w:right="140" w:hanging="503"/>
        <w:spacing w:after="0" w:line="271" w:lineRule="auto"/>
        <w:tabs>
          <w:tab w:leader="none" w:pos="10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80" w:val="left"/>
          <w:tab w:leader="none" w:pos="8000" w:val="left"/>
        </w:tabs>
        <w:rPr>
          <w:sz w:val="20"/>
          <w:szCs w:val="20"/>
          <w:color w:val="auto"/>
        </w:rPr>
      </w:pPr>
      <w:r>
        <w:rPr>
          <w:rFonts w:ascii="Arial" w:cs="Arial" w:eastAsia="Arial" w:hAnsi="Arial"/>
          <w:sz w:val="18"/>
          <w:szCs w:val="18"/>
          <w:color w:val="auto"/>
        </w:rPr>
        <w:t>Date: March 29,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Lucy O.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17780</wp:posOffset>
            </wp:positionV>
            <wp:extent cx="33089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Lucy O. Day</w:t>
      </w:r>
    </w:p>
    <w:p>
      <w:pPr>
        <w:spacing w:after="0" w:line="5"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Financial Officer</w:t>
      </w:r>
    </w:p>
    <w:p>
      <w:pPr>
        <w:ind w:left="74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2" w:name="page183"/>
    <w:bookmarkEnd w:id="182"/>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97.1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AN2 Therapeutics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dopted by 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ommittee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ctober</w:t>
      </w:r>
      <w:r>
        <w:rPr>
          <w:rFonts w:ascii="Times New Roman" w:cs="Times New Roman" w:eastAsia="Times New Roman" w:hAnsi="Times New Roman"/>
          <w:sz w:val="20"/>
          <w:szCs w:val="20"/>
          <w:b w:val="1"/>
          <w:bCs w:val="1"/>
          <w:color w:val="auto"/>
        </w:rPr>
        <w:t xml:space="preserve">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 w:hanging="512"/>
        <w:spacing w:after="0"/>
        <w:tabs>
          <w:tab w:leader="none" w:pos="520"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ntroduction</w:t>
      </w:r>
    </w:p>
    <w:p>
      <w:pPr>
        <w:spacing w:after="0" w:line="20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The Compensation Committee (the “</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AN2 Therapeutics has determined that it is in the best interests of the Company and its shareholders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71"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28" w:lineRule="exact"/>
        <w:rPr>
          <w:sz w:val="20"/>
          <w:szCs w:val="20"/>
          <w:color w:val="auto"/>
        </w:rPr>
      </w:pPr>
    </w:p>
    <w:p>
      <w:pPr>
        <w:ind w:left="520" w:hanging="512"/>
        <w:spacing w:after="0"/>
        <w:tabs>
          <w:tab w:leader="none" w:pos="520"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shall apply to all Incentive Compensation that is received by a Covered Officer on or after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62" w:lineRule="exact"/>
        <w:rPr>
          <w:sz w:val="20"/>
          <w:szCs w:val="20"/>
          <w:color w:val="auto"/>
        </w:rPr>
      </w:pPr>
    </w:p>
    <w:p>
      <w:pPr>
        <w:ind w:left="520" w:hanging="512"/>
        <w:spacing w:after="0"/>
        <w:tabs>
          <w:tab w:leader="none" w:pos="520" w:val="left"/>
        </w:tabs>
        <w:numPr>
          <w:ilvl w:val="0"/>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189" w:lineRule="exact"/>
        <w:rPr>
          <w:sz w:val="20"/>
          <w:szCs w:val="20"/>
          <w:color w:val="auto"/>
        </w:rPr>
      </w:pPr>
    </w:p>
    <w:p>
      <w:pPr>
        <w:jc w:val="both"/>
        <w:ind w:firstLine="843"/>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 Board.</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means the Compensation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1015365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0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6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4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3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6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63" w:lineRule="exact"/>
        <w:rPr>
          <w:sz w:val="20"/>
          <w:szCs w:val="20"/>
          <w:color w:val="auto"/>
        </w:rPr>
      </w:pPr>
    </w:p>
    <w:p>
      <w:pPr>
        <w:jc w:val="right"/>
        <w:ind w:right="5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06" w:lineRule="exact"/>
        <w:rPr>
          <w:sz w:val="20"/>
          <w:szCs w:val="20"/>
          <w:color w:val="auto"/>
        </w:rPr>
      </w:pPr>
    </w:p>
    <w:p>
      <w:pPr>
        <w:jc w:val="right"/>
        <w:ind w:right="556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4" w:name="page185"/>
    <w:bookmarkEnd w:id="184"/>
    <w:p>
      <w:pPr>
        <w:ind w:left="520" w:hanging="512"/>
        <w:spacing w:after="0"/>
        <w:tabs>
          <w:tab w:leader="none" w:pos="520"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ecoupment</w:t>
      </w:r>
    </w:p>
    <w:p>
      <w:pPr>
        <w:spacing w:after="0" w:line="202"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1"/>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 Covered Officer (i) after beginning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148"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Generally. </w:t>
      </w:r>
      <w:r>
        <w:rPr>
          <w:rFonts w:ascii="Times New Roman" w:cs="Times New Roman" w:eastAsia="Times New Roman" w:hAnsi="Times New Roman"/>
          <w:sz w:val="20"/>
          <w:szCs w:val="20"/>
          <w:color w:val="auto"/>
        </w:rPr>
        <w:t>Pursuant to the provisions of this Policy, if there is an Accounting Restatement, the Company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65"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206" w:lineRule="exact"/>
        <w:rPr>
          <w:rFonts w:ascii="Times New Roman" w:cs="Times New Roman" w:eastAsia="Times New Roman" w:hAnsi="Times New Roman"/>
          <w:sz w:val="20"/>
          <w:szCs w:val="20"/>
          <w:b w:val="1"/>
          <w:bCs w:val="1"/>
          <w:color w:val="auto"/>
        </w:rPr>
      </w:pPr>
    </w:p>
    <w:p>
      <w:pPr>
        <w:jc w:val="both"/>
        <w:ind w:left="760" w:firstLine="745"/>
        <w:spacing w:after="0" w:line="246" w:lineRule="auto"/>
        <w:tabs>
          <w:tab w:leader="none" w:pos="2048" w:val="left"/>
        </w:tabs>
        <w:numPr>
          <w:ilvl w:val="2"/>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or</w:t>
      </w:r>
    </w:p>
    <w:p>
      <w:pPr>
        <w:spacing w:after="0" w:line="202" w:lineRule="exact"/>
        <w:rPr>
          <w:sz w:val="20"/>
          <w:szCs w:val="20"/>
          <w:color w:val="auto"/>
        </w:rPr>
      </w:pPr>
    </w:p>
    <w:p>
      <w:pPr>
        <w:jc w:val="both"/>
        <w:ind w:left="760" w:firstLine="745"/>
        <w:spacing w:after="0" w:line="254" w:lineRule="auto"/>
        <w:tabs>
          <w:tab w:leader="none" w:pos="2048"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56"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Sources of Recoupment. </w:t>
      </w:r>
      <w:r>
        <w:rPr>
          <w:rFonts w:ascii="Times New Roman" w:cs="Times New Roman" w:eastAsia="Times New Roman" w:hAnsi="Times New Roman"/>
          <w:sz w:val="20"/>
          <w:szCs w:val="20"/>
          <w:color w:val="auto"/>
        </w:rPr>
        <w:t>To the extent permitted by applicable law, the Administrator shall, in its sole discretion, determine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5" w:name="page186"/>
    <w:bookmarkEnd w:id="185"/>
    <w:p>
      <w:pPr>
        <w:jc w:val="both"/>
        <w:ind w:firstLine="757"/>
        <w:spacing w:after="0" w:line="250" w:lineRule="auto"/>
        <w:tabs>
          <w:tab w:leader="none" w:pos="1018" w:val="left"/>
        </w:tabs>
        <w:numPr>
          <w:ilvl w:val="1"/>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Officers. </w:t>
      </w:r>
      <w:r>
        <w:rPr>
          <w:rFonts w:ascii="Times New Roman" w:cs="Times New Roman" w:eastAsia="Times New Roman" w:hAnsi="Times New Roman"/>
          <w:sz w:val="20"/>
          <w:szCs w:val="20"/>
          <w:color w:val="auto"/>
        </w:rPr>
        <w:t>Notwithstanding any indemnification agreement, applicable insurance policy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agreement or provision of the Company’s certificate of incorporation or bylaws to the contrary, no Covered Officer shall be entitled to indemnification in connection with any enforcement of this Policy by the Company, including paying or reimbursing such Covered Officer for insurance premiums to cover potential obligations to the Company under this Policy.</w:t>
      </w:r>
    </w:p>
    <w:p>
      <w:pPr>
        <w:spacing w:after="0" w:line="162" w:lineRule="exact"/>
        <w:rPr>
          <w:rFonts w:ascii="Times New Roman" w:cs="Times New Roman" w:eastAsia="Times New Roman" w:hAnsi="Times New Roman"/>
          <w:sz w:val="20"/>
          <w:szCs w:val="20"/>
          <w:b w:val="1"/>
          <w:bCs w:val="1"/>
          <w:color w:val="auto"/>
        </w:rPr>
      </w:pPr>
    </w:p>
    <w:p>
      <w:pPr>
        <w:jc w:val="both"/>
        <w:ind w:firstLine="757"/>
        <w:spacing w:after="0" w:line="247" w:lineRule="auto"/>
        <w:tabs>
          <w:tab w:leader="none" w:pos="1018" w:val="left"/>
        </w:tabs>
        <w:numPr>
          <w:ilvl w:val="1"/>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 members of the Board who assist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53"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1"/>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“Good Reason” for Covered Officers. </w:t>
      </w:r>
      <w:r>
        <w:rPr>
          <w:rFonts w:ascii="Times New Roman" w:cs="Times New Roman" w:eastAsia="Times New Roman" w:hAnsi="Times New Roman"/>
          <w:sz w:val="20"/>
          <w:szCs w:val="20"/>
          <w:color w:val="auto"/>
        </w:rPr>
        <w:t>Any action by the Company to recoup or any recoupment of Recoverable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62"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58" w:lineRule="exact"/>
        <w:rPr>
          <w:sz w:val="20"/>
          <w:szCs w:val="20"/>
          <w:color w:val="auto"/>
        </w:rPr>
      </w:pPr>
    </w:p>
    <w:p>
      <w:pPr>
        <w:ind w:left="520" w:hanging="512"/>
        <w:spacing w:after="0"/>
        <w:tabs>
          <w:tab w:leader="none" w:pos="520" w:val="left"/>
        </w:tabs>
        <w:numPr>
          <w:ilvl w:val="0"/>
          <w:numId w:val="1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62" w:lineRule="exact"/>
        <w:rPr>
          <w:sz w:val="20"/>
          <w:szCs w:val="20"/>
          <w:color w:val="auto"/>
        </w:rPr>
      </w:pPr>
    </w:p>
    <w:p>
      <w:pPr>
        <w:ind w:left="520" w:hanging="512"/>
        <w:spacing w:after="0"/>
        <w:tabs>
          <w:tab w:leader="none" w:pos="520"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mpairment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emedies</w:t>
      </w:r>
    </w:p>
    <w:p>
      <w:pPr>
        <w:spacing w:after="0" w:line="19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20"/>
          <w:szCs w:val="20"/>
          <w:b w:val="1"/>
          <w:bCs w:val="1"/>
          <w:color w:val="auto"/>
        </w:rPr>
        <w:t>SOX 304</w:t>
      </w:r>
      <w:r>
        <w:rPr>
          <w:rFonts w:ascii="Times New Roman" w:cs="Times New Roman" w:eastAsia="Times New Roman" w:hAnsi="Times New Roman"/>
          <w:sz w:val="20"/>
          <w:szCs w:val="20"/>
          <w:color w:val="auto"/>
        </w:rPr>
        <w:t>”) that are applicable to the Company’s Chief Executive Officer and Chief Financial Officer and to any other compensation recoupment policy and/or similar provisions in any employment,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6" w:name="page187"/>
    <w:bookmarkEnd w:id="186"/>
    <w:p>
      <w:pPr>
        <w:jc w:val="both"/>
        <w:spacing w:after="0" w:line="249" w:lineRule="auto"/>
        <w:rPr>
          <w:sz w:val="20"/>
          <w:szCs w:val="20"/>
          <w:color w:val="auto"/>
        </w:rPr>
      </w:pPr>
      <w:r>
        <w:rPr>
          <w:rFonts w:ascii="Times New Roman" w:cs="Times New Roman" w:eastAsia="Times New Roman" w:hAnsi="Times New Roman"/>
          <w:sz w:val="20"/>
          <w:szCs w:val="20"/>
          <w:color w:val="auto"/>
        </w:rPr>
        <w:t>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162" w:lineRule="exact"/>
        <w:rPr>
          <w:sz w:val="20"/>
          <w:szCs w:val="20"/>
          <w:color w:val="auto"/>
        </w:rPr>
      </w:pPr>
    </w:p>
    <w:p>
      <w:pPr>
        <w:ind w:left="520" w:hanging="512"/>
        <w:spacing w:after="0"/>
        <w:tabs>
          <w:tab w:leader="none" w:pos="520" w:val="left"/>
        </w:tabs>
        <w:numPr>
          <w:ilvl w:val="0"/>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mendment</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ermination</w:t>
      </w:r>
    </w:p>
    <w:p>
      <w:pPr>
        <w:spacing w:after="0" w:line="19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42" w:lineRule="exact"/>
        <w:rPr>
          <w:sz w:val="20"/>
          <w:szCs w:val="20"/>
          <w:color w:val="auto"/>
        </w:rPr>
      </w:pPr>
    </w:p>
    <w:p>
      <w:pPr>
        <w:ind w:left="520" w:hanging="512"/>
        <w:spacing w:after="0"/>
        <w:tabs>
          <w:tab w:leader="none" w:pos="520" w:val="left"/>
        </w:tabs>
        <w:numPr>
          <w:ilvl w:val="0"/>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uccessors</w:t>
      </w:r>
    </w:p>
    <w:p>
      <w:pPr>
        <w:spacing w:after="0" w:line="20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28" w:lineRule="exact"/>
        <w:rPr>
          <w:sz w:val="20"/>
          <w:szCs w:val="20"/>
          <w:color w:val="auto"/>
        </w:rPr>
      </w:pPr>
    </w:p>
    <w:p>
      <w:pPr>
        <w:ind w:left="400" w:hanging="392"/>
        <w:spacing w:after="0"/>
        <w:tabs>
          <w:tab w:leader="none" w:pos="400"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equired</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ilings</w:t>
      </w:r>
    </w:p>
    <w:p>
      <w:pPr>
        <w:spacing w:after="0" w:line="206"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The Company shall make any disclosures and filings with respect to this Policy that are required by law, including as required by the SEC.</w:t>
      </w:r>
    </w:p>
    <w:p>
      <w:pPr>
        <w:spacing w:after="0" w:line="146" w:lineRule="exact"/>
        <w:rPr>
          <w:sz w:val="20"/>
          <w:szCs w:val="20"/>
          <w:color w:val="auto"/>
        </w:rPr>
      </w:pPr>
    </w:p>
    <w:p>
      <w:pPr>
        <w:jc w:val="center"/>
        <w:spacing w:after="0"/>
        <w:tabs>
          <w:tab w:leader="none" w:pos="280" w:val="left"/>
          <w:tab w:leader="none" w:pos="280" w:val="left"/>
          <w:tab w:leader="none" w:pos="280" w:val="left"/>
          <w:tab w:leader="none" w:pos="280" w:val="left"/>
        </w:tabs>
        <w:rPr>
          <w:sz w:val="20"/>
          <w:szCs w:val="20"/>
          <w:color w:val="auto"/>
        </w:rPr>
      </w:pPr>
      <w:r>
        <w:rPr>
          <w:rFonts w:ascii="Times New Roman" w:cs="Times New Roman" w:eastAsia="Times New Roman" w:hAnsi="Times New Roman"/>
          <w:sz w:val="20"/>
          <w:szCs w:val="20"/>
          <w:color w:val="auto"/>
        </w:rPr>
        <w:t>*</w:t>
        <w:tab/>
        <w:t>*</w:t>
        <w:tab/>
        <w:t>*</w:t>
        <w:tab/>
        <w:t>*</w:t>
        <w:tab/>
        <w: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20"/>
          <w:szCs w:val="20"/>
          <w:b w:val="1"/>
          <w:bCs w:val="1"/>
          <w:color w:val="auto"/>
        </w:rPr>
        <w:t>AN2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orm of</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xecutive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cknowledgment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 the undersigned, agree and acknowledge that I am bound by, and subject to, the AN2 Therapeutics Incentive Compensation Recoupment Policy, as may be amended, restated, supplemented or otherwise modified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In the event of any inconsistency between the Policy and the terms of any employment agreement, offer letter or other individual agreement with AN2 Therapeutics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in connection with any enforcement of the Policy by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2514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17145</wp:posOffset>
            </wp:positionV>
            <wp:extent cx="293179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17145</wp:posOffset>
            </wp:positionV>
            <wp:extent cx="293179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17145</wp:posOffset>
            </wp:positionV>
            <wp:extent cx="29317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1">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8" w:name="page189"/>
    <w:bookmarkEnd w:id="1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
      <w:numFmt w:val="bullet"/>
      <w:start w:val="1"/>
    </w:lvl>
  </w:abstractNum>
  <w:abstractNum w:abstractNumId="2">
    <w:nsid w:val="4C04A8AF"/>
    <w:multiLevelType w:val="hybridMultilevel"/>
    <w:lvl w:ilvl="0">
      <w:lvlJc w:val="left"/>
      <w:lvlText w:val="•"/>
      <w:numFmt w:val="bullet"/>
      <w:start w:val="1"/>
    </w:lvl>
  </w:abstractNum>
  <w:abstractNum w:abstractNumId="3">
    <w:nsid w:val="1716703B"/>
    <w:multiLevelType w:val="hybridMultilevel"/>
    <w:lvl w:ilvl="0">
      <w:lvlJc w:val="left"/>
      <w:lvlText w:val="•"/>
      <w:numFmt w:val="bullet"/>
      <w:start w:val="1"/>
    </w:lvl>
  </w:abstractNum>
  <w:abstractNum w:abstractNumId="4">
    <w:nsid w:val="14E17E33"/>
    <w:multiLevelType w:val="hybridMultilevel"/>
    <w:lvl w:ilvl="0">
      <w:lvlJc w:val="left"/>
      <w:lvlText w:val="•"/>
      <w:numFmt w:val="bullet"/>
      <w:start w:val="1"/>
    </w:lvl>
  </w:abstractNum>
  <w:abstractNum w:abstractNumId="5">
    <w:nsid w:val="3222E7CD"/>
    <w:multiLevelType w:val="hybridMultilevel"/>
    <w:lvl w:ilvl="0">
      <w:lvlJc w:val="left"/>
      <w:lvlText w:val="•"/>
      <w:numFmt w:val="bullet"/>
      <w:start w:val="1"/>
    </w:lvl>
  </w:abstractNum>
  <w:abstractNum w:abstractNumId="6">
    <w:nsid w:val="74DE0EE3"/>
    <w:multiLevelType w:val="hybridMultilevel"/>
    <w:lvl w:ilvl="0">
      <w:lvlJc w:val="left"/>
      <w:lvlText w:val="•"/>
      <w:numFmt w:val="bullet"/>
      <w:start w:val="1"/>
    </w:lvl>
  </w:abstractNum>
  <w:abstractNum w:abstractNumId="7">
    <w:nsid w:val="68EBC550"/>
    <w:multiLevelType w:val="hybridMultilevel"/>
    <w:lvl w:ilvl="0">
      <w:lvlJc w:val="left"/>
      <w:lvlText w:val="•"/>
      <w:numFmt w:val="bullet"/>
      <w:start w:val="1"/>
    </w:lvl>
  </w:abstractNum>
  <w:abstractNum w:abstractNumId="8">
    <w:nsid w:val="2DF6D648"/>
    <w:multiLevelType w:val="hybridMultilevel"/>
    <w:lvl w:ilvl="0">
      <w:lvlJc w:val="left"/>
      <w:lvlText w:val="•"/>
      <w:numFmt w:val="bullet"/>
      <w:start w:val="1"/>
    </w:lvl>
  </w:abstractNum>
  <w:abstractNum w:abstractNumId="9">
    <w:nsid w:val="46B7D447"/>
    <w:multiLevelType w:val="hybridMultilevel"/>
    <w:lvl w:ilvl="0">
      <w:lvlJc w:val="left"/>
      <w:lvlText w:val="•"/>
      <w:numFmt w:val="bullet"/>
      <w:start w:val="1"/>
    </w:lvl>
  </w:abstractNum>
  <w:abstractNum w:abstractNumId="10">
    <w:nsid w:val="4A2AC315"/>
    <w:multiLevelType w:val="hybridMultilevel"/>
    <w:lvl w:ilvl="0">
      <w:lvlJc w:val="left"/>
      <w:lvlText w:val="•"/>
      <w:numFmt w:val="bullet"/>
      <w:start w:val="1"/>
    </w:lvl>
  </w:abstractNum>
  <w:abstractNum w:abstractNumId="11">
    <w:nsid w:val="39EE015C"/>
    <w:multiLevelType w:val="hybridMultilevel"/>
    <w:lvl w:ilvl="0">
      <w:lvlJc w:val="left"/>
      <w:lvlText w:val="(%1)"/>
      <w:numFmt w:val="lowerRoman"/>
      <w:start w:val="2"/>
    </w:lvl>
  </w:abstractNum>
  <w:abstractNum w:abstractNumId="12">
    <w:nsid w:val="57FC4FBB"/>
    <w:multiLevelType w:val="hybridMultilevel"/>
    <w:lvl w:ilvl="0">
      <w:lvlJc w:val="left"/>
      <w:lvlText w:val="•"/>
      <w:numFmt w:val="bullet"/>
      <w:start w:val="1"/>
    </w:lvl>
  </w:abstractNum>
  <w:abstractNum w:abstractNumId="13">
    <w:nsid w:val="CC1016F"/>
    <w:multiLevelType w:val="hybridMultilevel"/>
    <w:lvl w:ilvl="0">
      <w:lvlJc w:val="left"/>
      <w:lvlText w:val="•"/>
      <w:numFmt w:val="bullet"/>
      <w:start w:val="1"/>
    </w:lvl>
  </w:abstractNum>
  <w:abstractNum w:abstractNumId="14">
    <w:nsid w:val="43F18422"/>
    <w:multiLevelType w:val="hybridMultilevel"/>
    <w:lvl w:ilvl="0">
      <w:lvlJc w:val="left"/>
      <w:lvlText w:val="•"/>
      <w:numFmt w:val="bullet"/>
      <w:start w:val="1"/>
    </w:lvl>
  </w:abstractNum>
  <w:abstractNum w:abstractNumId="15">
    <w:nsid w:val="60EF0119"/>
    <w:multiLevelType w:val="hybridMultilevel"/>
    <w:lvl w:ilvl="0">
      <w:lvlJc w:val="left"/>
      <w:lvlText w:val="•"/>
      <w:numFmt w:val="bullet"/>
      <w:start w:val="1"/>
    </w:lvl>
  </w:abstractNum>
  <w:abstractNum w:abstractNumId="16">
    <w:nsid w:val="26F324BA"/>
    <w:multiLevelType w:val="hybridMultilevel"/>
    <w:lvl w:ilvl="0">
      <w:lvlJc w:val="left"/>
      <w:lvlText w:val="•"/>
      <w:numFmt w:val="bullet"/>
      <w:start w:val="1"/>
    </w:lvl>
  </w:abstractNum>
  <w:abstractNum w:abstractNumId="17">
    <w:nsid w:val="7F01579B"/>
    <w:multiLevelType w:val="hybridMultilevel"/>
    <w:lvl w:ilvl="0">
      <w:lvlJc w:val="left"/>
      <w:lvlText w:val="•"/>
      <w:numFmt w:val="bullet"/>
      <w:start w:val="1"/>
    </w:lvl>
  </w:abstractNum>
  <w:abstractNum w:abstractNumId="18">
    <w:nsid w:val="49DA307D"/>
    <w:multiLevelType w:val="hybridMultilevel"/>
    <w:lvl w:ilvl="0">
      <w:lvlJc w:val="left"/>
      <w:lvlText w:val="•"/>
      <w:numFmt w:val="bullet"/>
      <w:start w:val="1"/>
    </w:lvl>
  </w:abstractNum>
  <w:abstractNum w:abstractNumId="19">
    <w:nsid w:val="7055A5F5"/>
    <w:multiLevelType w:val="hybridMultilevel"/>
    <w:lvl w:ilvl="0">
      <w:lvlJc w:val="left"/>
      <w:lvlText w:val="•"/>
      <w:numFmt w:val="bullet"/>
      <w:start w:val="1"/>
    </w:lvl>
  </w:abstractNum>
  <w:abstractNum w:abstractNumId="20">
    <w:nsid w:val="5FB8370B"/>
    <w:multiLevelType w:val="hybridMultilevel"/>
    <w:lvl w:ilvl="0">
      <w:lvlJc w:val="left"/>
      <w:lvlText w:val="•"/>
      <w:numFmt w:val="bullet"/>
      <w:start w:val="1"/>
    </w:lvl>
  </w:abstractNum>
  <w:abstractNum w:abstractNumId="21">
    <w:nsid w:val="50801EE1"/>
    <w:multiLevelType w:val="hybridMultilevel"/>
    <w:lvl w:ilvl="0">
      <w:lvlJc w:val="left"/>
      <w:lvlText w:val="•"/>
      <w:numFmt w:val="bullet"/>
      <w:start w:val="1"/>
    </w:lvl>
  </w:abstractNum>
  <w:abstractNum w:abstractNumId="22">
    <w:nsid w:val="488AC1A"/>
    <w:multiLevelType w:val="hybridMultilevel"/>
    <w:lvl w:ilvl="0">
      <w:lvlJc w:val="left"/>
      <w:lvlText w:val="•"/>
      <w:numFmt w:val="bullet"/>
      <w:start w:val="1"/>
    </w:lvl>
  </w:abstractNum>
  <w:abstractNum w:abstractNumId="23">
    <w:nsid w:val="5FB8011C"/>
    <w:multiLevelType w:val="hybridMultilevel"/>
    <w:lvl w:ilvl="0">
      <w:lvlJc w:val="left"/>
      <w:lvlText w:val="•"/>
      <w:numFmt w:val="bullet"/>
      <w:start w:val="1"/>
    </w:lvl>
  </w:abstractNum>
  <w:abstractNum w:abstractNumId="24">
    <w:nsid w:val="6AA78F7F"/>
    <w:multiLevelType w:val="hybridMultilevel"/>
    <w:lvl w:ilvl="0">
      <w:lvlJc w:val="left"/>
      <w:lvlText w:val="•"/>
      <w:numFmt w:val="bullet"/>
      <w:start w:val="1"/>
    </w:lvl>
  </w:abstractNum>
  <w:abstractNum w:abstractNumId="25">
    <w:nsid w:val="7672BD23"/>
    <w:multiLevelType w:val="hybridMultilevel"/>
    <w:lvl w:ilvl="0">
      <w:lvlJc w:val="left"/>
      <w:lvlText w:val="•"/>
      <w:numFmt w:val="bullet"/>
      <w:start w:val="1"/>
    </w:lvl>
  </w:abstractNum>
  <w:abstractNum w:abstractNumId="26">
    <w:nsid w:val="6FC75AF8"/>
    <w:multiLevelType w:val="hybridMultilevel"/>
    <w:lvl w:ilvl="0">
      <w:lvlJc w:val="left"/>
      <w:lvlText w:val="•"/>
      <w:numFmt w:val="bullet"/>
      <w:start w:val="1"/>
    </w:lvl>
  </w:abstractNum>
  <w:abstractNum w:abstractNumId="27">
    <w:nsid w:val="6A5F7029"/>
    <w:multiLevelType w:val="hybridMultilevel"/>
    <w:lvl w:ilvl="0">
      <w:lvlJc w:val="left"/>
      <w:lvlText w:val="•"/>
      <w:numFmt w:val="bullet"/>
      <w:start w:val="1"/>
    </w:lvl>
  </w:abstractNum>
  <w:abstractNum w:abstractNumId="28">
    <w:nsid w:val="7D5E18F8"/>
    <w:multiLevelType w:val="hybridMultilevel"/>
    <w:lvl w:ilvl="0">
      <w:lvlJc w:val="left"/>
      <w:lvlText w:val="•"/>
      <w:numFmt w:val="bullet"/>
      <w:start w:val="1"/>
    </w:lvl>
  </w:abstractNum>
  <w:abstractNum w:abstractNumId="29">
    <w:nsid w:val="5F3534A4"/>
    <w:multiLevelType w:val="hybridMultilevel"/>
    <w:lvl w:ilvl="0">
      <w:lvlJc w:val="left"/>
      <w:lvlText w:val="•"/>
      <w:numFmt w:val="bullet"/>
      <w:start w:val="1"/>
    </w:lvl>
  </w:abstractNum>
  <w:abstractNum w:abstractNumId="30">
    <w:nsid w:val="73A1821B"/>
    <w:multiLevelType w:val="hybridMultilevel"/>
    <w:lvl w:ilvl="0">
      <w:lvlJc w:val="left"/>
      <w:lvlText w:val="•"/>
      <w:numFmt w:val="bullet"/>
      <w:start w:val="1"/>
    </w:lvl>
  </w:abstractNum>
  <w:abstractNum w:abstractNumId="31">
    <w:nsid w:val="7DE67713"/>
    <w:multiLevelType w:val="hybridMultilevel"/>
    <w:lvl w:ilvl="0">
      <w:lvlJc w:val="left"/>
      <w:lvlText w:val="•"/>
      <w:numFmt w:val="bullet"/>
      <w:start w:val="1"/>
    </w:lvl>
  </w:abstractNum>
  <w:abstractNum w:abstractNumId="32">
    <w:nsid w:val="555C55B5"/>
    <w:multiLevelType w:val="hybridMultilevel"/>
    <w:lvl w:ilvl="0">
      <w:lvlJc w:val="left"/>
      <w:lvlText w:val="•"/>
      <w:numFmt w:val="bullet"/>
      <w:start w:val="1"/>
    </w:lvl>
  </w:abstractNum>
  <w:abstractNum w:abstractNumId="33">
    <w:nsid w:val="3FA62ACA"/>
    <w:multiLevelType w:val="hybridMultilevel"/>
    <w:lvl w:ilvl="0">
      <w:lvlJc w:val="left"/>
      <w:lvlText w:val="•"/>
      <w:numFmt w:val="bullet"/>
      <w:start w:val="1"/>
    </w:lvl>
  </w:abstractNum>
  <w:abstractNum w:abstractNumId="34">
    <w:nsid w:val="14FCE74E"/>
    <w:multiLevelType w:val="hybridMultilevel"/>
    <w:lvl w:ilvl="0">
      <w:lvlJc w:val="left"/>
      <w:lvlText w:val="•"/>
      <w:numFmt w:val="bullet"/>
      <w:start w:val="1"/>
    </w:lvl>
  </w:abstractNum>
  <w:abstractNum w:abstractNumId="35">
    <w:nsid w:val="6A3DD3E8"/>
    <w:multiLevelType w:val="hybridMultilevel"/>
    <w:lvl w:ilvl="0">
      <w:lvlJc w:val="left"/>
      <w:lvlText w:val="•"/>
      <w:numFmt w:val="bullet"/>
      <w:start w:val="1"/>
    </w:lvl>
  </w:abstractNum>
  <w:abstractNum w:abstractNumId="36">
    <w:nsid w:val="71C91298"/>
    <w:multiLevelType w:val="hybridMultilevel"/>
    <w:lvl w:ilvl="0">
      <w:lvlJc w:val="left"/>
      <w:lvlText w:val="•"/>
      <w:numFmt w:val="bullet"/>
      <w:start w:val="1"/>
    </w:lvl>
  </w:abstractNum>
  <w:abstractNum w:abstractNumId="37">
    <w:nsid w:val="9DAF632"/>
    <w:multiLevelType w:val="hybridMultilevel"/>
    <w:lvl w:ilvl="0">
      <w:lvlJc w:val="left"/>
      <w:lvlText w:val="•"/>
      <w:numFmt w:val="bullet"/>
      <w:start w:val="1"/>
    </w:lvl>
  </w:abstractNum>
  <w:abstractNum w:abstractNumId="38">
    <w:nsid w:val="53299938"/>
    <w:multiLevelType w:val="hybridMultilevel"/>
    <w:lvl w:ilvl="0">
      <w:lvlJc w:val="left"/>
      <w:lvlText w:val="•"/>
      <w:numFmt w:val="bullet"/>
      <w:start w:val="1"/>
    </w:lvl>
  </w:abstractNum>
  <w:abstractNum w:abstractNumId="39">
    <w:nsid w:val="1FBFE8E0"/>
    <w:multiLevelType w:val="hybridMultilevel"/>
    <w:lvl w:ilvl="0">
      <w:lvlJc w:val="left"/>
      <w:lvlText w:val="•"/>
      <w:numFmt w:val="bullet"/>
      <w:start w:val="1"/>
    </w:lvl>
  </w:abstractNum>
  <w:abstractNum w:abstractNumId="40">
    <w:nsid w:val="5092CA79"/>
    <w:multiLevelType w:val="hybridMultilevel"/>
    <w:lvl w:ilvl="0">
      <w:lvlJc w:val="left"/>
      <w:lvlText w:val="•"/>
      <w:numFmt w:val="bullet"/>
      <w:start w:val="1"/>
    </w:lvl>
  </w:abstractNum>
  <w:abstractNum w:abstractNumId="41">
    <w:nsid w:val="1D545C4D"/>
    <w:multiLevelType w:val="hybridMultilevel"/>
    <w:lvl w:ilvl="0">
      <w:lvlJc w:val="left"/>
      <w:lvlText w:val="•"/>
      <w:numFmt w:val="bullet"/>
      <w:start w:val="1"/>
    </w:lvl>
  </w:abstractNum>
  <w:abstractNum w:abstractNumId="42">
    <w:nsid w:val="59ADEA3D"/>
    <w:multiLevelType w:val="hybridMultilevel"/>
    <w:lvl w:ilvl="0">
      <w:lvlJc w:val="left"/>
      <w:lvlText w:val="•"/>
      <w:numFmt w:val="bullet"/>
      <w:start w:val="1"/>
    </w:lvl>
  </w:abstractNum>
  <w:abstractNum w:abstractNumId="43">
    <w:nsid w:val="288F1A34"/>
    <w:multiLevelType w:val="hybridMultilevel"/>
    <w:lvl w:ilvl="0">
      <w:lvlJc w:val="left"/>
      <w:lvlText w:val="•"/>
      <w:numFmt w:val="bullet"/>
      <w:start w:val="1"/>
    </w:lvl>
  </w:abstractNum>
  <w:abstractNum w:abstractNumId="44">
    <w:nsid w:val="2A155DBC"/>
    <w:multiLevelType w:val="hybridMultilevel"/>
    <w:lvl w:ilvl="0">
      <w:lvlJc w:val="left"/>
      <w:lvlText w:val="•"/>
      <w:numFmt w:val="bullet"/>
      <w:start w:val="1"/>
    </w:lvl>
  </w:abstractNum>
  <w:abstractNum w:abstractNumId="45">
    <w:nsid w:val="1D9F6E5F"/>
    <w:multiLevelType w:val="hybridMultilevel"/>
    <w:lvl w:ilvl="0">
      <w:lvlJc w:val="left"/>
      <w:lvlText w:val="•"/>
      <w:numFmt w:val="bullet"/>
      <w:start w:val="1"/>
    </w:lvl>
  </w:abstractNum>
  <w:abstractNum w:abstractNumId="46">
    <w:nsid w:val="97E1B4E"/>
    <w:multiLevelType w:val="hybridMultilevel"/>
    <w:lvl w:ilvl="0">
      <w:lvlJc w:val="left"/>
      <w:lvlText w:val="•"/>
      <w:numFmt w:val="bullet"/>
      <w:start w:val="1"/>
    </w:lvl>
  </w:abstractNum>
  <w:abstractNum w:abstractNumId="47">
    <w:nsid w:val="51088277"/>
    <w:multiLevelType w:val="hybridMultilevel"/>
    <w:lvl w:ilvl="0">
      <w:lvlJc w:val="left"/>
      <w:lvlText w:val="•"/>
      <w:numFmt w:val="bullet"/>
      <w:start w:val="1"/>
    </w:lvl>
  </w:abstractNum>
  <w:abstractNum w:abstractNumId="48">
    <w:nsid w:val="1CA0C5FA"/>
    <w:multiLevelType w:val="hybridMultilevel"/>
    <w:lvl w:ilvl="0">
      <w:lvlJc w:val="left"/>
      <w:lvlText w:val="•"/>
      <w:numFmt w:val="bullet"/>
      <w:start w:val="1"/>
    </w:lvl>
  </w:abstractNum>
  <w:abstractNum w:abstractNumId="49">
    <w:nsid w:val="53584BCB"/>
    <w:multiLevelType w:val="hybridMultilevel"/>
    <w:lvl w:ilvl="0">
      <w:lvlJc w:val="left"/>
      <w:lvlText w:val="•"/>
      <w:numFmt w:val="bullet"/>
      <w:start w:val="1"/>
    </w:lvl>
  </w:abstractNum>
  <w:abstractNum w:abstractNumId="50">
    <w:nsid w:val="415E286C"/>
    <w:multiLevelType w:val="hybridMultilevel"/>
    <w:lvl w:ilvl="0">
      <w:lvlJc w:val="left"/>
      <w:lvlText w:val="•"/>
      <w:numFmt w:val="bullet"/>
      <w:start w:val="1"/>
    </w:lvl>
  </w:abstractNum>
  <w:abstractNum w:abstractNumId="51">
    <w:nsid w:val="7C58FD05"/>
    <w:multiLevelType w:val="hybridMultilevel"/>
    <w:lvl w:ilvl="0">
      <w:lvlJc w:val="left"/>
      <w:lvlText w:val="•"/>
      <w:numFmt w:val="bullet"/>
      <w:start w:val="1"/>
    </w:lvl>
  </w:abstractNum>
  <w:abstractNum w:abstractNumId="52">
    <w:nsid w:val="23D86AAC"/>
    <w:multiLevelType w:val="hybridMultilevel"/>
    <w:lvl w:ilvl="0">
      <w:lvlJc w:val="left"/>
      <w:lvlText w:val="•"/>
      <w:numFmt w:val="bullet"/>
      <w:start w:val="1"/>
    </w:lvl>
  </w:abstractNum>
  <w:abstractNum w:abstractNumId="53">
    <w:nsid w:val="45E6D486"/>
    <w:multiLevelType w:val="hybridMultilevel"/>
    <w:lvl w:ilvl="0">
      <w:lvlJc w:val="left"/>
      <w:lvlText w:val="•"/>
      <w:numFmt w:val="bullet"/>
      <w:start w:val="1"/>
    </w:lvl>
  </w:abstractNum>
  <w:abstractNum w:abstractNumId="54">
    <w:nsid w:val="5C10FE21"/>
    <w:multiLevelType w:val="hybridMultilevel"/>
    <w:lvl w:ilvl="0">
      <w:lvlJc w:val="left"/>
      <w:lvlText w:val="•"/>
      <w:numFmt w:val="bullet"/>
      <w:start w:val="1"/>
    </w:lvl>
  </w:abstractNum>
  <w:abstractNum w:abstractNumId="55">
    <w:nsid w:val="E7FFA2B"/>
    <w:multiLevelType w:val="hybridMultilevel"/>
    <w:lvl w:ilvl="0">
      <w:lvlJc w:val="left"/>
      <w:lvlText w:val="•"/>
      <w:numFmt w:val="bullet"/>
      <w:start w:val="1"/>
    </w:lvl>
  </w:abstractNum>
  <w:abstractNum w:abstractNumId="56">
    <w:nsid w:val="3C5991AA"/>
    <w:multiLevelType w:val="hybridMultilevel"/>
    <w:lvl w:ilvl="0">
      <w:lvlJc w:val="left"/>
      <w:lvlText w:val="•"/>
      <w:numFmt w:val="bullet"/>
      <w:start w:val="1"/>
    </w:lvl>
  </w:abstractNum>
  <w:abstractNum w:abstractNumId="57">
    <w:nsid w:val="4BD8591A"/>
    <w:multiLevelType w:val="hybridMultilevel"/>
    <w:lvl w:ilvl="0">
      <w:lvlJc w:val="left"/>
      <w:lvlText w:val="•"/>
      <w:numFmt w:val="bullet"/>
      <w:start w:val="1"/>
    </w:lvl>
  </w:abstractNum>
  <w:abstractNum w:abstractNumId="58">
    <w:nsid w:val="78DF6A55"/>
    <w:multiLevelType w:val="hybridMultilevel"/>
    <w:lvl w:ilvl="0">
      <w:lvlJc w:val="left"/>
      <w:lvlText w:val="•"/>
      <w:numFmt w:val="bullet"/>
      <w:start w:val="1"/>
    </w:lvl>
  </w:abstractNum>
  <w:abstractNum w:abstractNumId="59">
    <w:nsid w:val="39B7AAA2"/>
    <w:multiLevelType w:val="hybridMultilevel"/>
    <w:lvl w:ilvl="0">
      <w:lvlJc w:val="left"/>
      <w:lvlText w:val="•"/>
      <w:numFmt w:val="bullet"/>
      <w:start w:val="1"/>
    </w:lvl>
  </w:abstractNum>
  <w:abstractNum w:abstractNumId="60">
    <w:nsid w:val="2B0D8DBE"/>
    <w:multiLevelType w:val="hybridMultilevel"/>
    <w:lvl w:ilvl="0">
      <w:lvlJc w:val="left"/>
      <w:lvlText w:val="•"/>
      <w:numFmt w:val="bullet"/>
      <w:start w:val="1"/>
    </w:lvl>
  </w:abstractNum>
  <w:abstractNum w:abstractNumId="61">
    <w:nsid w:val="6C80EC70"/>
    <w:multiLevelType w:val="hybridMultilevel"/>
    <w:lvl w:ilvl="0">
      <w:lvlJc w:val="left"/>
      <w:lvlText w:val="•"/>
      <w:numFmt w:val="bullet"/>
      <w:start w:val="1"/>
    </w:lvl>
  </w:abstractNum>
  <w:abstractNum w:abstractNumId="62">
    <w:nsid w:val="379E21B5"/>
    <w:multiLevelType w:val="hybridMultilevel"/>
    <w:lvl w:ilvl="0">
      <w:lvlJc w:val="left"/>
      <w:lvlText w:val="•"/>
      <w:numFmt w:val="bullet"/>
      <w:start w:val="1"/>
    </w:lvl>
  </w:abstractNum>
  <w:abstractNum w:abstractNumId="63">
    <w:nsid w:val="69E373"/>
    <w:multiLevelType w:val="hybridMultilevel"/>
    <w:lvl w:ilvl="0">
      <w:lvlJc w:val="left"/>
      <w:lvlText w:val="(%1)"/>
      <w:numFmt w:val="decimal"/>
      <w:start w:val="2"/>
    </w:lvl>
  </w:abstractNum>
  <w:abstractNum w:abstractNumId="64">
    <w:nsid w:val="2C27173B"/>
    <w:multiLevelType w:val="hybridMultilevel"/>
    <w:lvl w:ilvl="0">
      <w:lvlJc w:val="left"/>
      <w:lvlText w:val="*"/>
      <w:numFmt w:val="bullet"/>
      <w:start w:val="1"/>
    </w:lvl>
    <w:lvl w:ilvl="1">
      <w:lvlJc w:val="left"/>
      <w:lvlText w:val="%2"/>
      <w:numFmt w:val="decimal"/>
      <w:start w:val="104"/>
    </w:lvl>
  </w:abstractNum>
  <w:abstractNum w:abstractNumId="65">
    <w:nsid w:val="4C9B0904"/>
    <w:multiLevelType w:val="hybridMultilevel"/>
    <w:lvl w:ilvl="0">
      <w:lvlJc w:val="left"/>
      <w:lvlText w:val="‡"/>
      <w:numFmt w:val="bullet"/>
      <w:start w:val="1"/>
    </w:lvl>
  </w:abstractNum>
  <w:abstractNum w:abstractNumId="66">
    <w:nsid w:val="6AA7B75C"/>
    <w:multiLevelType w:val="hybridMultilevel"/>
    <w:lvl w:ilvl="0">
      <w:lvlJc w:val="left"/>
      <w:lvlText w:val="**"/>
      <w:numFmt w:val="bullet"/>
      <w:start w:val="1"/>
    </w:lvl>
  </w:abstractNum>
  <w:abstractNum w:abstractNumId="67">
    <w:nsid w:val="1DF029D3"/>
    <w:multiLevelType w:val="hybridMultilevel"/>
    <w:lvl w:ilvl="0">
      <w:lvlJc w:val="left"/>
      <w:lvlText w:val="†"/>
      <w:numFmt w:val="bullet"/>
      <w:start w:val="1"/>
    </w:lvl>
  </w:abstractNum>
  <w:abstractNum w:abstractNumId="68">
    <w:nsid w:val="5675FF36"/>
    <w:multiLevelType w:val="hybridMultilevel"/>
    <w:lvl w:ilvl="0">
      <w:lvlJc w:val="left"/>
      <w:lvlText w:val="•"/>
      <w:numFmt w:val="bullet"/>
      <w:start w:val="1"/>
    </w:lvl>
  </w:abstractNum>
  <w:abstractNum w:abstractNumId="69">
    <w:nsid w:val="3DD15094"/>
    <w:multiLevelType w:val="hybridMultilevel"/>
    <w:lvl w:ilvl="0">
      <w:lvlJc w:val="left"/>
      <w:lvlText w:val="(%1)"/>
      <w:numFmt w:val="decimal"/>
      <w:start w:val="2"/>
    </w:lvl>
  </w:abstractNum>
  <w:abstractNum w:abstractNumId="70">
    <w:nsid w:val="3DB012B3"/>
    <w:multiLevelType w:val="hybridMultilevel"/>
    <w:lvl w:ilvl="0">
      <w:lvlJc w:val="left"/>
      <w:lvlText w:val="•"/>
      <w:numFmt w:val="bullet"/>
      <w:start w:val="1"/>
    </w:lvl>
  </w:abstractNum>
  <w:abstractNum w:abstractNumId="71">
    <w:nsid w:val="2708C9AF"/>
    <w:multiLevelType w:val="hybridMultilevel"/>
    <w:lvl w:ilvl="0">
      <w:lvlJc w:val="left"/>
      <w:lvlText w:val="%1."/>
      <w:numFmt w:val="decimal"/>
      <w:start w:val="1"/>
    </w:lvl>
    <w:lvl w:ilvl="1">
      <w:lvlJc w:val="left"/>
      <w:lvlText w:val="(%2)"/>
      <w:numFmt w:val="lowerLetter"/>
      <w:start w:val="1"/>
    </w:lvl>
  </w:abstractNum>
  <w:abstractNum w:abstractNumId="72">
    <w:nsid w:val="5B25ACE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3">
    <w:nsid w:val="175DFCF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4">
    <w:nsid w:val="4F97E3E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75">
    <w:nsid w:val="53B0A9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6">
    <w:nsid w:val="34FD6B4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77">
    <w:nsid w:val="5915FF32"/>
    <w:multiLevelType w:val="hybridMultilevel"/>
    <w:lvl w:ilvl="0">
      <w:lvlJc w:val="left"/>
      <w:lvlText w:val="(%1)"/>
      <w:numFmt w:val="lowerLetter"/>
      <w:start w:val="1"/>
    </w:lvl>
  </w:abstractNum>
  <w:abstractNum w:abstractNumId="78">
    <w:nsid w:val="56438D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9">
    <w:nsid w:val="519E3149"/>
    <w:multiLevelType w:val="hybridMultilevel"/>
    <w:lvl w:ilvl="0">
      <w:lvlJc w:val="left"/>
      <w:lvlText w:val="(%1)"/>
      <w:numFmt w:val="decimal"/>
      <w:start w:val="3"/>
    </w:lvl>
    <w:lvl w:ilvl="1">
      <w:lvlJc w:val="left"/>
      <w:lvlText w:val="(%2)"/>
      <w:numFmt w:val="lowerLetter"/>
      <w:start w:val="3"/>
    </w:lvl>
    <w:lvl w:ilvl="2">
      <w:lvlJc w:val="left"/>
      <w:lvlText w:val="(%3)"/>
      <w:numFmt w:val="lowerRoman"/>
      <w:start w:val="4"/>
    </w:lvl>
  </w:abstractNum>
  <w:abstractNum w:abstractNumId="80">
    <w:nsid w:val="2C6E4AFD"/>
    <w:multiLevelType w:val="hybridMultilevel"/>
    <w:lvl w:ilvl="0">
      <w:lvlJc w:val="left"/>
      <w:lvlText w:val="(%1)"/>
      <w:numFmt w:val="lowerLetter"/>
      <w:start w:val="7"/>
    </w:lvl>
    <w:lvl w:ilvl="1">
      <w:lvlJc w:val="left"/>
      <w:lvlText w:val="(%2)"/>
      <w:numFmt w:val="lowerRoman"/>
      <w:start w:val="1"/>
    </w:lvl>
  </w:abstractNum>
  <w:abstractNum w:abstractNumId="81">
    <w:nsid w:val="17A1B582"/>
    <w:multiLevelType w:val="hybridMultilevel"/>
    <w:lvl w:ilvl="0">
      <w:lvlJc w:val="left"/>
      <w:lvlText w:val="(%1)"/>
      <w:numFmt w:val="lowerLetter"/>
      <w:start w:val="11"/>
    </w:lvl>
  </w:abstractNum>
  <w:abstractNum w:abstractNumId="82">
    <w:nsid w:val="4DF72E4E"/>
    <w:multiLevelType w:val="hybridMultilevel"/>
    <w:lvl w:ilvl="0">
      <w:lvlJc w:val="left"/>
      <w:lvlText w:val="(%1)"/>
      <w:numFmt w:val="lowerLetter"/>
      <w:start w:val="12"/>
    </w:lvl>
  </w:abstractNum>
  <w:abstractNum w:abstractNumId="83">
    <w:nsid w:val="5046B5A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4">
    <w:nsid w:val="5D888A08"/>
    <w:multiLevelType w:val="hybridMultilevel"/>
    <w:lvl w:ilvl="0">
      <w:lvlJc w:val="left"/>
      <w:lvlText w:val="%1"/>
      <w:numFmt w:val="lowerLetter"/>
      <w:start w:val="1"/>
    </w:lvl>
    <w:lvl w:ilvl="1">
      <w:lvlJc w:val="left"/>
      <w:lvlText w:val="(%2)"/>
      <w:numFmt w:val="lowerRoman"/>
      <w:start w:val="2"/>
    </w:lvl>
  </w:abstractNum>
  <w:abstractNum w:abstractNumId="85">
    <w:nsid w:val="2A082C70"/>
    <w:multiLevelType w:val="hybridMultilevel"/>
    <w:lvl w:ilvl="0">
      <w:lvlJc w:val="left"/>
      <w:lvlText w:val="(%1)"/>
      <w:numFmt w:val="lowerLetter"/>
      <w:start w:val="2"/>
    </w:lvl>
    <w:lvl w:ilvl="1">
      <w:lvlJc w:val="left"/>
      <w:lvlText w:val="%2"/>
      <w:numFmt w:val="lowerRoman"/>
      <w:start w:val="1"/>
    </w:lvl>
  </w:abstractNum>
  <w:abstractNum w:abstractNumId="86">
    <w:nsid w:val="5EC6AFD4"/>
    <w:multiLevelType w:val="hybridMultilevel"/>
    <w:lvl w:ilvl="0">
      <w:lvlJc w:val="left"/>
      <w:lvlText w:val="%1."/>
      <w:numFmt w:val="decimal"/>
      <w:start w:val="6"/>
    </w:lvl>
  </w:abstractNum>
  <w:abstractNum w:abstractNumId="87">
    <w:nsid w:val="19E21BB2"/>
    <w:multiLevelType w:val="hybridMultilevel"/>
    <w:lvl w:ilvl="0">
      <w:lvlJc w:val="left"/>
      <w:lvlText w:val="(%1)"/>
      <w:numFmt w:val="lowerLetter"/>
      <w:start w:val="1"/>
    </w:lvl>
    <w:lvl w:ilvl="1">
      <w:lvlJc w:val="left"/>
      <w:lvlText w:val="(%2)"/>
      <w:numFmt w:val="lowerRoman"/>
      <w:start w:val="1"/>
    </w:lvl>
  </w:abstractNum>
  <w:abstractNum w:abstractNumId="88">
    <w:nsid w:val="75E0858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9">
    <w:nsid w:val="57A61A2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0">
    <w:nsid w:val="5399C65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1">
    <w:nsid w:val="20EE1348"/>
    <w:multiLevelType w:val="hybridMultilevel"/>
    <w:lvl w:ilvl="0">
      <w:lvlJc w:val="left"/>
      <w:lvlText w:val="(%1)"/>
      <w:numFmt w:val="lowerRoman"/>
      <w:start w:val="1"/>
    </w:lvl>
  </w:abstractNum>
  <w:abstractNum w:abstractNumId="92">
    <w:nsid w:val="4427069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1"/>
    </w:lvl>
  </w:abstractNum>
  <w:abstractNum w:abstractNumId="93">
    <w:nsid w:val="B37E80A"/>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94">
    <w:nsid w:val="2157F6BC"/>
    <w:multiLevelType w:val="hybridMultilevel"/>
    <w:lvl w:ilvl="0">
      <w:lvlJc w:val="left"/>
      <w:lvlText w:val="%1."/>
      <w:numFmt w:val="decimal"/>
      <w:start w:val="8"/>
    </w:lvl>
    <w:lvl w:ilvl="1">
      <w:lvlJc w:val="left"/>
      <w:lvlText w:val="(%2)"/>
      <w:numFmt w:val="lowerLetter"/>
      <w:start w:val="1"/>
    </w:lvl>
  </w:abstractNum>
  <w:abstractNum w:abstractNumId="95">
    <w:nsid w:val="704E1DD5"/>
    <w:multiLevelType w:val="hybridMultilevel"/>
    <w:lvl w:ilvl="0">
      <w:lvlJc w:val="left"/>
      <w:lvlText w:val="%1."/>
      <w:numFmt w:val="decimal"/>
      <w:start w:val="9"/>
    </w:lvl>
    <w:lvl w:ilvl="1">
      <w:lvlJc w:val="left"/>
      <w:lvlText w:val="(%2)"/>
      <w:numFmt w:val="lowerLetter"/>
      <w:start w:val="1"/>
    </w:lvl>
  </w:abstractNum>
  <w:abstractNum w:abstractNumId="96">
    <w:nsid w:val="57D2F10E"/>
    <w:multiLevelType w:val="hybridMultilevel"/>
    <w:lvl w:ilvl="0">
      <w:lvlJc w:val="left"/>
      <w:lvlText w:val="(%1)"/>
      <w:numFmt w:val="lowerLetter"/>
      <w:start w:val="7"/>
    </w:lvl>
  </w:abstractNum>
  <w:abstractNum w:abstractNumId="97">
    <w:nsid w:val="BFFAE18"/>
    <w:multiLevelType w:val="hybridMultilevel"/>
    <w:lvl w:ilvl="0">
      <w:lvlJc w:val="left"/>
      <w:lvlText w:val="%1"/>
      <w:numFmt w:val="decimal"/>
      <w:start w:val="1"/>
    </w:lvl>
    <w:lvl w:ilvl="1">
      <w:lvlJc w:val="left"/>
      <w:lvlText w:val="(%2)"/>
      <w:numFmt w:val="lowerLetter"/>
      <w:start w:val="14"/>
    </w:lvl>
  </w:abstractNum>
  <w:abstractNum w:abstractNumId="98">
    <w:nsid w:val="E3E47A8"/>
    <w:multiLevelType w:val="hybridMultilevel"/>
    <w:lvl w:ilvl="0">
      <w:lvlJc w:val="left"/>
      <w:lvlText w:val="%1."/>
      <w:numFmt w:val="decimal"/>
      <w:start w:val="10"/>
    </w:lvl>
    <w:lvl w:ilvl="1">
      <w:lvlJc w:val="left"/>
      <w:lvlText w:val="(%2)"/>
      <w:numFmt w:val="lowerLetter"/>
      <w:start w:val="1"/>
    </w:lvl>
  </w:abstractNum>
  <w:abstractNum w:abstractNumId="99">
    <w:nsid w:val="2E48F04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00">
    <w:nsid w:val="49D0FEA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2"/>
    </w:lvl>
  </w:abstractNum>
  <w:abstractNum w:abstractNumId="101">
    <w:nsid w:val="4BEE5A5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decimal"/>
      <w:start w:val="1"/>
    </w:lvl>
  </w:abstractNum>
  <w:abstractNum w:abstractNumId="102">
    <w:nsid w:val="5551B9F3"/>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9"/>
    </w:lvl>
    <w:lvl w:ilvl="3">
      <w:lvlJc w:val="left"/>
      <w:lvlText w:val="(%4)"/>
      <w:numFmt w:val="decimal"/>
      <w:start w:val="3"/>
    </w:lvl>
  </w:abstractNum>
  <w:abstractNum w:abstractNumId="103">
    <w:nsid w:val="24F6AB8E"/>
    <w:multiLevelType w:val="hybridMultilevel"/>
    <w:lvl w:ilvl="0">
      <w:lvlJc w:val="left"/>
      <w:lvlText w:val="%1"/>
      <w:numFmt w:val="lowerLetter"/>
      <w:start w:val="1"/>
    </w:lvl>
    <w:lvl w:ilvl="1">
      <w:lvlJc w:val="left"/>
      <w:lvlText w:val="(%2)"/>
      <w:numFmt w:val="lowerLetter"/>
      <w:start w:val="35"/>
    </w:lvl>
  </w:abstractNum>
  <w:abstractNum w:abstractNumId="104">
    <w:nsid w:val="634C574C"/>
    <w:multiLevelType w:val="hybridMultilevel"/>
    <w:lvl w:ilvl="0">
      <w:lvlJc w:val="left"/>
      <w:lvlText w:val="(%1)"/>
      <w:numFmt w:val="lowerLetter"/>
      <w:start w:val="5"/>
    </w:lvl>
    <w:lvl w:ilvl="1">
      <w:lvlJc w:val="left"/>
      <w:lvlText w:val="(%2)"/>
      <w:numFmt w:val="lowerLetter"/>
      <w:start w:val="9"/>
    </w:lvl>
  </w:abstractNum>
  <w:abstractNum w:abstractNumId="105">
    <w:nsid w:val="24E99DD7"/>
    <w:multiLevelType w:val="hybridMultilevel"/>
    <w:lvl w:ilvl="0">
      <w:lvlJc w:val="left"/>
      <w:lvlText w:val="%1"/>
      <w:numFmt w:val="decimal"/>
      <w:start w:val="1"/>
    </w:lvl>
    <w:lvl w:ilvl="1">
      <w:lvlJc w:val="left"/>
      <w:lvlText w:val="(%2)"/>
      <w:numFmt w:val="lowerRoman"/>
      <w:start w:val="2"/>
    </w:lvl>
  </w:abstractNum>
  <w:abstractNum w:abstractNumId="106">
    <w:nsid w:val="2A31B62D"/>
    <w:multiLevelType w:val="hybridMultilevel"/>
    <w:lvl w:ilvl="0">
      <w:lvlJc w:val="left"/>
      <w:lvlText w:val="%1."/>
      <w:numFmt w:val="decimal"/>
      <w:start w:val="12"/>
    </w:lvl>
    <w:lvl w:ilvl="1">
      <w:lvlJc w:val="left"/>
      <w:lvlText w:val="%2"/>
      <w:numFmt w:val="lowerRoman"/>
      <w:start w:val="1"/>
    </w:lvl>
  </w:abstractNum>
  <w:abstractNum w:abstractNumId="107">
    <w:nsid w:val="1849C29B"/>
    <w:multiLevelType w:val="hybridMultilevel"/>
    <w:lvl w:ilvl="0">
      <w:lvlJc w:val="left"/>
      <w:lvlText w:val="%1."/>
      <w:numFmt w:val="decimal"/>
      <w:start w:val="13"/>
    </w:lvl>
  </w:abstractNum>
  <w:abstractNum w:abstractNumId="108">
    <w:nsid w:val="7DFF9D09"/>
    <w:multiLevelType w:val="hybridMultilevel"/>
    <w:lvl w:ilvl="0">
      <w:lvlJc w:val="left"/>
      <w:lvlText w:val="%1."/>
      <w:numFmt w:val="decimal"/>
      <w:start w:val="14"/>
    </w:lvl>
  </w:abstractNum>
  <w:abstractNum w:abstractNumId="109">
    <w:nsid w:val="754342"/>
    <w:multiLevelType w:val="hybridMultilevel"/>
    <w:lvl w:ilvl="0">
      <w:lvlJc w:val="left"/>
      <w:lvlText w:val="(%1)"/>
      <w:numFmt w:val="lowerLetter"/>
      <w:start w:val="1"/>
    </w:lvl>
  </w:abstractNum>
  <w:abstractNum w:abstractNumId="110">
    <w:nsid w:val="69E7F3E5"/>
    <w:multiLevelType w:val="hybridMultilevel"/>
    <w:lvl w:ilvl="0">
      <w:lvlJc w:val="left"/>
      <w:lvlText w:val="(%1)"/>
      <w:numFmt w:val="lowerLetter"/>
      <w:start w:val="9"/>
    </w:lvl>
    <w:lvl w:ilvl="1">
      <w:lvlJc w:val="left"/>
      <w:lvlText w:val="(%2)"/>
      <w:numFmt w:val="lowerLetter"/>
      <w:start w:val="9"/>
    </w:lvl>
  </w:abstractNum>
  <w:abstractNum w:abstractNumId="111">
    <w:nsid w:val="2A6DE806"/>
    <w:multiLevelType w:val="hybridMultilevel"/>
    <w:lvl w:ilvl="0">
      <w:lvlJc w:val="left"/>
      <w:lvlText w:val="(%1)"/>
      <w:numFmt w:val="lowerRoman"/>
      <w:start w:val="2"/>
    </w:lvl>
  </w:abstractNum>
  <w:abstractNum w:abstractNumId="112">
    <w:nsid w:val="1816F8C4"/>
    <w:multiLevelType w:val="hybridMultilevel"/>
    <w:lvl w:ilvl="0">
      <w:lvlJc w:val="left"/>
      <w:lvlText w:val="(%1)"/>
      <w:numFmt w:val="lowerLetter"/>
      <w:start w:val="12"/>
    </w:lvl>
  </w:abstractNum>
  <w:abstractNum w:abstractNumId="113">
    <w:nsid w:val="37DF2233"/>
    <w:multiLevelType w:val="hybridMultilevel"/>
    <w:lvl w:ilvl="0">
      <w:lvlJc w:val="left"/>
      <w:lvlText w:val="(%1)"/>
      <w:numFmt w:val="lowerLetter"/>
      <w:start w:val="14"/>
    </w:lvl>
  </w:abstractNum>
  <w:abstractNum w:abstractNumId="114">
    <w:nsid w:val="7AB49DAF"/>
    <w:multiLevelType w:val="hybridMultilevel"/>
    <w:lvl w:ilvl="0">
      <w:lvlJc w:val="left"/>
      <w:lvlText w:val="(%1)"/>
      <w:numFmt w:val="lowerLetter"/>
      <w:start w:val="17"/>
    </w:lvl>
    <w:lvl w:ilvl="1">
      <w:lvlJc w:val="left"/>
      <w:lvlText w:val="(%2)"/>
      <w:numFmt w:val="lowerRoman"/>
      <w:start w:val="1"/>
    </w:lvl>
  </w:abstractNum>
  <w:abstractNum w:abstractNumId="115">
    <w:nsid w:val="759F82CD"/>
    <w:multiLevelType w:val="hybridMultilevel"/>
    <w:lvl w:ilvl="0">
      <w:lvlJc w:val="left"/>
      <w:lvlText w:val="(%1)"/>
      <w:numFmt w:val="lowerLetter"/>
      <w:start w:val="21"/>
    </w:lvl>
  </w:abstractNum>
  <w:abstractNum w:abstractNumId="116">
    <w:nsid w:val="61E74EA3"/>
    <w:multiLevelType w:val="hybridMultilevel"/>
    <w:lvl w:ilvl="0">
      <w:lvlJc w:val="left"/>
      <w:lvlText w:val="(%1)"/>
      <w:numFmt w:val="lowerLetter"/>
      <w:start w:val="24"/>
    </w:lvl>
  </w:abstractNum>
  <w:abstractNum w:abstractNumId="117">
    <w:nsid w:val="597B4D84"/>
    <w:multiLevelType w:val="hybridMultilevel"/>
    <w:lvl w:ilvl="0">
      <w:lvlJc w:val="left"/>
      <w:lvlText w:val="(%1)"/>
      <w:numFmt w:val="lowerRoman"/>
      <w:start w:val="1"/>
    </w:lvl>
  </w:abstractNum>
  <w:abstractNum w:abstractNumId="118">
    <w:nsid w:val="F819E7F"/>
    <w:multiLevelType w:val="hybridMultilevel"/>
    <w:lvl w:ilvl="0">
      <w:lvlJc w:val="left"/>
      <w:lvlText w:val="(%1)"/>
      <w:numFmt w:val="lowerRoman"/>
      <w:start w:val="2"/>
    </w:lvl>
  </w:abstractNum>
  <w:abstractNum w:abstractNumId="119">
    <w:nsid w:val="57C7D42D"/>
    <w:multiLevelType w:val="hybridMultilevel"/>
    <w:lvl w:ilvl="0">
      <w:lvlJc w:val="left"/>
      <w:lvlText w:val="(%1)"/>
      <w:numFmt w:val="lowerLetter"/>
      <w:start w:val="38"/>
    </w:lvl>
  </w:abstractNum>
  <w:abstractNum w:abstractNumId="120">
    <w:nsid w:val="312167AD"/>
    <w:multiLevelType w:val="hybridMultilevel"/>
    <w:lvl w:ilvl="0">
      <w:lvlJc w:val="left"/>
      <w:lvlText w:val="•"/>
      <w:numFmt w:val="bullet"/>
      <w:start w:val="1"/>
    </w:lvl>
  </w:abstractNum>
  <w:abstractNum w:abstractNumId="121">
    <w:nsid w:val="631B64D4"/>
    <w:multiLevelType w:val="hybridMultilevel"/>
    <w:lvl w:ilvl="0">
      <w:lvlJc w:val="left"/>
      <w:lvlText w:val="%1."/>
      <w:numFmt w:val="decimal"/>
      <w:start w:val="1"/>
    </w:lvl>
  </w:abstractNum>
  <w:abstractNum w:abstractNumId="122">
    <w:nsid w:val="78B5E776"/>
    <w:multiLevelType w:val="hybridMultilevel"/>
    <w:lvl w:ilvl="0">
      <w:lvlJc w:val="left"/>
      <w:lvlText w:val="(%1)"/>
      <w:numFmt w:val="lowerLetter"/>
      <w:start w:val="1"/>
    </w:lvl>
  </w:abstractNum>
  <w:abstractNum w:abstractNumId="123">
    <w:nsid w:val="75486E47"/>
    <w:multiLevelType w:val="hybridMultilevel"/>
    <w:lvl w:ilvl="0">
      <w:lvlJc w:val="left"/>
      <w:lvlText w:val="%1."/>
      <w:numFmt w:val="decimal"/>
      <w:start w:val="2"/>
    </w:lvl>
  </w:abstractNum>
  <w:abstractNum w:abstractNumId="124">
    <w:nsid w:val="6E534CDE"/>
    <w:multiLevelType w:val="hybridMultilevel"/>
    <w:lvl w:ilvl="0">
      <w:lvlJc w:val="left"/>
      <w:lvlText w:val="%1."/>
      <w:numFmt w:val="decimal"/>
      <w:start w:val="5"/>
    </w:lvl>
  </w:abstractNum>
  <w:abstractNum w:abstractNumId="125">
    <w:nsid w:val="1A0DDE32"/>
    <w:multiLevelType w:val="hybridMultilevel"/>
    <w:lvl w:ilvl="0">
      <w:lvlJc w:val="left"/>
      <w:lvlText w:val="(%1)"/>
      <w:numFmt w:val="lowerLetter"/>
      <w:start w:val="1"/>
    </w:lvl>
  </w:abstractNum>
  <w:abstractNum w:abstractNumId="126">
    <w:nsid w:val="65968C1C"/>
    <w:multiLevelType w:val="hybridMultilevel"/>
    <w:lvl w:ilvl="0">
      <w:lvlJc w:val="left"/>
      <w:lvlText w:val="%1."/>
      <w:numFmt w:val="decimal"/>
      <w:start w:val="6"/>
    </w:lvl>
  </w:abstractNum>
  <w:abstractNum w:abstractNumId="127">
    <w:nsid w:val="46263D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8">
    <w:nsid w:val="260D8C4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9">
    <w:nsid w:val="73D4D3C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30">
    <w:nsid w:val="746F2E3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1">
    <w:nsid w:val="6FDE8AF6"/>
    <w:multiLevelType w:val="hybridMultilevel"/>
    <w:lvl w:ilvl="0">
      <w:lvlJc w:val="left"/>
      <w:lvlText w:val="%1"/>
      <w:numFmt w:val="decimal"/>
      <w:start w:val="1"/>
    </w:lvl>
    <w:lvl w:ilvl="1">
      <w:lvlJc w:val="left"/>
      <w:lvlText w:val="(%2)"/>
      <w:numFmt w:val="lowerLetter"/>
      <w:start w:val="2"/>
    </w:lvl>
  </w:abstractNum>
  <w:abstractNum w:abstractNumId="132">
    <w:nsid w:val="3FC32E20"/>
    <w:multiLevelType w:val="hybridMultilevel"/>
    <w:lvl w:ilvl="0">
      <w:lvlJc w:val="left"/>
      <w:lvlText w:val="%1."/>
      <w:numFmt w:val="decimal"/>
      <w:start w:val="4"/>
    </w:lvl>
    <w:lvl w:ilvl="1">
      <w:lvlJc w:val="left"/>
      <w:lvlText w:val="(%2)"/>
      <w:numFmt w:val="lowerLetter"/>
      <w:start w:val="1"/>
    </w:lvl>
  </w:abstractNum>
  <w:abstractNum w:abstractNumId="133">
    <w:nsid w:val="49C0E823"/>
    <w:multiLevelType w:val="hybridMultilevel"/>
    <w:lvl w:ilvl="0">
      <w:lvlJc w:val="left"/>
      <w:lvlText w:val="(%1)"/>
      <w:numFmt w:val="lowerLetter"/>
      <w:start w:val="2"/>
    </w:lvl>
    <w:lvl w:ilvl="1">
      <w:lvlJc w:val="left"/>
      <w:lvlText w:val="(%2)"/>
      <w:numFmt w:val="lowerRoman"/>
      <w:start w:val="1"/>
    </w:lvl>
  </w:abstractNum>
  <w:abstractNum w:abstractNumId="134">
    <w:nsid w:val="14D53685"/>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35">
    <w:nsid w:val="230F856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6">
    <w:nsid w:val="6EAA85FB"/>
    <w:multiLevelType w:val="hybridMultilevel"/>
    <w:lvl w:ilvl="0">
      <w:lvlJc w:val="left"/>
      <w:lvlText w:val="%1"/>
      <w:numFmt w:val="decimal"/>
      <w:start w:val="1"/>
    </w:lvl>
    <w:lvl w:ilvl="1">
      <w:lvlJc w:val="left"/>
      <w:lvlText w:val="(%2)"/>
      <w:numFmt w:val="lowerLetter"/>
      <w:start w:val="2"/>
    </w:lvl>
  </w:abstractNum>
  <w:abstractNum w:abstractNumId="137">
    <w:nsid w:val="3F06ECB2"/>
    <w:multiLevelType w:val="hybridMultilevel"/>
    <w:lvl w:ilvl="0">
      <w:lvlJc w:val="left"/>
      <w:lvlText w:val="%1."/>
      <w:numFmt w:val="decimal"/>
      <w:start w:val="8"/>
    </w:lvl>
    <w:lvl w:ilvl="1">
      <w:lvlJc w:val="left"/>
      <w:lvlText w:val="(%2)"/>
      <w:numFmt w:val="lowerLetter"/>
      <w:start w:val="1"/>
    </w:lvl>
  </w:abstractNum>
  <w:abstractNum w:abstractNumId="138">
    <w:nsid w:val="3B594807"/>
    <w:multiLevelType w:val="hybridMultilevel"/>
    <w:lvl w:ilvl="0">
      <w:lvlJc w:val="left"/>
      <w:lvlText w:val="%1"/>
      <w:numFmt w:val="decimal"/>
      <w:start w:val="1"/>
    </w:lvl>
    <w:lvl w:ilvl="1">
      <w:lvlJc w:val="left"/>
      <w:lvlText w:val="(%2)"/>
      <w:numFmt w:val="lowerLetter"/>
      <w:start w:val="3"/>
    </w:lvl>
  </w:abstractNum>
  <w:abstractNum w:abstractNumId="139">
    <w:nsid w:val="6CAA2304"/>
    <w:multiLevelType w:val="hybridMultilevel"/>
    <w:lvl w:ilvl="0">
      <w:lvlJc w:val="left"/>
      <w:lvlText w:val="%1."/>
      <w:numFmt w:val="decimal"/>
      <w:start w:val="9"/>
    </w:lvl>
    <w:lvl w:ilvl="1">
      <w:lvlJc w:val="left"/>
      <w:lvlText w:val="%2"/>
      <w:numFmt w:val="lowerLetter"/>
      <w:start w:val="1"/>
    </w:lvl>
  </w:abstractNum>
  <w:abstractNum w:abstractNumId="140">
    <w:nsid w:val="3F7C2FF4"/>
    <w:multiLevelType w:val="hybridMultilevel"/>
    <w:lvl w:ilvl="0">
      <w:lvlJc w:val="left"/>
      <w:lvlText w:val="%1."/>
      <w:numFmt w:val="decimal"/>
      <w:start w:val="10"/>
    </w:lvl>
    <w:lvl w:ilvl="1">
      <w:lvlJc w:val="left"/>
      <w:lvlText w:val="(%2)"/>
      <w:numFmt w:val="lowerLetter"/>
      <w:start w:val="1"/>
    </w:lvl>
  </w:abstractNum>
  <w:abstractNum w:abstractNumId="141">
    <w:nsid w:val="25413BEC"/>
    <w:multiLevelType w:val="hybridMultilevel"/>
    <w:lvl w:ilvl="0">
      <w:lvlJc w:val="left"/>
      <w:lvlText w:val="%1"/>
      <w:numFmt w:val="decimal"/>
      <w:start w:val="1"/>
    </w:lvl>
    <w:lvl w:ilvl="1">
      <w:lvlJc w:val="left"/>
      <w:lvlText w:val="(%2)"/>
      <w:numFmt w:val="lowerLetter"/>
      <w:start w:val="2"/>
    </w:lvl>
  </w:abstractNum>
  <w:abstractNum w:abstractNumId="142">
    <w:nsid w:val="17180B0B"/>
    <w:multiLevelType w:val="hybridMultilevel"/>
    <w:lvl w:ilvl="0">
      <w:lvlJc w:val="left"/>
      <w:lvlText w:val="%1."/>
      <w:numFmt w:val="decimal"/>
      <w:start w:val="12"/>
    </w:lvl>
    <w:lvl w:ilvl="1">
      <w:lvlJc w:val="left"/>
      <w:lvlText w:val="(%2)"/>
      <w:numFmt w:val="lowerLetter"/>
      <w:start w:val="1"/>
    </w:lvl>
  </w:abstractNum>
  <w:abstractNum w:abstractNumId="143">
    <w:nsid w:val="579328B9"/>
    <w:multiLevelType w:val="hybridMultilevel"/>
    <w:lvl w:ilvl="0">
      <w:lvlJc w:val="left"/>
      <w:lvlText w:val="%1."/>
      <w:numFmt w:val="decimal"/>
      <w:start w:val="13"/>
    </w:lvl>
    <w:lvl w:ilvl="1">
      <w:lvlJc w:val="left"/>
      <w:lvlText w:val="(%2)"/>
      <w:numFmt w:val="lowerLetter"/>
      <w:start w:val="1"/>
    </w:lvl>
  </w:abstractNum>
  <w:abstractNum w:abstractNumId="144">
    <w:nsid w:val="5D205E20"/>
    <w:multiLevelType w:val="hybridMultilevel"/>
    <w:lvl w:ilvl="0">
      <w:lvlJc w:val="left"/>
      <w:lvlText w:val="%1."/>
      <w:numFmt w:val="decimal"/>
      <w:start w:val="15"/>
    </w:lvl>
    <w:lvl w:ilvl="1">
      <w:lvlJc w:val="left"/>
      <w:lvlText w:val="(%2)"/>
      <w:numFmt w:val="lowerLetter"/>
      <w:start w:val="1"/>
    </w:lvl>
  </w:abstractNum>
  <w:abstractNum w:abstractNumId="145">
    <w:nsid w:val="11CCA8BA"/>
    <w:multiLevelType w:val="hybridMultilevel"/>
    <w:lvl w:ilvl="0">
      <w:lvlJc w:val="left"/>
      <w:lvlText w:val="%1"/>
      <w:numFmt w:val="decimal"/>
      <w:start w:val="1"/>
    </w:lvl>
    <w:lvl w:ilvl="1">
      <w:lvlJc w:val="left"/>
      <w:lvlText w:val="(%2)"/>
      <w:numFmt w:val="lowerLetter"/>
      <w:start w:val="6"/>
    </w:lvl>
  </w:abstractNum>
  <w:abstractNum w:abstractNumId="146">
    <w:nsid w:val="4D32AB86"/>
    <w:multiLevelType w:val="hybridMultilevel"/>
    <w:lvl w:ilvl="0">
      <w:lvlJc w:val="left"/>
      <w:lvlText w:val="%1."/>
      <w:numFmt w:val="decimal"/>
      <w:start w:val="16"/>
    </w:lvl>
    <w:lvl w:ilvl="1">
      <w:lvlJc w:val="left"/>
      <w:lvlText w:val="%2"/>
      <w:numFmt w:val="lowerLetter"/>
      <w:start w:val="1"/>
    </w:lvl>
  </w:abstractNum>
  <w:abstractNum w:abstractNumId="147">
    <w:nsid w:val="3F07ACC3"/>
    <w:multiLevelType w:val="hybridMultilevel"/>
    <w:lvl w:ilvl="0">
      <w:lvlJc w:val="left"/>
      <w:lvlText w:val="(%1)"/>
      <w:numFmt w:val="lowerLetter"/>
      <w:start w:val="1"/>
    </w:lvl>
  </w:abstractNum>
  <w:abstractNum w:abstractNumId="148">
    <w:nsid w:val="6B47F63E"/>
    <w:multiLevelType w:val="hybridMultilevel"/>
    <w:lvl w:ilvl="0">
      <w:lvlJc w:val="left"/>
      <w:lvlText w:val="(%1)"/>
      <w:numFmt w:val="lowerLetter"/>
      <w:start w:val="12"/>
    </w:lvl>
  </w:abstractNum>
  <w:abstractNum w:abstractNumId="149">
    <w:nsid w:val="5CB44A05"/>
    <w:multiLevelType w:val="hybridMultilevel"/>
    <w:lvl w:ilvl="0">
      <w:lvlJc w:val="left"/>
      <w:lvlText w:val="%1"/>
      <w:numFmt w:val="lowerLetter"/>
      <w:start w:val="1"/>
    </w:lvl>
    <w:lvl w:ilvl="1">
      <w:lvlJc w:val="left"/>
      <w:lvlText w:val="(%2)"/>
      <w:numFmt w:val="lowerRoman"/>
      <w:start w:val="1"/>
    </w:lvl>
  </w:abstractNum>
  <w:abstractNum w:abstractNumId="150">
    <w:nsid w:val="16CF80F1"/>
    <w:multiLevelType w:val="hybridMultilevel"/>
    <w:lvl w:ilvl="0">
      <w:lvlJc w:val="left"/>
      <w:lvlText w:val="(%1)"/>
      <w:numFmt w:val="lowerLetter"/>
      <w:start w:val="14"/>
    </w:lvl>
    <w:lvl w:ilvl="1">
      <w:lvlJc w:val="left"/>
      <w:lvlText w:val="%2"/>
      <w:numFmt w:val="lowerRoman"/>
      <w:start w:val="1"/>
    </w:lvl>
  </w:abstractNum>
  <w:abstractNum w:abstractNumId="151">
    <w:nsid w:val="1C695DEC"/>
    <w:multiLevelType w:val="hybridMultilevel"/>
    <w:lvl w:ilvl="0">
      <w:lvlJc w:val="left"/>
      <w:lvlText w:val="(%1)"/>
      <w:numFmt w:val="lowerLetter"/>
      <w:start w:val="20"/>
    </w:lvl>
    <w:lvl w:ilvl="1">
      <w:lvlJc w:val="left"/>
      <w:lvlText w:val="(%2)"/>
      <w:numFmt w:val="lowerRoman"/>
      <w:start w:val="1"/>
    </w:lvl>
  </w:abstractNum>
  <w:abstractNum w:abstractNumId="152">
    <w:nsid w:val="3FCFAED9"/>
    <w:multiLevelType w:val="hybridMultilevel"/>
    <w:lvl w:ilvl="0">
      <w:lvlJc w:val="left"/>
      <w:lvlText w:val="(%1)"/>
      <w:numFmt w:val="lowerLetter"/>
      <w:start w:val="24"/>
    </w:lvl>
  </w:abstractNum>
  <w:abstractNum w:abstractNumId="153">
    <w:nsid w:val="F856867"/>
    <w:multiLevelType w:val="hybridMultilevel"/>
    <w:lvl w:ilvl="0">
      <w:lvlJc w:val="left"/>
      <w:lvlText w:val="(%1)"/>
      <w:numFmt w:val="lowerLetter"/>
      <w:start w:val="29"/>
    </w:lvl>
  </w:abstractNum>
  <w:abstractNum w:abstractNumId="154">
    <w:nsid w:val="11B1CC33"/>
    <w:multiLevelType w:val="hybridMultilevel"/>
    <w:lvl w:ilvl="0">
      <w:lvlJc w:val="left"/>
      <w:lvlText w:val="(%1)"/>
      <w:numFmt w:val="lowerRoman"/>
      <w:start w:val="2"/>
    </w:lvl>
  </w:abstractNum>
  <w:abstractNum w:abstractNumId="155">
    <w:nsid w:val="2E22FBB7"/>
    <w:multiLevelType w:val="hybridMultilevel"/>
    <w:lvl w:ilvl="0">
      <w:lvlJc w:val="left"/>
      <w:lvlText w:val="%1."/>
      <w:numFmt w:val="decimal"/>
      <w:start w:val="1"/>
    </w:lvl>
    <w:lvl w:ilvl="1">
      <w:lvlJc w:val="left"/>
      <w:lvlText w:val="(%2)"/>
      <w:numFmt w:val="lowerLetter"/>
      <w:start w:val="1"/>
    </w:lvl>
  </w:abstractNum>
  <w:abstractNum w:abstractNumId="156">
    <w:nsid w:val="29934699"/>
    <w:multiLevelType w:val="hybridMultilevel"/>
    <w:lvl w:ilvl="0">
      <w:lvlJc w:val="left"/>
      <w:lvlText w:val="%1."/>
      <w:numFmt w:val="decimal"/>
      <w:start w:val="1"/>
    </w:lvl>
    <w:lvl w:ilvl="1">
      <w:lvlJc w:val="left"/>
      <w:lvlText w:val="(%2)"/>
      <w:numFmt w:val="lowerLetter"/>
      <w:start w:val="1"/>
    </w:lvl>
  </w:abstractNum>
  <w:abstractNum w:abstractNumId="157">
    <w:nsid w:val="77485850"/>
    <w:multiLevelType w:val="hybridMultilevel"/>
    <w:lvl w:ilvl="0">
      <w:lvlJc w:val="left"/>
      <w:lvlText w:val="(%1)"/>
      <w:numFmt w:val="decimal"/>
      <w:start w:val="1"/>
    </w:lvl>
  </w:abstractNum>
  <w:abstractNum w:abstractNumId="158">
    <w:nsid w:val="744939A3"/>
    <w:multiLevelType w:val="hybridMultilevel"/>
    <w:lvl w:ilvl="0">
      <w:lvlJc w:val="left"/>
      <w:lvlText w:val="(%1)"/>
      <w:numFmt w:val="decimal"/>
      <w:start w:val="1"/>
    </w:lvl>
  </w:abstractNum>
  <w:abstractNum w:abstractNumId="159">
    <w:nsid w:val="4FA0D2E3"/>
    <w:multiLevelType w:val="hybridMultilevel"/>
    <w:lvl w:ilvl="0">
      <w:lvlJc w:val="left"/>
      <w:lvlText w:val="%1."/>
      <w:numFmt w:val="decimal"/>
      <w:start w:val="1"/>
    </w:lvl>
  </w:abstractNum>
  <w:abstractNum w:abstractNumId="160">
    <w:nsid w:val="6B1D2C14"/>
    <w:multiLevelType w:val="hybridMultilevel"/>
    <w:lvl w:ilvl="0">
      <w:lvlJc w:val="left"/>
      <w:lvlText w:val="%1."/>
      <w:numFmt w:val="decimal"/>
      <w:start w:val="2"/>
    </w:lvl>
  </w:abstractNum>
  <w:abstractNum w:abstractNumId="161">
    <w:nsid w:val="68B867D3"/>
    <w:multiLevelType w:val="hybridMultilevel"/>
    <w:lvl w:ilvl="0">
      <w:lvlJc w:val="left"/>
      <w:lvlText w:val="%1."/>
      <w:numFmt w:val="decimal"/>
      <w:start w:val="3"/>
    </w:lvl>
  </w:abstractNum>
  <w:abstractNum w:abstractNumId="162">
    <w:nsid w:val="3F7F5DD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63">
    <w:nsid w:val="2AE05A34"/>
    <w:multiLevelType w:val="hybridMultilevel"/>
    <w:lvl w:ilvl="0">
      <w:lvlJc w:val="left"/>
      <w:lvlText w:val="%1"/>
      <w:numFmt w:val="lowerLetter"/>
      <w:start w:val="1"/>
    </w:lvl>
    <w:lvl w:ilvl="1">
      <w:lvlJc w:val="left"/>
      <w:lvlText w:val="(%2)"/>
      <w:numFmt w:val="lowerLetter"/>
      <w:start w:val="35"/>
    </w:lvl>
  </w:abstractNum>
  <w:abstractNum w:abstractNumId="164">
    <w:nsid w:val="32794FF7"/>
    <w:multiLevelType w:val="hybridMultilevel"/>
    <w:lvl w:ilvl="0">
      <w:lvlJc w:val="left"/>
      <w:lvlText w:val="(%1)"/>
      <w:numFmt w:val="lowerLetter"/>
      <w:start w:val="4"/>
    </w:lvl>
    <w:lvl w:ilvl="1">
      <w:lvlJc w:val="left"/>
      <w:lvlText w:val="%2"/>
      <w:numFmt w:val="lowerLetter"/>
      <w:start w:val="1"/>
    </w:lvl>
  </w:abstractNum>
  <w:abstractNum w:abstractNumId="165">
    <w:nsid w:val="5454945E"/>
    <w:multiLevelType w:val="hybridMultilevel"/>
    <w:lvl w:ilvl="0">
      <w:lvlJc w:val="left"/>
      <w:lvlText w:val="%1"/>
      <w:numFmt w:val="decimal"/>
      <w:start w:val="1"/>
    </w:lvl>
    <w:lvl w:ilvl="1">
      <w:lvlJc w:val="left"/>
      <w:lvlText w:val="(%2)"/>
      <w:numFmt w:val="lowerLetter"/>
      <w:start w:val="5"/>
    </w:lvl>
  </w:abstractNum>
  <w:abstractNum w:abstractNumId="166">
    <w:nsid w:val="4DEFDFA0"/>
    <w:multiLevelType w:val="hybridMultilevel"/>
    <w:lvl w:ilvl="0">
      <w:lvlJc w:val="left"/>
      <w:lvlText w:val="%1."/>
      <w:numFmt w:val="decimal"/>
      <w:start w:val="5"/>
    </w:lvl>
    <w:lvl w:ilvl="1">
      <w:lvlJc w:val="left"/>
      <w:lvlText w:val="%2"/>
      <w:numFmt w:val="lowerLetter"/>
      <w:start w:val="1"/>
    </w:lvl>
  </w:abstractNum>
  <w:abstractNum w:abstractNumId="167">
    <w:nsid w:val="2123D5F2"/>
    <w:multiLevelType w:val="hybridMultilevel"/>
    <w:lvl w:ilvl="0">
      <w:lvlJc w:val="left"/>
      <w:lvlText w:val="%1."/>
      <w:numFmt w:val="decimal"/>
      <w:start w:val="6"/>
    </w:lvl>
  </w:abstractNum>
  <w:abstractNum w:abstractNumId="168">
    <w:nsid w:val="135B8110"/>
    <w:multiLevelType w:val="hybridMultilevel"/>
    <w:lvl w:ilvl="0">
      <w:lvlJc w:val="left"/>
      <w:lvlText w:val="%1."/>
      <w:numFmt w:val="decimal"/>
      <w:start w:val="7"/>
    </w:lvl>
  </w:abstractNum>
  <w:abstractNum w:abstractNumId="169">
    <w:nsid w:val="94927A8"/>
    <w:multiLevelType w:val="hybridMultilevel"/>
    <w:lvl w:ilvl="0">
      <w:lvlJc w:val="left"/>
      <w:lvlText w:val="%1."/>
      <w:numFmt w:val="decimal"/>
      <w:start w:val="8"/>
    </w:lvl>
  </w:abstractNum>
  <w:abstractNum w:abstractNumId="170">
    <w:nsid w:val="DCDF8F6"/>
    <w:multiLevelType w:val="hybridMultilevel"/>
    <w:lvl w:ilvl="0">
      <w:lvlJc w:val="left"/>
      <w:lvlText w:val="%1."/>
      <w:numFmt w:val="decimal"/>
      <w:start w:val="9"/>
    </w:lvl>
  </w:abstractNum>
  <w:abstractNum w:abstractNumId="171">
    <w:nsid w:val="52D7B105"/>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279" Type="http://schemas.openxmlformats.org/officeDocument/2006/relationships/image" Target="media/image252.png"/><Relationship Id="rId280" Type="http://schemas.openxmlformats.org/officeDocument/2006/relationships/image" Target="media/image253.png"/><Relationship Id="rId281" Type="http://schemas.openxmlformats.org/officeDocument/2006/relationships/image" Target="media/image254.png"/><Relationship Id="rId282" Type="http://schemas.openxmlformats.org/officeDocument/2006/relationships/image" Target="media/image255.png"/><Relationship Id="rId283" Type="http://schemas.openxmlformats.org/officeDocument/2006/relationships/image" Target="media/image256.png"/><Relationship Id="rId284" Type="http://schemas.openxmlformats.org/officeDocument/2006/relationships/image" Target="media/image257.png"/><Relationship Id="rId285" Type="http://schemas.openxmlformats.org/officeDocument/2006/relationships/image" Target="media/image258.png"/><Relationship Id="rId286" Type="http://schemas.openxmlformats.org/officeDocument/2006/relationships/image" Target="media/image259.png"/><Relationship Id="rId287" Type="http://schemas.openxmlformats.org/officeDocument/2006/relationships/image" Target="media/image260.png"/><Relationship Id="rId288" Type="http://schemas.openxmlformats.org/officeDocument/2006/relationships/image" Target="media/image261.png"/><Relationship Id="rId289" Type="http://schemas.openxmlformats.org/officeDocument/2006/relationships/image" Target="media/image262.png"/><Relationship Id="rId290" Type="http://schemas.openxmlformats.org/officeDocument/2006/relationships/image" Target="media/image263.png"/><Relationship Id="rId291" Type="http://schemas.openxmlformats.org/officeDocument/2006/relationships/image" Target="media/image264.png"/><Relationship Id="rId292" Type="http://schemas.openxmlformats.org/officeDocument/2006/relationships/image" Target="media/image265.png"/><Relationship Id="rId293" Type="http://schemas.openxmlformats.org/officeDocument/2006/relationships/image" Target="media/image266.png"/><Relationship Id="rId294" Type="http://schemas.openxmlformats.org/officeDocument/2006/relationships/image" Target="media/image267.png"/><Relationship Id="rId295" Type="http://schemas.openxmlformats.org/officeDocument/2006/relationships/image" Target="media/image268.png"/><Relationship Id="rId296" Type="http://schemas.openxmlformats.org/officeDocument/2006/relationships/image" Target="media/image269.png"/><Relationship Id="rId297" Type="http://schemas.openxmlformats.org/officeDocument/2006/relationships/image" Target="media/image270.png"/><Relationship Id="rId298" Type="http://schemas.openxmlformats.org/officeDocument/2006/relationships/image" Target="media/image271.png"/><Relationship Id="rId299" Type="http://schemas.openxmlformats.org/officeDocument/2006/relationships/image" Target="media/image272.png"/><Relationship Id="rId300" Type="http://schemas.openxmlformats.org/officeDocument/2006/relationships/image" Target="media/image273.png"/><Relationship Id="rId301" Type="http://schemas.openxmlformats.org/officeDocument/2006/relationships/image" Target="media/image274.png"/><Relationship Id="rId302" Type="http://schemas.openxmlformats.org/officeDocument/2006/relationships/image" Target="media/image275.png"/><Relationship Id="rId303" Type="http://schemas.openxmlformats.org/officeDocument/2006/relationships/image" Target="media/image276.png"/><Relationship Id="rId304" Type="http://schemas.openxmlformats.org/officeDocument/2006/relationships/image" Target="media/image277.png"/><Relationship Id="rId305" Type="http://schemas.openxmlformats.org/officeDocument/2006/relationships/image" Target="media/image278.png"/><Relationship Id="rId306" Type="http://schemas.openxmlformats.org/officeDocument/2006/relationships/image" Target="media/image279.png"/><Relationship Id="rId307" Type="http://schemas.openxmlformats.org/officeDocument/2006/relationships/image" Target="media/image280.png"/><Relationship Id="rId308" Type="http://schemas.openxmlformats.org/officeDocument/2006/relationships/image" Target="media/image281.png"/><Relationship Id="rId309" Type="http://schemas.openxmlformats.org/officeDocument/2006/relationships/image" Target="media/image282.png"/><Relationship Id="rId310" Type="http://schemas.openxmlformats.org/officeDocument/2006/relationships/image" Target="media/image283.png"/><Relationship Id="rId311" Type="http://schemas.openxmlformats.org/officeDocument/2006/relationships/image" Target="media/image284.png"/><Relationship Id="rId312" Type="http://schemas.openxmlformats.org/officeDocument/2006/relationships/image" Target="media/image285.png"/><Relationship Id="rId313" Type="http://schemas.openxmlformats.org/officeDocument/2006/relationships/image" Target="media/image286.png"/><Relationship Id="rId314" Type="http://schemas.openxmlformats.org/officeDocument/2006/relationships/image" Target="media/image287.png"/><Relationship Id="rId315" Type="http://schemas.openxmlformats.org/officeDocument/2006/relationships/image" Target="media/image288.png"/><Relationship Id="rId316" Type="http://schemas.openxmlformats.org/officeDocument/2006/relationships/image" Target="media/image289.png"/><Relationship Id="rId317" Type="http://schemas.openxmlformats.org/officeDocument/2006/relationships/image" Target="media/image290.png"/><Relationship Id="rId318" Type="http://schemas.openxmlformats.org/officeDocument/2006/relationships/image" Target="media/image291.png"/><Relationship Id="rId319" Type="http://schemas.openxmlformats.org/officeDocument/2006/relationships/image" Target="media/image292.png"/><Relationship Id="rId320" Type="http://schemas.openxmlformats.org/officeDocument/2006/relationships/image" Target="media/image293.png"/><Relationship Id="rId321" Type="http://schemas.openxmlformats.org/officeDocument/2006/relationships/image" Target="media/image294.png"/><Relationship Id="rId322" Type="http://schemas.openxmlformats.org/officeDocument/2006/relationships/image" Target="media/image295.png"/><Relationship Id="rId323" Type="http://schemas.openxmlformats.org/officeDocument/2006/relationships/image" Target="media/image296.png"/><Relationship Id="rId324" Type="http://schemas.openxmlformats.org/officeDocument/2006/relationships/image" Target="media/image297.png"/><Relationship Id="rId325" Type="http://schemas.openxmlformats.org/officeDocument/2006/relationships/image" Target="media/image298.png"/><Relationship Id="rId326" Type="http://schemas.openxmlformats.org/officeDocument/2006/relationships/image" Target="media/image299.png"/><Relationship Id="rId327" Type="http://schemas.openxmlformats.org/officeDocument/2006/relationships/image" Target="media/image300.png"/><Relationship Id="rId328" Type="http://schemas.openxmlformats.org/officeDocument/2006/relationships/image" Target="media/image301.png"/><Relationship Id="rId329" Type="http://schemas.openxmlformats.org/officeDocument/2006/relationships/image" Target="media/image302.png"/><Relationship Id="rId330" Type="http://schemas.openxmlformats.org/officeDocument/2006/relationships/image" Target="media/image303.png"/><Relationship Id="rId331" Type="http://schemas.openxmlformats.org/officeDocument/2006/relationships/image" Target="media/image304.png"/><Relationship Id="rId332" Type="http://schemas.openxmlformats.org/officeDocument/2006/relationships/image" Target="media/image305.png"/><Relationship Id="rId333" Type="http://schemas.openxmlformats.org/officeDocument/2006/relationships/image" Target="media/image306.png"/><Relationship Id="rId334" Type="http://schemas.openxmlformats.org/officeDocument/2006/relationships/image" Target="media/image307.png"/><Relationship Id="rId335" Type="http://schemas.openxmlformats.org/officeDocument/2006/relationships/image" Target="media/image308.png"/><Relationship Id="rId336" Type="http://schemas.openxmlformats.org/officeDocument/2006/relationships/image" Target="media/image309.png"/><Relationship Id="rId337" Type="http://schemas.openxmlformats.org/officeDocument/2006/relationships/image" Target="media/image310.png"/><Relationship Id="rId338" Type="http://schemas.openxmlformats.org/officeDocument/2006/relationships/image" Target="media/image311.png"/><Relationship Id="rId339" Type="http://schemas.openxmlformats.org/officeDocument/2006/relationships/image" Target="media/image312.png"/><Relationship Id="rId340" Type="http://schemas.openxmlformats.org/officeDocument/2006/relationships/image" Target="media/image313.png"/><Relationship Id="rId341" Type="http://schemas.openxmlformats.org/officeDocument/2006/relationships/image" Target="media/image314.png"/><Relationship Id="rId342" Type="http://schemas.openxmlformats.org/officeDocument/2006/relationships/image" Target="media/image315.png"/><Relationship Id="rId343" Type="http://schemas.openxmlformats.org/officeDocument/2006/relationships/image" Target="media/image316.png"/><Relationship Id="rId344" Type="http://schemas.openxmlformats.org/officeDocument/2006/relationships/image" Target="media/image317.png"/><Relationship Id="rId345" Type="http://schemas.openxmlformats.org/officeDocument/2006/relationships/image" Target="media/image318.png"/><Relationship Id="rId346" Type="http://schemas.openxmlformats.org/officeDocument/2006/relationships/image" Target="media/image319.png"/><Relationship Id="rId347" Type="http://schemas.openxmlformats.org/officeDocument/2006/relationships/image" Target="media/image320.png"/><Relationship Id="rId348" Type="http://schemas.openxmlformats.org/officeDocument/2006/relationships/image" Target="media/image321.png"/><Relationship Id="rId349" Type="http://schemas.openxmlformats.org/officeDocument/2006/relationships/image" Target="media/image322.png"/><Relationship Id="rId350" Type="http://schemas.openxmlformats.org/officeDocument/2006/relationships/image" Target="media/image323.png"/><Relationship Id="rId351" Type="http://schemas.openxmlformats.org/officeDocument/2006/relationships/image" Target="media/image324.png"/><Relationship Id="rId352" Type="http://schemas.openxmlformats.org/officeDocument/2006/relationships/image" Target="media/image325.png"/><Relationship Id="rId130" Type="http://schemas.openxmlformats.org/officeDocument/2006/relationships/hyperlink" Target="https://www.sec.gov/Archives/edgar/data/1880438/000119312522066048/d211954dex32.htm" TargetMode="External"/><Relationship Id="rId131" Type="http://schemas.openxmlformats.org/officeDocument/2006/relationships/hyperlink" Target="https://www.sec.gov/Archives/edgar/data/1880438/000119312522066048/d211954dex34.htm" TargetMode="External"/><Relationship Id="rId132" Type="http://schemas.openxmlformats.org/officeDocument/2006/relationships/hyperlink" Target="https://www.sec.gov/Archives/edgar/data/1880438/000119312522080012/d211954dex41.htm" TargetMode="External"/><Relationship Id="rId133" Type="http://schemas.openxmlformats.org/officeDocument/2006/relationships/hyperlink" Target="https://www.sec.gov/Archives/edgar/data/1880438/000119312522066048/d211954dex42.htm" TargetMode="External"/><Relationship Id="rId134" Type="http://schemas.openxmlformats.org/officeDocument/2006/relationships/hyperlink" Target="https://www.sec.gov/Archives/edgar/data/1880438/000095017023010627/antx-ex4_3.htm" TargetMode="External"/><Relationship Id="rId135" Type="http://schemas.openxmlformats.org/officeDocument/2006/relationships/hyperlink" Target="https://www.sec.gov/Archives/edgar/data/1880438/000119312522066048/d211954dex101.htm" TargetMode="External"/><Relationship Id="rId136" Type="http://schemas.openxmlformats.org/officeDocument/2006/relationships/hyperlink" Target="https://www.sec.gov/Archives/edgar/data/1880438/000119312522066048/d211954dex102.htm" TargetMode="External"/><Relationship Id="rId137" Type="http://schemas.openxmlformats.org/officeDocument/2006/relationships/hyperlink" Target="https://www.sec.gov/Archives/edgar/data/1880438/000119312522066048/d211954dex104.htm" TargetMode="External"/><Relationship Id="rId138" Type="http://schemas.openxmlformats.org/officeDocument/2006/relationships/hyperlink" Target="https://www.sec.gov/Archives/edgar/data/1880438/000119312522066048/d211954dex107.htm" TargetMode="External"/><Relationship Id="rId139" Type="http://schemas.openxmlformats.org/officeDocument/2006/relationships/hyperlink" Target="https://www.sec.gov/Archives/edgar/data/1880438/000119312522066048/d211954dex108.htm" TargetMode="External"/><Relationship Id="rId140" Type="http://schemas.openxmlformats.org/officeDocument/2006/relationships/hyperlink" Target="https://www.sec.gov/Archives/edgar/data/1880438/000119312522066048/d211954dex109.htm" TargetMode="External"/><Relationship Id="rId141" Type="http://schemas.openxmlformats.org/officeDocument/2006/relationships/hyperlink" Target="https://www.sec.gov/Archives/edgar/data/1880438/000119312522066048/d211954dex1010.htm" TargetMode="External"/><Relationship Id="rId142" Type="http://schemas.openxmlformats.org/officeDocument/2006/relationships/hyperlink" Target="https://www.sec.gov/Archives/edgar/data/1880438/000119312522066048/d211954dex1011.htm" TargetMode="External"/><Relationship Id="rId143" Type="http://schemas.openxmlformats.org/officeDocument/2006/relationships/hyperlink" Target="https://www.sec.gov/Archives/edgar/data/1880438/000119312522066048/d211954dex1012.htm" TargetMode="External"/><Relationship Id="rId144" Type="http://schemas.openxmlformats.org/officeDocument/2006/relationships/hyperlink" Target="https://www.sec.gov/Archives/edgar/data/1880438/000119312522066048/d211954dex1013.htm" TargetMode="External"/><Relationship Id="rId145" Type="http://schemas.openxmlformats.org/officeDocument/2006/relationships/hyperlink" Target="https://www.sec.gov/Archives/edgar/data/1880438/000119312522066048/d211954dex1014.htm" TargetMode="External"/><Relationship Id="rId146" Type="http://schemas.openxmlformats.org/officeDocument/2006/relationships/hyperlink" Target="https://www.sec.gov/Archives/edgar/data/1880438/000119312522066048/d211954dex1015.htm" TargetMode="External"/><Relationship Id="rId147" Type="http://schemas.openxmlformats.org/officeDocument/2006/relationships/hyperlink" Target="https://www.sec.gov/Archives/edgar/data/1880438/000095017022023901/antx-ex10_1.htm" TargetMode="External"/><Relationship Id="rId148" Type="http://schemas.openxmlformats.org/officeDocument/2006/relationships/hyperlink" Target="https://www.sec.gov/Archives/edgar/data/1880438/000095017023010627/antx-ex10_17.htm" TargetMode="External"/><Relationship Id="rId149" Type="http://schemas.openxmlformats.org/officeDocument/2006/relationships/hyperlink" Target="https://www.sec.gov/Archives/edgar/data/1880438/000095017023010627/antx-ex10_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2024-03-29T15:40:54Z</dcterms:created>
  <dcterms:modified xsi:type="dcterms:W3CDTF">2024-03-29T15:40:54Z</dcterms:modified>
</cp:coreProperties>
</file>