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AN2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08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001-41331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82-0606654</w:t>
            </w:r>
          </w:p>
        </w:tc>
      </w:tr>
      <w:tr>
        <w:trPr>
          <w:trHeight w:val="149"/>
        </w:trPr>
        <w:tc>
          <w:tcPr>
            <w:tcW w:w="308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8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8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1300 El Camino Real, Suite 100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8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178"/>
        </w:trPr>
        <w:tc>
          <w:tcPr>
            <w:tcW w:w="308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650 331-9090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3, 2026, AN2 Therapeutics, Inc. (the “Company”) held its 2026 annual meeting of stockholders (the “Annual Meeting”). Present at the beginning of the Annual Meeting in person or via proxy were the holders of 22,741,535 shares of common stock of the Company, representing 63.18% of the 35,995,545 shares of common stock outstanding as of the close of business on April 15, 2026, the record date for the Annual Meeting, and constituting a quorum for the transaction of business.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voted on two proposals, each of which is described in more detail in the Company’s definitive proxy statement on Schedule 14A filed with the U.S. Securities and Exchange Commission on April 22, 2026. The following is a brief description of each matter voted upon and the certified results, including the number of votes cast for or against each matter and, if applicable, the number of votes withheld, abstentions and broker non-votes with respect to each matter.</w:t>
      </w:r>
    </w:p>
    <w:p>
      <w:pPr>
        <w:spacing w:after="0" w:line="72" w:lineRule="exact"/>
        <w:rPr>
          <w:sz w:val="20"/>
          <w:szCs w:val="20"/>
          <w:color w:val="auto"/>
        </w:rPr>
      </w:pPr>
    </w:p>
    <w:p>
      <w:pPr>
        <w:ind w:left="1020" w:right="3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nominees Kabeer Aziz, Gilbert Lynn Marks, M.D. and Rob Readnour, Ph.D. as Class I directors until the Company’s 2029 annual meeting of stockholders or until their respective successors have been elected or appointed. The voting results were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w:t>
            </w:r>
          </w:p>
        </w:tc>
      </w:tr>
      <w:tr>
        <w:trPr>
          <w:trHeight w:val="218"/>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Non-Votes</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Kabeer Aziz</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13,547,536</w:t>
            </w:r>
          </w:p>
        </w:tc>
        <w:tc>
          <w:tcPr>
            <w:tcW w:w="15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3,958,874</w:t>
            </w:r>
          </w:p>
        </w:tc>
        <w:tc>
          <w:tcPr>
            <w:tcW w:w="14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5,235,125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Gilbert Lynn Marks, M.D.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15,947,854</w:t>
            </w:r>
          </w:p>
        </w:tc>
        <w:tc>
          <w:tcPr>
            <w:tcW w:w="1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1,558,556</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5,235,125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 Readnour, Ph.D.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15,920,563</w:t>
            </w:r>
          </w:p>
        </w:tc>
        <w:tc>
          <w:tcPr>
            <w:tcW w:w="15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1,585,847</w:t>
            </w:r>
          </w:p>
        </w:tc>
        <w:tc>
          <w:tcPr>
            <w:tcW w:w="14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5,235,125</w:t>
            </w:r>
          </w:p>
        </w:tc>
      </w:tr>
    </w:tbl>
    <w:p>
      <w:pPr>
        <w:spacing w:after="0" w:line="306" w:lineRule="exact"/>
        <w:rPr>
          <w:sz w:val="20"/>
          <w:szCs w:val="20"/>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2026. The voting results were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00" w:type="dxa"/>
            <w:vAlign w:val="bottom"/>
          </w:tcPr>
          <w:p>
            <w:pPr>
              <w:spacing w:after="0"/>
              <w:rPr>
                <w:sz w:val="18"/>
                <w:szCs w:val="18"/>
                <w:color w:val="auto"/>
              </w:rPr>
            </w:pPr>
          </w:p>
        </w:tc>
        <w:tc>
          <w:tcPr>
            <w:tcW w:w="29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0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Abstentions</w:t>
            </w:r>
          </w:p>
        </w:tc>
      </w:tr>
      <w:tr>
        <w:trPr>
          <w:trHeight w:val="212"/>
        </w:trPr>
        <w:tc>
          <w:tcPr>
            <w:tcW w:w="294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22,724,674</w:t>
            </w:r>
          </w:p>
        </w:tc>
        <w:tc>
          <w:tcPr>
            <w:tcW w:w="3020" w:type="dxa"/>
            <w:vAlign w:val="bottom"/>
            <w:gridSpan w:val="2"/>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rPr>
              <w:t>13</w:t>
            </w:r>
          </w:p>
        </w:tc>
        <w:tc>
          <w:tcPr>
            <w:tcW w:w="3020" w:type="dxa"/>
            <w:vAlign w:val="bottom"/>
            <w:gridSpan w:val="2"/>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16,848</w:t>
            </w: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AN2 Therapeutics, Inc.</w:t>
      </w:r>
    </w:p>
    <w:p>
      <w:pPr>
        <w:spacing w:after="0" w:line="378" w:lineRule="exact"/>
        <w:rPr>
          <w:sz w:val="20"/>
          <w:szCs w:val="20"/>
          <w:color w:val="auto"/>
        </w:rPr>
      </w:pPr>
    </w:p>
    <w:p>
      <w:pPr>
        <w:spacing w:after="0"/>
        <w:tabs>
          <w:tab w:leader="none" w:pos="660" w:val="left"/>
          <w:tab w:leader="none" w:pos="5620" w:val="left"/>
          <w:tab w:leader="none" w:pos="8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Eizen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Joshua Eizen</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Legal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2026-06-09T05:08:52Z</dcterms:created>
  <dcterms:modified xsi:type="dcterms:W3CDTF">2026-06-09T05:08:52Z</dcterms:modified>
</cp:coreProperties>
</file>