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Arial" w:hAnsi="Arial"/>
          <w:sz w:val="22"/>
        </w:rPr>
      </w:pPr>
      <w:bookmarkStart w:id="0" w:name="antx-20260914.htm"/>
      <w:bookmarkStart w:id="1" w:name="ksantx20260914"/>
      <w:bookmarkEnd w:id="0"/>
      <w:bookmarkEnd w:id="1"/>
      <w:r>
        <w:rPr>
          <w:rFonts w:ascii="Arial" w:hAnsi="Arial"/>
          <w:b/>
          <w:color w:val="000000"/>
          <w:sz w:val="22"/>
        </w:rPr>
        <w:t>As filed with the Securities and Exchange Commission on September 14, 2026</w:t>
        <w:br/>
      </w:r>
      <w:r>
        <w:rPr>
          <w:rFonts w:ascii="Arial" w:hAnsi="Arial"/>
          <w:color w:val="000000"/>
          <w:sz w:val="22"/>
        </w:rPr>
        <w:t> </w:t>
      </w:r>
    </w:p>
    <w:p>
      <w:pPr>
        <w:pStyle w:val="TextBody"/>
        <w:bidi w:val="0"/>
        <w:jc w:val="right"/>
        <w:rPr>
          <w:rFonts w:ascii="Arial" w:hAnsi="Arial"/>
          <w:sz w:val="20"/>
        </w:rPr>
      </w:pPr>
      <w:r>
        <w:rPr>
          <w:rFonts w:ascii="Arial" w:hAnsi="Arial"/>
          <w:b/>
          <w:color w:val="000000"/>
          <w:sz w:val="22"/>
        </w:rPr>
        <w:t>Registration No. 333-</w:t>
      </w:r>
      <w:r>
        <w:rPr>
          <w:rFonts w:ascii="Arial" w:hAnsi="Arial"/>
          <w:color w:val="000000"/>
          <w:sz w:val="20"/>
        </w:rPr>
        <w:t xml:space="preserve"> </w:t>
      </w:r>
    </w:p>
    <w:p>
      <w:pPr>
        <w:pStyle w:val="TextBody"/>
        <w:bidi w:val="0"/>
        <w:jc w:val="center"/>
        <w:rPr>
          <w:rFonts w:ascii="Arial" w:hAnsi="Arial"/>
          <w:b/>
          <w:color w:val="000000"/>
          <w:sz w:val="6"/>
        </w:rPr>
      </w:pPr>
      <w:r>
        <w:rPr>
          <w:rFonts w:ascii="Arial" w:hAnsi="Arial"/>
          <w:b/>
          <w:color w:val="000000"/>
          <w:sz w:val="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TextBody"/>
        <w:bidi w:val="0"/>
        <w:jc w:val="center"/>
        <w:rPr>
          <w:rFonts w:ascii="Arial" w:hAnsi="Arial"/>
          <w:b/>
          <w:color w:val="000000"/>
          <w:sz w:val="6"/>
        </w:rPr>
      </w:pPr>
      <w:r>
        <w:rPr>
          <w:rFonts w:ascii="Arial" w:hAnsi="Arial"/>
          <w:b/>
          <w:color w:val="000000"/>
          <w:sz w:val="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TextBody"/>
        <w:bidi w:val="0"/>
        <w:spacing w:before="80" w:after="283"/>
        <w:jc w:val="center"/>
        <w:rPr>
          <w:rFonts w:ascii="Arial" w:hAnsi="Arial"/>
          <w:b/>
          <w:color w:val="000000"/>
          <w:sz w:val="37"/>
        </w:rPr>
      </w:pPr>
      <w:r>
        <w:rPr>
          <w:rFonts w:ascii="Arial" w:hAnsi="Arial"/>
          <w:b/>
          <w:color w:val="000000"/>
          <w:sz w:val="37"/>
        </w:rPr>
        <w:t>UNITED STATES</w:t>
      </w:r>
    </w:p>
    <w:p>
      <w:pPr>
        <w:pStyle w:val="TextBody"/>
        <w:bidi w:val="0"/>
        <w:jc w:val="center"/>
        <w:rPr>
          <w:rFonts w:ascii="Arial" w:hAnsi="Arial"/>
          <w:b/>
          <w:color w:val="000000"/>
          <w:sz w:val="37"/>
        </w:rPr>
      </w:pPr>
      <w:r>
        <w:rPr>
          <w:rFonts w:ascii="Arial" w:hAnsi="Arial"/>
          <w:b/>
          <w:color w:val="000000"/>
          <w:sz w:val="37"/>
        </w:rPr>
        <w:t>SECURITIES AND EXCHANGE COMMISSION</w:t>
      </w:r>
    </w:p>
    <w:p>
      <w:pPr>
        <w:pStyle w:val="TextBody"/>
        <w:bidi w:val="0"/>
        <w:spacing w:before="0" w:after="120"/>
        <w:jc w:val="center"/>
        <w:rPr>
          <w:rFonts w:ascii="Arial" w:hAnsi="Arial"/>
          <w:b/>
          <w:color w:val="000000"/>
          <w:sz w:val="24"/>
        </w:rPr>
      </w:pPr>
      <w:r>
        <w:rPr>
          <w:rFonts w:ascii="Arial" w:hAnsi="Arial"/>
          <w:b/>
          <w:color w:val="000000"/>
          <w:sz w:val="24"/>
        </w:rPr>
        <w:t>Washington, D.C. 20549</w:t>
      </w:r>
    </w:p>
    <w:p>
      <w:pPr>
        <w:pStyle w:val="TextBody"/>
        <w:bidi w:val="0"/>
        <w:jc w:val="center"/>
        <w:rPr>
          <w:rFonts w:ascii="Arial" w:hAnsi="Arial"/>
          <w:b/>
          <w:color w:val="000000"/>
          <w:sz w:val="6"/>
        </w:rPr>
      </w:pPr>
      <w:r>
        <w:rPr>
          <w:rFonts w:ascii="Arial" w:hAnsi="Arial"/>
          <w:b/>
          <w:color w:val="000000"/>
          <w:sz w:val="6"/>
        </w:rPr>
        <w:t>________________________________________________________________________________________</w:t>
      </w:r>
    </w:p>
    <w:p>
      <w:pPr>
        <w:pStyle w:val="TextBody"/>
        <w:bidi w:val="0"/>
        <w:spacing w:before="120" w:after="283"/>
        <w:jc w:val="center"/>
        <w:rPr>
          <w:rFonts w:ascii="Arial" w:hAnsi="Arial"/>
          <w:b/>
          <w:color w:val="000000"/>
          <w:sz w:val="37"/>
        </w:rPr>
      </w:pPr>
      <w:r>
        <w:rPr>
          <w:rFonts w:ascii="Arial" w:hAnsi="Arial"/>
          <w:b/>
          <w:color w:val="000000"/>
          <w:sz w:val="37"/>
        </w:rPr>
        <w:t>FORM S-8</w:t>
      </w:r>
    </w:p>
    <w:p>
      <w:pPr>
        <w:pStyle w:val="TextBody"/>
        <w:bidi w:val="0"/>
        <w:jc w:val="center"/>
        <w:rPr>
          <w:rFonts w:ascii="Arial" w:hAnsi="Arial"/>
          <w:b/>
          <w:color w:val="000000"/>
          <w:sz w:val="37"/>
        </w:rPr>
      </w:pPr>
      <w:r>
        <w:rPr>
          <w:rFonts w:ascii="Arial" w:hAnsi="Arial"/>
          <w:b/>
          <w:color w:val="000000"/>
          <w:sz w:val="37"/>
        </w:rPr>
        <w:t>REGISTRATION STATEMENT</w:t>
      </w:r>
    </w:p>
    <w:p>
      <w:pPr>
        <w:pStyle w:val="TextBody"/>
        <w:bidi w:val="0"/>
        <w:jc w:val="center"/>
        <w:rPr>
          <w:rFonts w:ascii="Arial" w:hAnsi="Arial"/>
          <w:b/>
          <w:i/>
          <w:color w:val="000000"/>
          <w:sz w:val="28"/>
        </w:rPr>
      </w:pPr>
      <w:r>
        <w:rPr>
          <w:rFonts w:ascii="Arial" w:hAnsi="Arial"/>
          <w:b/>
          <w:i/>
          <w:color w:val="000000"/>
          <w:sz w:val="28"/>
        </w:rPr>
        <w:t>UNDER</w:t>
      </w:r>
    </w:p>
    <w:p>
      <w:pPr>
        <w:pStyle w:val="TextBody"/>
        <w:bidi w:val="0"/>
        <w:spacing w:before="0" w:after="120"/>
        <w:jc w:val="center"/>
        <w:rPr>
          <w:rFonts w:ascii="Arial" w:hAnsi="Arial"/>
          <w:b/>
          <w:i/>
          <w:color w:val="000000"/>
          <w:sz w:val="28"/>
        </w:rPr>
      </w:pPr>
      <w:r>
        <w:rPr>
          <w:rFonts w:ascii="Arial" w:hAnsi="Arial"/>
          <w:b/>
          <w:i/>
          <w:color w:val="000000"/>
          <w:sz w:val="28"/>
        </w:rPr>
        <w:t>THE SECURITIES ACT OF 1933</w:t>
      </w:r>
    </w:p>
    <w:p>
      <w:pPr>
        <w:pStyle w:val="TextBody"/>
        <w:bidi w:val="0"/>
        <w:jc w:val="center"/>
        <w:rPr>
          <w:rFonts w:ascii="Arial" w:hAnsi="Arial"/>
          <w:b/>
          <w:color w:val="000000"/>
          <w:sz w:val="6"/>
        </w:rPr>
      </w:pPr>
      <w:r>
        <w:rPr>
          <w:rFonts w:ascii="Arial" w:hAnsi="Arial"/>
          <w:b/>
          <w:color w:val="000000"/>
          <w:sz w:val="6"/>
        </w:rPr>
        <w:t>________________________________________________________________________________________</w:t>
      </w:r>
    </w:p>
    <w:p>
      <w:pPr>
        <w:pStyle w:val="TextBody"/>
        <w:bidi w:val="0"/>
        <w:spacing w:before="120" w:after="283"/>
        <w:jc w:val="center"/>
        <w:rPr>
          <w:rFonts w:ascii="Arial" w:hAnsi="Arial"/>
          <w:b/>
          <w:color w:val="000000"/>
          <w:sz w:val="52"/>
        </w:rPr>
      </w:pPr>
      <w:r>
        <w:rPr>
          <w:rFonts w:ascii="Arial" w:hAnsi="Arial"/>
          <w:b/>
          <w:color w:val="000000"/>
          <w:sz w:val="52"/>
        </w:rPr>
        <w:t>AN2 Therapeutics, Inc.</w:t>
      </w:r>
    </w:p>
    <w:p>
      <w:pPr>
        <w:pStyle w:val="TextBody"/>
        <w:bidi w:val="0"/>
        <w:spacing w:before="0" w:after="120"/>
        <w:jc w:val="center"/>
        <w:rPr>
          <w:rFonts w:ascii="Arial" w:hAnsi="Arial"/>
          <w:b/>
          <w:color w:val="000000"/>
          <w:sz w:val="20"/>
        </w:rPr>
      </w:pPr>
      <w:r>
        <w:rPr>
          <w:rFonts w:ascii="Arial" w:hAnsi="Arial"/>
          <w:b/>
          <w:color w:val="000000"/>
          <w:sz w:val="20"/>
        </w:rPr>
        <w:t>(Exact name of registrant as specified in its charter)</w:t>
      </w:r>
    </w:p>
    <w:p>
      <w:pPr>
        <w:pStyle w:val="TextBody"/>
        <w:bidi w:val="0"/>
        <w:jc w:val="center"/>
        <w:rPr>
          <w:rFonts w:ascii="Arial" w:hAnsi="Arial"/>
          <w:b/>
          <w:color w:val="000000"/>
          <w:sz w:val="6"/>
        </w:rPr>
      </w:pPr>
      <w:r>
        <w:rPr>
          <w:rFonts w:ascii="Arial" w:hAnsi="Arial"/>
          <w:b/>
          <w:color w:val="000000"/>
          <w:sz w:val="6"/>
        </w:rPr>
        <w:t>________________________________________________________________________________________</w:t>
      </w:r>
    </w:p>
    <w:tbl>
      <w:tblPr>
        <w:tblW w:w="4423" w:type="dxa"/>
        <w:jc w:val="left"/>
        <w:tblInd w:w="0" w:type="dxa"/>
        <w:tblLayout w:type="fixed"/>
        <w:tblCellMar>
          <w:top w:w="28" w:type="dxa"/>
          <w:left w:w="28" w:type="dxa"/>
          <w:bottom w:w="28" w:type="dxa"/>
          <w:right w:w="28" w:type="dxa"/>
        </w:tblCellMar>
      </w:tblPr>
      <w:tblGrid>
        <w:gridCol w:w="2641"/>
        <w:gridCol w:w="146"/>
        <w:gridCol w:w="1636"/>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82-0606654</w:t>
            </w:r>
          </w:p>
        </w:tc>
      </w:tr>
      <w:tr>
        <w:trPr/>
        <w:tc>
          <w:tcPr>
            <w:tcW w:w="264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(State or other jurisdiction of</w:t>
              <w:b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(I.R.S. Employer</w:t>
              <w:br/>
              <w:t>Identification No.)</w:t>
            </w:r>
          </w:p>
        </w:tc>
      </w:tr>
    </w:tbl>
    <w:p>
      <w:pPr>
        <w:pStyle w:val="TextBody"/>
        <w:bidi w:val="0"/>
        <w:jc w:val="center"/>
        <w:rPr>
          <w:rFonts w:ascii="Arial" w:hAnsi="Arial"/>
          <w:b/>
          <w:color w:val="000000"/>
          <w:sz w:val="20"/>
        </w:rPr>
      </w:pPr>
      <w:r>
        <w:rPr>
          <w:rFonts w:ascii="Arial" w:hAnsi="Arial"/>
          <w:b/>
          <w:color w:val="000000"/>
          <w:sz w:val="20"/>
        </w:rPr>
        <w:t>1300 El Camino Real, Suite 100</w:t>
      </w:r>
    </w:p>
    <w:p>
      <w:pPr>
        <w:pStyle w:val="TextBody"/>
        <w:bidi w:val="0"/>
        <w:jc w:val="center"/>
        <w:rPr>
          <w:rFonts w:ascii="Arial" w:hAnsi="Arial"/>
          <w:b/>
          <w:color w:val="000000"/>
          <w:sz w:val="20"/>
        </w:rPr>
      </w:pPr>
      <w:r>
        <w:rPr>
          <w:rFonts w:ascii="Arial" w:hAnsi="Arial"/>
          <w:b/>
          <w:color w:val="000000"/>
          <w:sz w:val="20"/>
        </w:rPr>
        <w:t>Menlo Park, California 94025</w:t>
      </w:r>
    </w:p>
    <w:p>
      <w:pPr>
        <w:pStyle w:val="TextBody"/>
        <w:bidi w:val="0"/>
        <w:jc w:val="center"/>
        <w:rPr>
          <w:rFonts w:ascii="Arial" w:hAnsi="Arial"/>
          <w:b/>
          <w:color w:val="000000"/>
          <w:sz w:val="18"/>
        </w:rPr>
      </w:pPr>
      <w:r>
        <w:rPr>
          <w:rFonts w:ascii="Arial" w:hAnsi="Arial"/>
          <w:b/>
          <w:color w:val="000000"/>
          <w:sz w:val="18"/>
        </w:rPr>
        <w:t>(Address of principal executive offices) (Zip code)</w:t>
      </w:r>
    </w:p>
    <w:p>
      <w:pPr>
        <w:pStyle w:val="TextBody"/>
        <w:bidi w:val="0"/>
        <w:jc w:val="center"/>
        <w:rPr>
          <w:rFonts w:ascii="Arial" w:hAnsi="Arial"/>
          <w:b/>
          <w:color w:val="000000"/>
          <w:sz w:val="20"/>
        </w:rPr>
      </w:pPr>
      <w:r>
        <w:rPr>
          <w:rFonts w:ascii="Arial" w:hAnsi="Arial"/>
          <w:b/>
          <w:color w:val="000000"/>
          <w:sz w:val="20"/>
        </w:rPr>
        <w:t>AN2 Therapeutics, Inc. 2026 Employment Inducement Award Plan</w:t>
      </w:r>
    </w:p>
    <w:p>
      <w:pPr>
        <w:pStyle w:val="TextBody"/>
        <w:bidi w:val="0"/>
        <w:jc w:val="center"/>
        <w:rPr>
          <w:rFonts w:ascii="Arial" w:hAnsi="Arial"/>
          <w:b/>
          <w:color w:val="000000"/>
          <w:sz w:val="18"/>
        </w:rPr>
      </w:pPr>
      <w:r>
        <w:rPr>
          <w:rFonts w:ascii="Arial" w:hAnsi="Arial"/>
          <w:b/>
          <w:color w:val="000000"/>
          <w:sz w:val="18"/>
        </w:rPr>
        <w:t>(Full Title of the Plan)</w:t>
      </w:r>
    </w:p>
    <w:p>
      <w:pPr>
        <w:pStyle w:val="TextBody"/>
        <w:bidi w:val="0"/>
        <w:jc w:val="center"/>
        <w:rPr>
          <w:rFonts w:ascii="Arial" w:hAnsi="Arial"/>
          <w:b/>
          <w:color w:val="000000"/>
          <w:sz w:val="20"/>
        </w:rPr>
      </w:pPr>
      <w:r>
        <w:rPr>
          <w:rFonts w:ascii="Arial" w:hAnsi="Arial"/>
          <w:b/>
          <w:color w:val="000000"/>
          <w:sz w:val="20"/>
        </w:rPr>
        <w:t>Eric Easom</w:t>
      </w:r>
    </w:p>
    <w:p>
      <w:pPr>
        <w:pStyle w:val="TextBody"/>
        <w:bidi w:val="0"/>
        <w:jc w:val="center"/>
        <w:rPr>
          <w:rFonts w:ascii="Arial" w:hAnsi="Arial"/>
          <w:b/>
          <w:color w:val="000000"/>
          <w:sz w:val="20"/>
        </w:rPr>
      </w:pPr>
      <w:r>
        <w:rPr>
          <w:rFonts w:ascii="Arial" w:hAnsi="Arial"/>
          <w:b/>
          <w:color w:val="000000"/>
          <w:sz w:val="20"/>
        </w:rPr>
        <w:t>Chief Executive Officer</w:t>
      </w:r>
    </w:p>
    <w:p>
      <w:pPr>
        <w:pStyle w:val="TextBody"/>
        <w:bidi w:val="0"/>
        <w:jc w:val="center"/>
        <w:rPr>
          <w:rFonts w:ascii="Arial" w:hAnsi="Arial"/>
          <w:b/>
          <w:color w:val="000000"/>
          <w:sz w:val="20"/>
        </w:rPr>
      </w:pPr>
      <w:r>
        <w:rPr>
          <w:rFonts w:ascii="Arial" w:hAnsi="Arial"/>
          <w:b/>
          <w:color w:val="000000"/>
          <w:sz w:val="20"/>
        </w:rPr>
        <w:t>AN2 Therapeutics, Inc.</w:t>
      </w:r>
    </w:p>
    <w:p>
      <w:pPr>
        <w:pStyle w:val="TextBody"/>
        <w:bidi w:val="0"/>
        <w:jc w:val="center"/>
        <w:rPr>
          <w:rFonts w:ascii="Arial" w:hAnsi="Arial"/>
          <w:b/>
          <w:color w:val="000000"/>
          <w:sz w:val="20"/>
        </w:rPr>
      </w:pPr>
      <w:r>
        <w:rPr>
          <w:rFonts w:ascii="Arial" w:hAnsi="Arial"/>
          <w:b/>
          <w:color w:val="000000"/>
          <w:sz w:val="20"/>
        </w:rPr>
        <w:t>1300 El Camino Real, Suite 100</w:t>
      </w:r>
    </w:p>
    <w:p>
      <w:pPr>
        <w:pStyle w:val="TextBody"/>
        <w:bidi w:val="0"/>
        <w:jc w:val="center"/>
        <w:rPr>
          <w:rFonts w:ascii="Arial" w:hAnsi="Arial"/>
          <w:b/>
          <w:color w:val="000000"/>
          <w:sz w:val="20"/>
        </w:rPr>
      </w:pPr>
      <w:r>
        <w:rPr>
          <w:rFonts w:ascii="Arial" w:hAnsi="Arial"/>
          <w:b/>
          <w:color w:val="000000"/>
          <w:sz w:val="20"/>
        </w:rPr>
        <w:t>Menlo Park, California 94025</w:t>
      </w:r>
    </w:p>
    <w:p>
      <w:pPr>
        <w:pStyle w:val="TextBody"/>
        <w:bidi w:val="0"/>
        <w:jc w:val="center"/>
        <w:rPr>
          <w:rFonts w:ascii="Arial" w:hAnsi="Arial"/>
          <w:b/>
          <w:color w:val="000000"/>
          <w:sz w:val="20"/>
        </w:rPr>
      </w:pPr>
      <w:r>
        <w:rPr>
          <w:rFonts w:ascii="Arial" w:hAnsi="Arial"/>
          <w:b/>
          <w:color w:val="000000"/>
          <w:sz w:val="20"/>
        </w:rPr>
        <w:t>(650) 331-9090</w:t>
      </w:r>
    </w:p>
    <w:p>
      <w:pPr>
        <w:pStyle w:val="TextBody"/>
        <w:bidi w:val="0"/>
        <w:spacing w:before="0" w:after="120"/>
        <w:jc w:val="center"/>
        <w:rPr>
          <w:rFonts w:ascii="Arial" w:hAnsi="Arial"/>
          <w:b/>
          <w:color w:val="000000"/>
          <w:sz w:val="18"/>
        </w:rPr>
      </w:pPr>
      <w:r>
        <w:rPr>
          <w:rFonts w:ascii="Arial" w:hAnsi="Arial"/>
          <w:b/>
          <w:color w:val="000000"/>
          <w:sz w:val="18"/>
        </w:rPr>
        <w:t>(Name and address of agent for service) (Telephone number, including area code, of agent for service)</w:t>
      </w:r>
    </w:p>
    <w:p>
      <w:pPr>
        <w:pStyle w:val="TextBody"/>
        <w:bidi w:val="0"/>
        <w:jc w:val="center"/>
        <w:rPr>
          <w:rFonts w:ascii="Arial" w:hAnsi="Arial"/>
          <w:b/>
          <w:color w:val="000000"/>
          <w:sz w:val="6"/>
        </w:rPr>
      </w:pPr>
      <w:r>
        <w:rPr>
          <w:rFonts w:ascii="Arial" w:hAnsi="Arial"/>
          <w:b/>
          <w:color w:val="000000"/>
          <w:sz w:val="6"/>
        </w:rPr>
        <w:t>________________________________________________________________________________________</w:t>
      </w:r>
    </w:p>
    <w:p>
      <w:pPr>
        <w:pStyle w:val="TextBody"/>
        <w:bidi w:val="0"/>
        <w:spacing w:before="120" w:after="283"/>
        <w:jc w:val="center"/>
        <w:rPr>
          <w:rFonts w:ascii="Arial" w:hAnsi="Arial"/>
          <w:b/>
          <w:i/>
          <w:color w:val="000000"/>
          <w:sz w:val="22"/>
        </w:rPr>
      </w:pPr>
      <w:r>
        <w:rPr>
          <w:rFonts w:ascii="Arial" w:hAnsi="Arial"/>
          <w:b/>
          <w:i/>
          <w:color w:val="000000"/>
          <w:sz w:val="22"/>
        </w:rPr>
        <w:t>Copies to:</w:t>
      </w:r>
    </w:p>
    <w:tbl>
      <w:tblPr>
        <w:tblW w:w="6268" w:type="dxa"/>
        <w:jc w:val="left"/>
        <w:tblInd w:w="0" w:type="dxa"/>
        <w:tblLayout w:type="fixed"/>
        <w:tblCellMar>
          <w:top w:w="28" w:type="dxa"/>
          <w:left w:w="28" w:type="dxa"/>
          <w:bottom w:w="28" w:type="dxa"/>
          <w:right w:w="28" w:type="dxa"/>
        </w:tblCellMar>
      </w:tblPr>
      <w:tblGrid>
        <w:gridCol w:w="3076"/>
        <w:gridCol w:w="146"/>
        <w:gridCol w:w="3046"/>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r>
      <w:tr>
        <w:trPr/>
        <w:tc>
          <w:tcPr>
            <w:tcW w:w="30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tcMar>
              <w:top w:w="0" w:type="dxa"/>
              <w:left w:w="0" w:type="dxa"/>
              <w:bottom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Kathleen M. Wells</w:t>
            </w:r>
          </w:p>
          <w:p>
            <w:pPr>
              <w:pStyle w:val="TableContents"/>
              <w:bidi w:val="0"/>
              <w:spacing w:before="0" w:after="283"/>
              <w:jc w:val="center"/>
              <w:rPr>
                <w:rFonts w:ascii="Arial" w:hAnsi="Arial"/>
                <w:b/>
                <w:color w:val="000000"/>
                <w:sz w:val="20"/>
              </w:rPr>
            </w:pPr>
            <w:r>
              <w:rPr>
                <w:rFonts w:ascii="Arial" w:hAnsi="Arial"/>
                <w:b/>
                <w:color w:val="000000"/>
                <w:sz w:val="20"/>
              </w:rPr>
              <w:t>Maj Vaseghi</w:t>
              <w:br/>
              <w:t>Richard Kim</w:t>
              <w:br/>
              <w:t>Latham &amp; Watkins LLP</w:t>
              <w:br/>
              <w:t>801 Jefferson Avenue, Suite 300</w:t>
              <w:br/>
              <w:t>Redwood City, California 94063</w:t>
              <w:br/>
              <w:t>(650) 328-4600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46" w:type="dxa"/>
            <w:tcBorders/>
            <w:tcMar>
              <w:top w:w="0" w:type="dxa"/>
              <w:left w:w="0" w:type="dxa"/>
              <w:bottom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Lucy O. Day</w:t>
            </w:r>
          </w:p>
          <w:p>
            <w:pPr>
              <w:pStyle w:val="TableContents"/>
              <w:bidi w:val="0"/>
              <w:jc w:val="center"/>
              <w:rPr>
                <w:rFonts w:ascii="Arial" w:hAnsi="Arial"/>
                <w:b/>
                <w:color w:val="000000"/>
                <w:sz w:val="20"/>
              </w:rPr>
            </w:pPr>
            <w:r>
              <w:rPr>
                <w:rFonts w:ascii="Arial" w:hAnsi="Arial"/>
                <w:b/>
                <w:color w:val="000000"/>
                <w:sz w:val="20"/>
              </w:rPr>
              <w:t>Josh Eizen</w:t>
            </w:r>
          </w:p>
          <w:p>
            <w:pPr>
              <w:pStyle w:val="TableContents"/>
              <w:bidi w:val="0"/>
              <w:jc w:val="center"/>
              <w:rPr>
                <w:rFonts w:ascii="Arial" w:hAnsi="Arial"/>
                <w:b/>
                <w:color w:val="000000"/>
                <w:sz w:val="20"/>
              </w:rPr>
            </w:pPr>
            <w:r>
              <w:rPr>
                <w:rFonts w:ascii="Arial" w:hAnsi="Arial"/>
                <w:b/>
                <w:color w:val="000000"/>
                <w:sz w:val="20"/>
              </w:rPr>
              <w:t>AN2 Therapeutics, Inc.</w:t>
              <w:br/>
              <w:t>1300 El Camino Real, Suite 100</w:t>
            </w:r>
          </w:p>
          <w:p>
            <w:pPr>
              <w:pStyle w:val="TableContents"/>
              <w:bidi w:val="0"/>
              <w:jc w:val="center"/>
              <w:rPr>
                <w:rFonts w:ascii="Arial" w:hAnsi="Arial"/>
                <w:b/>
                <w:color w:val="000000"/>
                <w:sz w:val="20"/>
              </w:rPr>
            </w:pPr>
            <w:r>
              <w:rPr>
                <w:rFonts w:ascii="Arial" w:hAnsi="Arial"/>
                <w:b/>
                <w:color w:val="000000"/>
                <w:sz w:val="20"/>
              </w:rPr>
              <w:t>Menlo Park, California 94025</w:t>
            </w:r>
          </w:p>
          <w:p>
            <w:pPr>
              <w:pStyle w:val="TableContents"/>
              <w:bidi w:val="0"/>
              <w:spacing w:before="0" w:after="283"/>
              <w:jc w:val="center"/>
              <w:rPr>
                <w:rFonts w:ascii="Arial" w:hAnsi="Arial"/>
                <w:b/>
                <w:color w:val="000000"/>
                <w:sz w:val="20"/>
              </w:rPr>
            </w:pPr>
            <w:r>
              <w:rPr>
                <w:rFonts w:ascii="Arial" w:hAnsi="Arial"/>
                <w:b/>
                <w:color w:val="000000"/>
                <w:sz w:val="20"/>
              </w:rPr>
              <w:t>(650) 331-9090</w:t>
            </w:r>
          </w:p>
        </w:tc>
      </w:tr>
    </w:tbl>
    <w:p>
      <w:pPr>
        <w:pStyle w:val="TextBody"/>
        <w:bidi w:val="0"/>
        <w:spacing w:before="120" w:after="283"/>
        <w:jc w:val="center"/>
        <w:rPr>
          <w:rFonts w:ascii="Arial" w:hAnsi="Arial"/>
          <w:b/>
          <w:color w:val="000000"/>
          <w:sz w:val="6"/>
        </w:rPr>
      </w:pPr>
      <w:r>
        <w:rPr>
          <w:rFonts w:ascii="Arial" w:hAnsi="Arial"/>
          <w:b/>
          <w:color w:val="000000"/>
          <w:sz w:val="6"/>
        </w:rPr>
        <w:t>________________________________________________________________________________________</w:t>
      </w:r>
    </w:p>
    <w:p>
      <w:pPr>
        <w:pStyle w:val="TextBody"/>
        <w:bidi w:val="0"/>
        <w:spacing w:before="120" w:after="283"/>
        <w:jc w:val="left"/>
        <w:rPr>
          <w:rFonts w:ascii="Arial" w:hAnsi="Arial"/>
          <w:color w:val="000000"/>
          <w:sz w:val="18"/>
        </w:rPr>
      </w:pPr>
      <w:r>
        <w:rPr>
          <w:rFonts w:ascii="Arial" w:hAnsi="Arial"/>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587" w:type="dxa"/>
        <w:jc w:val="left"/>
        <w:tblInd w:w="0" w:type="dxa"/>
        <w:tblLayout w:type="fixed"/>
        <w:tblCellMar>
          <w:top w:w="28" w:type="dxa"/>
          <w:left w:w="28" w:type="dxa"/>
          <w:bottom w:w="28" w:type="dxa"/>
          <w:right w:w="28" w:type="dxa"/>
        </w:tblCellMar>
      </w:tblPr>
      <w:tblGrid>
        <w:gridCol w:w="2041"/>
        <w:gridCol w:w="146"/>
        <w:gridCol w:w="316"/>
        <w:gridCol w:w="146"/>
        <w:gridCol w:w="2431"/>
        <w:gridCol w:w="146"/>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57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57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80" w:after="283"/>
        <w:jc w:val="left"/>
        <w:rPr>
          <w:rFonts w:ascii="Arial" w:hAnsi="Arial"/>
          <w:color w:val="000000"/>
          <w:sz w:val="18"/>
        </w:rPr>
      </w:pPr>
      <w:r>
        <w:rPr>
          <w:rFonts w:ascii="Arial" w:hAnsi="Arial"/>
          <w:color w:val="000000"/>
          <w:sz w:val="18"/>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80" w:after="283"/>
        <w:jc w:val="center"/>
        <w:rPr>
          <w:rFonts w:ascii="Arial" w:hAnsi="Arial"/>
          <w:b/>
          <w:color w:val="000000"/>
          <w:sz w:val="6"/>
        </w:rPr>
      </w:pPr>
      <w:r>
        <w:rPr>
          <w:rFonts w:ascii="Arial" w:hAnsi="Arial"/>
          <w:b/>
          <w:color w:val="000000"/>
          <w:sz w:val="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b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EXPLANATORY NOTE</w:t>
      </w:r>
    </w:p>
    <w:p>
      <w:pPr>
        <w:pStyle w:val="TextBody"/>
        <w:bidi w:val="0"/>
        <w:spacing w:before="120" w:after="283"/>
        <w:jc w:val="left"/>
        <w:rPr>
          <w:rFonts w:ascii="Arial" w:hAnsi="Arial"/>
          <w:color w:val="000000"/>
          <w:sz w:val="20"/>
        </w:rPr>
      </w:pPr>
      <w:r>
        <w:rPr>
          <w:rFonts w:ascii="Arial" w:hAnsi="Arial"/>
          <w:color w:val="000000"/>
          <w:sz w:val="20"/>
        </w:rPr>
        <w:t xml:space="preserve">AN2 Therapeutics, Inc. (the “Registrant”) is filing with the Securities and Exchange Commission (the “SEC”) this registration statement on Form S-8 (this “Registration Statement”) for the purpose of registering 1,250,000 shares of its common stock, par value $0.00001 per share (the “Common Stock”), for issuance under the AN2 Therapeutics, Inc. 2026 Employment Inducement Award Plan (the “Inducement Plan”) adopted by the Registrant’s board of directors on August 27, 2026. The Inducement Plan provides for, among other things, the grant of nonqualified stock options, restricted stock units, and stock appreciation rights to eligible individuals. </w:t>
      </w:r>
    </w:p>
    <w:p>
      <w:pPr>
        <w:pStyle w:val="TextBody"/>
        <w:bidi w:val="0"/>
        <w:spacing w:before="240" w:after="283"/>
        <w:jc w:val="left"/>
        <w:rPr/>
      </w:pPr>
      <w:r>
        <w:rPr/>
        <w:t> </w:t>
      </w:r>
    </w:p>
    <w:p>
      <w:pPr>
        <w:pStyle w:val="TextBody"/>
        <w:bidi w:val="0"/>
        <w:spacing w:before="480" w:after="283"/>
        <w:jc w:val="center"/>
        <w:rPr>
          <w:rFonts w:ascii="Arial" w:hAnsi="Arial"/>
          <w:b/>
          <w:color w:val="000000"/>
          <w:sz w:val="20"/>
        </w:rPr>
      </w:pPr>
      <w:r>
        <w:rPr>
          <w:rFonts w:ascii="Arial" w:hAnsi="Arial"/>
          <w:b/>
          <w:color w:val="000000"/>
          <w:sz w:val="20"/>
        </w:rPr>
        <w:t>PART I</w:t>
      </w:r>
    </w:p>
    <w:p>
      <w:pPr>
        <w:pStyle w:val="TextBody"/>
        <w:bidi w:val="0"/>
        <w:spacing w:before="240" w:after="283"/>
        <w:jc w:val="center"/>
        <w:rPr>
          <w:rFonts w:ascii="Arial" w:hAnsi="Arial"/>
          <w:b/>
          <w:color w:val="000000"/>
          <w:sz w:val="20"/>
        </w:rPr>
      </w:pPr>
      <w:r>
        <w:rPr>
          <w:rFonts w:ascii="Arial" w:hAnsi="Arial"/>
          <w:b/>
          <w:color w:val="000000"/>
          <w:sz w:val="20"/>
        </w:rPr>
        <w:t>INFORMATION REQUIRED IN THE SECTION 10(A) PROSPECTUS</w:t>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The documents containing the information specified in Part I of Form S-8 will be sent or given to participants as specified by Rule 428(b)(1) of the Securities Act of 1933, as amended (the “Securities Act”). These documents and the documents incorporated by reference into this Registration Statement pursuant to Item 3 of Part II of this Registration Statement, taken together, constitute a prospectus that meets the requirements of Section 10(a) of the Securities Act.</w:t>
      </w:r>
    </w:p>
    <w:p>
      <w:pPr>
        <w:pStyle w:val="TextBody"/>
        <w:bidi w:val="0"/>
        <w:spacing w:before="480" w:after="283"/>
        <w:jc w:val="center"/>
        <w:rPr>
          <w:rFonts w:ascii="Arial" w:hAnsi="Arial"/>
          <w:b/>
          <w:color w:val="000000"/>
          <w:sz w:val="20"/>
        </w:rPr>
      </w:pPr>
      <w:r>
        <w:rPr>
          <w:rFonts w:ascii="Arial" w:hAnsi="Arial"/>
          <w:b/>
          <w:color w:val="000000"/>
          <w:sz w:val="20"/>
        </w:rPr>
        <w:t>PART II</w:t>
      </w:r>
    </w:p>
    <w:p>
      <w:pPr>
        <w:pStyle w:val="TextBody"/>
        <w:bidi w:val="0"/>
        <w:spacing w:before="240" w:after="283"/>
        <w:jc w:val="center"/>
        <w:rPr>
          <w:rFonts w:ascii="Arial" w:hAnsi="Arial"/>
          <w:b/>
          <w:color w:val="000000"/>
          <w:sz w:val="20"/>
        </w:rPr>
      </w:pPr>
      <w:r>
        <w:rPr>
          <w:rFonts w:ascii="Arial" w:hAnsi="Arial"/>
          <w:b/>
          <w:color w:val="000000"/>
          <w:sz w:val="20"/>
        </w:rPr>
        <w:t>INFORMATION REQUIRED IN THE REGISTRATION STATEMENT</w:t>
      </w:r>
    </w:p>
    <w:p>
      <w:pPr>
        <w:pStyle w:val="TextBody"/>
        <w:bidi w:val="0"/>
        <w:spacing w:before="240" w:after="283"/>
        <w:jc w:val="left"/>
        <w:rPr>
          <w:rFonts w:ascii="Arial" w:hAnsi="Arial"/>
          <w:b/>
          <w:color w:val="000000"/>
          <w:sz w:val="20"/>
        </w:rPr>
      </w:pPr>
      <w:r>
        <w:rPr>
          <w:rFonts w:ascii="Arial" w:hAnsi="Arial"/>
          <w:b/>
          <w:color w:val="000000"/>
          <w:sz w:val="20"/>
        </w:rPr>
        <w:t>ITEM 3. INCORPORATION OF DOCUMENTS BY REFERENCE</w:t>
      </w:r>
    </w:p>
    <w:p>
      <w:pPr>
        <w:pStyle w:val="TextBody"/>
        <w:bidi w:val="0"/>
        <w:spacing w:before="120" w:after="283"/>
        <w:jc w:val="left"/>
        <w:rPr>
          <w:rFonts w:ascii="Arial" w:hAnsi="Arial"/>
          <w:color w:val="000000"/>
          <w:sz w:val="20"/>
        </w:rPr>
      </w:pPr>
      <w:r>
        <w:rPr>
          <w:rFonts w:ascii="Arial" w:hAnsi="Arial"/>
          <w:color w:val="000000"/>
          <w:sz w:val="20"/>
        </w:rPr>
        <w:t>The following documents filed by the Registrant with the SEC are incorporated by reference into this Registration Statement:</w:t>
      </w:r>
    </w:p>
    <w:p>
      <w:pPr>
        <w:pStyle w:val="TextBody"/>
        <w:bidi w:val="0"/>
        <w:spacing w:before="120" w:after="283"/>
        <w:jc w:val="left"/>
        <w:rPr/>
      </w:pPr>
      <w:r>
        <w:rPr>
          <w:rFonts w:ascii="Arial" w:hAnsi="Arial"/>
          <w:color w:val="000000"/>
          <w:sz w:val="20"/>
        </w:rPr>
        <w:t xml:space="preserve">(a) The Registrant’s </w:t>
      </w:r>
      <w:hyperlink r:id="rId2">
        <w:r>
          <w:rPr>
            <w:rStyle w:val="InternetLink"/>
            <w:rFonts w:ascii="Arial" w:hAnsi="Arial"/>
            <w:color w:val="0000FF"/>
            <w:sz w:val="20"/>
            <w:u w:val="single"/>
          </w:rPr>
          <w:t>Annual Report on Form 10-K</w:t>
        </w:r>
      </w:hyperlink>
      <w:r>
        <w:rPr>
          <w:rFonts w:ascii="Arial" w:hAnsi="Arial"/>
          <w:color w:val="000000"/>
          <w:sz w:val="20"/>
        </w:rPr>
        <w:t xml:space="preserve"> for the fiscal year ended December 31, 2025, filed with the SEC on March 17, 2026.</w:t>
      </w:r>
    </w:p>
    <w:p>
      <w:pPr>
        <w:pStyle w:val="TextBody"/>
        <w:bidi w:val="0"/>
        <w:spacing w:before="120" w:after="283"/>
        <w:jc w:val="left"/>
        <w:rPr/>
      </w:pPr>
      <w:r>
        <w:rPr>
          <w:rFonts w:ascii="Arial" w:hAnsi="Arial"/>
          <w:color w:val="000000"/>
          <w:sz w:val="20"/>
        </w:rPr>
        <w:t xml:space="preserve">(b) The information specifically incorporated by reference into the Registrant's Annual Report on Form 10-K for the fiscal year ended December 31, 2025 from the Registrant's Definitive Proxy Statement on </w:t>
      </w:r>
      <w:hyperlink r:id="rId3">
        <w:r>
          <w:rPr>
            <w:rStyle w:val="InternetLink"/>
            <w:rFonts w:ascii="Arial" w:hAnsi="Arial"/>
            <w:color w:val="0000FF"/>
            <w:sz w:val="20"/>
            <w:u w:val="single"/>
          </w:rPr>
          <w:t>Schedule 14A</w:t>
        </w:r>
      </w:hyperlink>
      <w:r>
        <w:rPr>
          <w:rFonts w:ascii="Arial" w:hAnsi="Arial"/>
          <w:color w:val="000000"/>
          <w:sz w:val="20"/>
        </w:rPr>
        <w:t>, filed with the SEC on April 22, 2026.</w:t>
      </w:r>
    </w:p>
    <w:p>
      <w:pPr>
        <w:pStyle w:val="TextBody"/>
        <w:bidi w:val="0"/>
        <w:spacing w:before="120" w:after="283"/>
        <w:jc w:val="left"/>
        <w:rPr/>
      </w:pPr>
      <w:r>
        <w:rPr>
          <w:rFonts w:ascii="Arial" w:hAnsi="Arial"/>
          <w:color w:val="000000"/>
          <w:sz w:val="20"/>
        </w:rPr>
        <w:t xml:space="preserve">(c) The Registrant's Quarterly Reports on Form 10-Q filed with the SEC on </w:t>
      </w:r>
      <w:hyperlink r:id="rId4">
        <w:r>
          <w:rPr>
            <w:rStyle w:val="InternetLink"/>
            <w:rFonts w:ascii="Arial" w:hAnsi="Arial"/>
            <w:color w:val="0000FF"/>
            <w:sz w:val="20"/>
            <w:u w:val="single"/>
          </w:rPr>
          <w:t>May 11, 2026</w:t>
        </w:r>
      </w:hyperlink>
      <w:r>
        <w:rPr>
          <w:rFonts w:ascii="Arial" w:hAnsi="Arial"/>
          <w:color w:val="000000"/>
          <w:sz w:val="20"/>
        </w:rPr>
        <w:t xml:space="preserve"> and </w:t>
      </w:r>
      <w:hyperlink r:id="rId5">
        <w:r>
          <w:rPr>
            <w:rStyle w:val="InternetLink"/>
            <w:rFonts w:ascii="Arial" w:hAnsi="Arial"/>
            <w:color w:val="0000FF"/>
            <w:sz w:val="20"/>
            <w:u w:val="single"/>
          </w:rPr>
          <w:t>August 11, 2026</w:t>
        </w:r>
      </w:hyperlink>
      <w:r>
        <w:rPr>
          <w:rFonts w:ascii="Arial" w:hAnsi="Arial"/>
          <w:color w:val="000000"/>
          <w:sz w:val="20"/>
        </w:rPr>
        <w:t>.</w:t>
      </w:r>
    </w:p>
    <w:p>
      <w:pPr>
        <w:pStyle w:val="TextBody"/>
        <w:bidi w:val="0"/>
        <w:spacing w:before="120" w:after="283"/>
        <w:jc w:val="left"/>
        <w:rPr/>
      </w:pPr>
      <w:r>
        <w:rPr>
          <w:rFonts w:ascii="Arial" w:hAnsi="Arial"/>
          <w:color w:val="000000"/>
          <w:sz w:val="20"/>
        </w:rPr>
        <w:t xml:space="preserve">(d) The Registrant's Current Reports on Form 8-K filed with the SEC on </w:t>
      </w:r>
      <w:hyperlink r:id="rId6">
        <w:r>
          <w:rPr>
            <w:rStyle w:val="InternetLink"/>
            <w:rFonts w:ascii="Arial" w:hAnsi="Arial"/>
            <w:color w:val="0000FF"/>
            <w:sz w:val="20"/>
            <w:u w:val="single"/>
          </w:rPr>
          <w:t>January 29, 2026</w:t>
        </w:r>
      </w:hyperlink>
      <w:r>
        <w:rPr>
          <w:rFonts w:ascii="Arial" w:hAnsi="Arial"/>
          <w:color w:val="000000"/>
          <w:sz w:val="20"/>
        </w:rPr>
        <w:t xml:space="preserve"> and </w:t>
      </w:r>
      <w:hyperlink r:id="rId7">
        <w:r>
          <w:rPr>
            <w:rStyle w:val="InternetLink"/>
            <w:rFonts w:ascii="Arial" w:hAnsi="Arial"/>
            <w:color w:val="0000FF"/>
            <w:sz w:val="20"/>
            <w:u w:val="single"/>
          </w:rPr>
          <w:t>March 10, 2026</w:t>
        </w:r>
      </w:hyperlink>
      <w:r>
        <w:rPr>
          <w:rFonts w:ascii="Arial" w:hAnsi="Arial"/>
          <w:color w:val="000000"/>
          <w:sz w:val="20"/>
        </w:rPr>
        <w:t xml:space="preserve"> (Items 1.01 and 3.02 only), </w:t>
      </w:r>
      <w:hyperlink r:id="rId8">
        <w:r>
          <w:rPr>
            <w:rStyle w:val="InternetLink"/>
            <w:rFonts w:ascii="Arial" w:hAnsi="Arial"/>
            <w:color w:val="0000FF"/>
            <w:sz w:val="20"/>
            <w:u w:val="single"/>
          </w:rPr>
          <w:t>March 20, 2026</w:t>
        </w:r>
      </w:hyperlink>
      <w:r>
        <w:rPr>
          <w:rFonts w:ascii="Arial" w:hAnsi="Arial"/>
          <w:color w:val="000000"/>
          <w:sz w:val="20"/>
        </w:rPr>
        <w:t xml:space="preserve">, </w:t>
      </w:r>
      <w:hyperlink r:id="rId9">
        <w:r>
          <w:rPr>
            <w:rStyle w:val="InternetLink"/>
            <w:rFonts w:ascii="Arial" w:hAnsi="Arial"/>
            <w:color w:val="0000FF"/>
            <w:sz w:val="20"/>
            <w:u w:val="single"/>
          </w:rPr>
          <w:t>April 9, 2026</w:t>
        </w:r>
      </w:hyperlink>
      <w:r>
        <w:rPr>
          <w:rFonts w:ascii="Arial" w:hAnsi="Arial"/>
          <w:color w:val="000000"/>
          <w:sz w:val="20"/>
        </w:rPr>
        <w:t xml:space="preserve">, </w:t>
      </w:r>
      <w:hyperlink r:id="rId10">
        <w:r>
          <w:rPr>
            <w:rStyle w:val="InternetLink"/>
            <w:rFonts w:ascii="Arial" w:hAnsi="Arial"/>
            <w:color w:val="0000FF"/>
            <w:sz w:val="20"/>
            <w:u w:val="single"/>
          </w:rPr>
          <w:t>June 4, 2026</w:t>
        </w:r>
      </w:hyperlink>
      <w:r>
        <w:rPr>
          <w:rFonts w:ascii="Arial" w:hAnsi="Arial"/>
          <w:color w:val="000000"/>
          <w:sz w:val="20"/>
        </w:rPr>
        <w:t xml:space="preserve"> (Item 8.01 only), and </w:t>
      </w:r>
      <w:hyperlink r:id="rId11">
        <w:r>
          <w:rPr>
            <w:rStyle w:val="InternetLink"/>
            <w:rFonts w:ascii="Arial" w:hAnsi="Arial"/>
            <w:color w:val="0000FF"/>
            <w:sz w:val="20"/>
            <w:u w:val="single"/>
          </w:rPr>
          <w:t>June 9, 2026</w:t>
        </w:r>
      </w:hyperlink>
      <w:r>
        <w:rPr>
          <w:rFonts w:ascii="Arial" w:hAnsi="Arial"/>
          <w:color w:val="000000"/>
          <w:sz w:val="20"/>
        </w:rPr>
        <w:t>.</w:t>
      </w:r>
    </w:p>
    <w:p>
      <w:pPr>
        <w:pStyle w:val="TextBody"/>
        <w:bidi w:val="0"/>
        <w:spacing w:before="120" w:after="283"/>
        <w:jc w:val="left"/>
        <w:rPr/>
      </w:pPr>
      <w:r>
        <w:rPr>
          <w:rFonts w:ascii="Arial" w:hAnsi="Arial"/>
          <w:color w:val="000000"/>
          <w:sz w:val="20"/>
        </w:rPr>
        <w:t>(e) The description of the Registrant’s Common Stock which is contained in the Registrant’s Registration Statement on Form 8-A filed on March 22, 2022 (</w:t>
      </w:r>
      <w:hyperlink r:id="rId12">
        <w:r>
          <w:rPr>
            <w:rStyle w:val="InternetLink"/>
            <w:rFonts w:ascii="Arial" w:hAnsi="Arial"/>
            <w:color w:val="0000FF"/>
            <w:sz w:val="20"/>
            <w:u w:val="single"/>
          </w:rPr>
          <w:t>File No. 001-41331</w:t>
        </w:r>
      </w:hyperlink>
      <w:r>
        <w:rPr>
          <w:rFonts w:ascii="Arial" w:hAnsi="Arial"/>
          <w:color w:val="000000"/>
          <w:sz w:val="20"/>
        </w:rPr>
        <w:t xml:space="preserve">) under the Securities Exchange Act of 1934, as amended (the “Exchange Act”), as updated by </w:t>
      </w:r>
      <w:hyperlink r:id="rId13">
        <w:r>
          <w:rPr>
            <w:rStyle w:val="InternetLink"/>
            <w:rFonts w:ascii="Arial" w:hAnsi="Arial"/>
            <w:color w:val="0000FF"/>
            <w:sz w:val="20"/>
            <w:u w:val="single"/>
          </w:rPr>
          <w:t>Exhibit 4.3</w:t>
        </w:r>
      </w:hyperlink>
      <w:r>
        <w:rPr>
          <w:rFonts w:ascii="Arial" w:hAnsi="Arial"/>
          <w:color w:val="000000"/>
          <w:sz w:val="20"/>
        </w:rPr>
        <w:t xml:space="preserve"> to the Registrant’s Annual Report on Form 10-K for the fiscal year ended December 31, 2025, filed with the SEC on March 17, 2026, including any amendment or report filed for the purpose of updating such description.</w:t>
      </w:r>
    </w:p>
    <w:p>
      <w:pPr>
        <w:pStyle w:val="TextBody"/>
        <w:bidi w:val="0"/>
        <w:spacing w:before="120" w:after="283"/>
        <w:jc w:val="left"/>
        <w:rPr>
          <w:rFonts w:ascii="Arial" w:hAnsi="Arial"/>
          <w:color w:val="000000"/>
          <w:sz w:val="20"/>
        </w:rPr>
      </w:pPr>
      <w:r>
        <w:rPr>
          <w:rFonts w:ascii="Arial" w:hAnsi="Arial"/>
          <w:color w:val="000000"/>
          <w:sz w:val="20"/>
        </w:rPr>
        <w:t xml:space="preserve">All other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 </w:t>
      </w:r>
    </w:p>
    <w:p>
      <w:pPr>
        <w:pStyle w:val="TextBody"/>
        <w:bidi w:val="0"/>
        <w:spacing w:before="240" w:after="283"/>
        <w:jc w:val="left"/>
        <w:rPr>
          <w:rFonts w:ascii="Arial" w:hAnsi="Arial"/>
          <w:b/>
          <w:color w:val="000000"/>
          <w:sz w:val="20"/>
        </w:rPr>
      </w:pPr>
      <w:r>
        <w:rPr>
          <w:rFonts w:ascii="Arial" w:hAnsi="Arial"/>
          <w:b/>
          <w:color w:val="000000"/>
          <w:sz w:val="20"/>
        </w:rPr>
        <w:t>ITEM 4. DESCRIPTION OF SECURITIES</w:t>
      </w:r>
    </w:p>
    <w:p>
      <w:pPr>
        <w:pStyle w:val="TextBody"/>
        <w:bidi w:val="0"/>
        <w:spacing w:before="120" w:after="283"/>
        <w:jc w:val="left"/>
        <w:rPr>
          <w:rFonts w:ascii="Arial" w:hAnsi="Arial"/>
          <w:color w:val="000000"/>
          <w:sz w:val="20"/>
        </w:rPr>
      </w:pPr>
      <w:r>
        <w:rPr>
          <w:rFonts w:ascii="Arial" w:hAnsi="Arial"/>
          <w:color w:val="000000"/>
          <w:sz w:val="20"/>
        </w:rPr>
        <w:t>Not applicable.</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Arial" w:hAnsi="Arial"/>
          <w:b/>
          <w:color w:val="000000"/>
          <w:sz w:val="20"/>
        </w:rPr>
      </w:pPr>
      <w:r>
        <w:rPr>
          <w:rFonts w:ascii="Arial" w:hAnsi="Arial"/>
          <w:b/>
          <w:color w:val="000000"/>
          <w:sz w:val="20"/>
        </w:rPr>
        <w:t>ITEM 5. INTERESTS OF NAMED EXPERTS AND COUNSEL</w:t>
      </w:r>
    </w:p>
    <w:p>
      <w:pPr>
        <w:pStyle w:val="TextBody"/>
        <w:bidi w:val="0"/>
        <w:spacing w:before="120" w:after="283"/>
        <w:jc w:val="left"/>
        <w:rPr>
          <w:rFonts w:ascii="Arial" w:hAnsi="Arial"/>
          <w:color w:val="000000"/>
          <w:sz w:val="20"/>
        </w:rPr>
      </w:pPr>
      <w:r>
        <w:rPr>
          <w:rFonts w:ascii="Arial" w:hAnsi="Arial"/>
          <w:color w:val="000000"/>
          <w:sz w:val="20"/>
        </w:rPr>
        <w:t>Not applicable.</w:t>
      </w:r>
    </w:p>
    <w:p>
      <w:pPr>
        <w:pStyle w:val="TextBody"/>
        <w:bidi w:val="0"/>
        <w:spacing w:before="240" w:after="283"/>
        <w:jc w:val="left"/>
        <w:rPr>
          <w:rFonts w:ascii="Arial" w:hAnsi="Arial"/>
          <w:b/>
          <w:color w:val="000000"/>
          <w:sz w:val="20"/>
        </w:rPr>
      </w:pPr>
      <w:r>
        <w:rPr>
          <w:rFonts w:ascii="Arial" w:hAnsi="Arial"/>
          <w:b/>
          <w:color w:val="000000"/>
          <w:sz w:val="20"/>
        </w:rPr>
        <w:t>ITEM 6. INDEMNIFICATION OF DIRECTORS AND OFFICERS</w:t>
      </w:r>
    </w:p>
    <w:p>
      <w:pPr>
        <w:pStyle w:val="TextBody"/>
        <w:bidi w:val="0"/>
        <w:spacing w:before="120" w:after="283"/>
        <w:jc w:val="left"/>
        <w:rPr>
          <w:rFonts w:ascii="Arial" w:hAnsi="Arial"/>
          <w:color w:val="000000"/>
          <w:sz w:val="20"/>
        </w:rPr>
      </w:pPr>
      <w:r>
        <w:rPr>
          <w:rFonts w:ascii="Arial" w:hAnsi="Arial"/>
          <w:color w:val="000000"/>
          <w:sz w:val="20"/>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The Registrant’s amended and restated certificate of incorporation permits indemnification of the Registrant’s directors, officers, employees and other agents to the maximum extent permitted by the Delaware General Corporation Law, and the Registrant’s amended and restated bylaws provide that the Registrant will indemnify its directors and executive officers and permit the Registrant to indemnify its other officers, employees and other agents, in each case to the maximum extent permitted by the Delaware General Corporation Law.</w:t>
      </w:r>
    </w:p>
    <w:p>
      <w:pPr>
        <w:pStyle w:val="TextBody"/>
        <w:bidi w:val="0"/>
        <w:spacing w:before="120" w:after="283"/>
        <w:jc w:val="left"/>
        <w:rPr>
          <w:rFonts w:ascii="Arial" w:hAnsi="Arial"/>
          <w:color w:val="000000"/>
          <w:sz w:val="20"/>
        </w:rPr>
      </w:pPr>
      <w:r>
        <w:rPr>
          <w:rFonts w:ascii="Arial" w:hAnsi="Arial"/>
          <w:color w:val="000000"/>
          <w:sz w:val="20"/>
        </w:rPr>
        <w:t>The Registrant has entered into indemnification agreements with its directors and officers, whereby it has agreed to indemnify its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officer, employee or agent of the Registrant, provided that such director or officer acted in good faith and in a manner that the director or officer reasonably believed to be in, or not opposed to, the best interest of the Registrant. At present, there is no pending litigation or proceeding involving a director or officer of the Registrant regarding which indemnification is sought, nor is the Registrant aware of any threatened litigation that may result in claims for indemnification.</w:t>
      </w:r>
    </w:p>
    <w:p>
      <w:pPr>
        <w:pStyle w:val="TextBody"/>
        <w:bidi w:val="0"/>
        <w:spacing w:before="120" w:after="283"/>
        <w:jc w:val="left"/>
        <w:rPr>
          <w:rFonts w:ascii="Arial" w:hAnsi="Arial"/>
          <w:color w:val="000000"/>
          <w:sz w:val="20"/>
        </w:rPr>
      </w:pPr>
      <w:r>
        <w:rPr>
          <w:rFonts w:ascii="Arial" w:hAnsi="Arial"/>
          <w:color w:val="000000"/>
          <w:sz w:val="20"/>
        </w:rPr>
        <w:t>The Registrant maintains insurance policies that indemnify its directors and officers against various liabilities arising under the Securities Act and the Exchange Act that might be incurred by any director or officer in his or her capacity as such.</w:t>
      </w:r>
    </w:p>
    <w:p>
      <w:pPr>
        <w:pStyle w:val="TextBody"/>
        <w:bidi w:val="0"/>
        <w:spacing w:before="240" w:after="283"/>
        <w:jc w:val="left"/>
        <w:rPr>
          <w:rFonts w:ascii="Arial" w:hAnsi="Arial"/>
          <w:b/>
          <w:color w:val="000000"/>
          <w:sz w:val="20"/>
        </w:rPr>
      </w:pPr>
      <w:r>
        <w:rPr>
          <w:rFonts w:ascii="Arial" w:hAnsi="Arial"/>
          <w:b/>
          <w:color w:val="000000"/>
          <w:sz w:val="20"/>
        </w:rPr>
        <w:t>ITEM 7. EXEMPTION FROM REGISTRATION CLAIMED</w:t>
      </w:r>
    </w:p>
    <w:p>
      <w:pPr>
        <w:pStyle w:val="TextBody"/>
        <w:bidi w:val="0"/>
        <w:spacing w:before="120" w:after="283"/>
        <w:jc w:val="left"/>
        <w:rPr>
          <w:rFonts w:ascii="Arial" w:hAnsi="Arial"/>
          <w:color w:val="000000"/>
          <w:sz w:val="20"/>
        </w:rPr>
      </w:pPr>
      <w:r>
        <w:rPr>
          <w:rFonts w:ascii="Arial" w:hAnsi="Arial"/>
          <w:color w:val="000000"/>
          <w:sz w:val="20"/>
        </w:rPr>
        <w:t>Not applicable.</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Arial" w:hAnsi="Arial"/>
          <w:b/>
          <w:color w:val="000000"/>
          <w:sz w:val="20"/>
        </w:rPr>
      </w:pPr>
      <w:r>
        <w:rPr>
          <w:rFonts w:ascii="Arial" w:hAnsi="Arial"/>
          <w:b/>
          <w:color w:val="000000"/>
          <w:sz w:val="20"/>
        </w:rPr>
        <w:t>ITEM 8.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56"/>
        <w:gridCol w:w="146"/>
        <w:gridCol w:w="5410"/>
        <w:gridCol w:w="146"/>
        <w:gridCol w:w="601"/>
        <w:gridCol w:w="146"/>
        <w:gridCol w:w="843"/>
        <w:gridCol w:w="146"/>
        <w:gridCol w:w="766"/>
        <w:gridCol w:w="146"/>
        <w:gridCol w:w="999"/>
      </w:tblGrid>
      <w:tr>
        <w:trPr/>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r>
      <w:tr>
        <w:trPr/>
        <w:tc>
          <w:tcPr>
            <w:tcW w:w="8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7"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Incorporated by Reference</w:t>
            </w:r>
          </w:p>
        </w:tc>
      </w:tr>
      <w:tr>
        <w:trPr/>
        <w:tc>
          <w:tcPr>
            <w:tcW w:w="856"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Exhibit</w:t>
            </w:r>
          </w:p>
          <w:p>
            <w:pPr>
              <w:pStyle w:val="TableContents"/>
              <w:bidi w:val="0"/>
              <w:spacing w:before="0" w:after="283"/>
              <w:jc w:val="center"/>
              <w:rPr>
                <w:rFonts w:ascii="Arial" w:hAnsi="Arial"/>
                <w:b/>
                <w:color w:val="000000"/>
                <w:sz w:val="20"/>
              </w:rPr>
            </w:pPr>
            <w:r>
              <w:rPr>
                <w:rFonts w:ascii="Arial" w:hAnsi="Arial"/>
                <w:b/>
                <w:color w:val="000000"/>
                <w:sz w:val="20"/>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1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Filing Date</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0"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Arial" w:hAnsi="Arial"/>
                  <w:color w:val="0000FF"/>
                  <w:sz w:val="20"/>
                  <w:u w:val="single"/>
                </w:rPr>
                <w:t>Amended and Restated Certificate of Incorporation of the Registrant.</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001-41331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June 24, 2024</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0"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Arial" w:hAnsi="Arial"/>
                  <w:color w:val="0000FF"/>
                  <w:sz w:val="20"/>
                  <w:u w:val="single"/>
                </w:rPr>
                <w:t>Amended and Restated Bylaws of the Registrant.</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333-263295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March 4, 2022</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0"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Arial" w:hAnsi="Arial"/>
                  <w:color w:val="0000FF"/>
                  <w:sz w:val="20"/>
                  <w:u w:val="single"/>
                </w:rPr>
                <w:t>Form of Common Stock Certificate of the Registrant.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333-263295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9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March 21, 2022</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0"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Arial" w:hAnsi="Arial"/>
                  <w:color w:val="0000FF"/>
                  <w:sz w:val="20"/>
                  <w:u w:val="single"/>
                </w:rPr>
                <w:t>Certificate of Designations of Series A Junior Participating Preferred Stock of AN2 Therapeutics, Inc. filed with the Secretary of State of the State of Delaware on August 15,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001-41331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9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August 19, 2024</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0" w:type="dxa"/>
            <w:tcBorders/>
            <w:tcMar>
              <w:top w:w="0" w:type="dxa"/>
              <w:left w:w="0" w:type="dxa"/>
              <w:bottom w:w="0" w:type="dxa"/>
              <w:right w:w="0" w:type="dxa"/>
            </w:tcMar>
            <w:vAlign w:val="center"/>
          </w:tcPr>
          <w:p>
            <w:pPr>
              <w:pStyle w:val="TableContents"/>
              <w:bidi w:val="0"/>
              <w:spacing w:before="0" w:after="283"/>
              <w:jc w:val="left"/>
              <w:rPr/>
            </w:pPr>
            <w:hyperlink w:anchor="antx-ex5_1.htm">
              <w:r>
                <w:rPr>
                  <w:rStyle w:val="InternetLink"/>
                  <w:rFonts w:ascii="Arial" w:hAnsi="Arial"/>
                  <w:color w:val="0000FF"/>
                  <w:sz w:val="20"/>
                  <w:u w:val="single"/>
                </w:rPr>
                <w:t>Opinion of Latham &amp; Watkins LLP.</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9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0" w:type="dxa"/>
            <w:tcBorders/>
            <w:tcMar>
              <w:top w:w="0" w:type="dxa"/>
              <w:left w:w="0" w:type="dxa"/>
              <w:bottom w:w="0" w:type="dxa"/>
              <w:right w:w="0" w:type="dxa"/>
            </w:tcMar>
            <w:vAlign w:val="center"/>
          </w:tcPr>
          <w:p>
            <w:pPr>
              <w:pStyle w:val="TableContents"/>
              <w:bidi w:val="0"/>
              <w:spacing w:before="0" w:after="283"/>
              <w:jc w:val="left"/>
              <w:rPr/>
            </w:pPr>
            <w:hyperlink w:anchor="antx-ex5_1.htm">
              <w:r>
                <w:rPr>
                  <w:rStyle w:val="InternetLink"/>
                  <w:rFonts w:ascii="Arial" w:hAnsi="Arial"/>
                  <w:color w:val="0000FF"/>
                  <w:sz w:val="20"/>
                  <w:u w:val="single"/>
                </w:rPr>
                <w:t>Consent of Latham &amp; Watkins LLP (included in Exhibit 5.1).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9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0" w:type="dxa"/>
            <w:tcBorders/>
            <w:tcMar>
              <w:top w:w="0" w:type="dxa"/>
              <w:left w:w="0" w:type="dxa"/>
              <w:bottom w:w="0" w:type="dxa"/>
              <w:right w:w="0" w:type="dxa"/>
            </w:tcMar>
            <w:vAlign w:val="center"/>
          </w:tcPr>
          <w:p>
            <w:pPr>
              <w:pStyle w:val="TableContents"/>
              <w:bidi w:val="0"/>
              <w:spacing w:before="0" w:after="283"/>
              <w:jc w:val="left"/>
              <w:rPr/>
            </w:pPr>
            <w:hyperlink w:anchor="antx-ex23_2.htm">
              <w:r>
                <w:rPr>
                  <w:rStyle w:val="InternetLink"/>
                  <w:rFonts w:ascii="Arial" w:hAnsi="Arial"/>
                  <w:color w:val="0000FF"/>
                  <w:sz w:val="20"/>
                  <w:u w:val="single"/>
                </w:rPr>
                <w:t>Consent of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9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0" w:type="dxa"/>
            <w:tcBorders/>
            <w:tcMar>
              <w:top w:w="0" w:type="dxa"/>
              <w:left w:w="0" w:type="dxa"/>
              <w:bottom w:w="0" w:type="dxa"/>
              <w:right w:w="0" w:type="dxa"/>
            </w:tcMar>
            <w:vAlign w:val="center"/>
          </w:tcPr>
          <w:p>
            <w:pPr>
              <w:pStyle w:val="TableContents"/>
              <w:bidi w:val="0"/>
              <w:spacing w:before="0" w:after="283"/>
              <w:jc w:val="left"/>
              <w:rPr/>
            </w:pPr>
            <w:hyperlink w:anchor="poa">
              <w:r>
                <w:rPr>
                  <w:rStyle w:val="InternetLink"/>
                  <w:rFonts w:ascii="Arial" w:hAnsi="Arial"/>
                  <w:color w:val="0000FF"/>
                  <w:sz w:val="20"/>
                  <w:u w:val="single"/>
                </w:rPr>
                <w:t>Power of Attorney (included on the signature page of this Registration Statement).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9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56" w:type="dxa"/>
            <w:tcBorders/>
            <w:tcMar>
              <w:top w:w="0" w:type="dxa"/>
              <w:left w:w="0" w:type="dxa"/>
              <w:bottom w:w="0" w:type="dxa"/>
              <w:right w:w="0" w:type="dxa"/>
            </w:tcMar>
            <w:vAlign w:val="center"/>
          </w:tcPr>
          <w:p>
            <w:pPr>
              <w:pStyle w:val="TableContents"/>
              <w:bidi w:val="0"/>
              <w:spacing w:lineRule="auto" w:line="360" w:before="0" w:after="283"/>
              <w:jc w:val="left"/>
              <w:rPr>
                <w:rFonts w:ascii="Arial" w:hAnsi="Arial"/>
                <w:sz w:val="20"/>
              </w:rPr>
            </w:pPr>
            <w:r>
              <w:rPr>
                <w:rFonts w:ascii="Arial" w:hAnsi="Arial"/>
                <w:color w:val="000000"/>
                <w:sz w:val="20"/>
              </w:rPr>
              <w:t>99.1</w:t>
            </w:r>
            <w:r>
              <w:rPr>
                <w:rFonts w:ascii="Arial" w:hAnsi="Arial"/>
                <w:color w:val="000000"/>
                <w:sz w:val="13"/>
              </w:rPr>
              <w:t>#</w:t>
            </w: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0" w:type="dxa"/>
            <w:tcBorders/>
            <w:tcMar>
              <w:top w:w="0" w:type="dxa"/>
              <w:left w:w="0" w:type="dxa"/>
              <w:bottom w:w="0" w:type="dxa"/>
              <w:right w:w="0" w:type="dxa"/>
            </w:tcMar>
            <w:vAlign w:val="center"/>
          </w:tcPr>
          <w:p>
            <w:pPr>
              <w:pStyle w:val="TableContents"/>
              <w:bidi w:val="0"/>
              <w:spacing w:before="0" w:after="283"/>
              <w:jc w:val="left"/>
              <w:rPr/>
            </w:pPr>
            <w:hyperlink w:anchor="antx-ex99_1.htm">
              <w:r>
                <w:rPr>
                  <w:rStyle w:val="InternetLink"/>
                  <w:rFonts w:ascii="Arial" w:hAnsi="Arial"/>
                  <w:color w:val="0000FF"/>
                  <w:sz w:val="20"/>
                  <w:u w:val="single"/>
                </w:rPr>
                <w:t>AN2 Therapeutics, Inc. 2026 Employment Inducement Award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9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107.1*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0" w:type="dxa"/>
            <w:tcBorders/>
            <w:tcMar>
              <w:top w:w="0" w:type="dxa"/>
              <w:left w:w="0" w:type="dxa"/>
              <w:bottom w:w="0" w:type="dxa"/>
              <w:right w:w="0" w:type="dxa"/>
            </w:tcMar>
            <w:vAlign w:val="center"/>
          </w:tcPr>
          <w:p>
            <w:pPr>
              <w:pStyle w:val="TableContents"/>
              <w:bidi w:val="0"/>
              <w:spacing w:before="0" w:after="283"/>
              <w:jc w:val="left"/>
              <w:rPr/>
            </w:pPr>
            <w:hyperlink w:anchor="antx_exfilingfees.htm">
              <w:r>
                <w:rPr>
                  <w:rStyle w:val="InternetLink"/>
                  <w:rFonts w:ascii="Arial" w:hAnsi="Arial"/>
                  <w:color w:val="0000FF"/>
                  <w:sz w:val="20"/>
                  <w:u w:val="single"/>
                </w:rPr>
                <w:t>Filing Fee Table.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9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41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9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99"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lineRule="auto" w:line="360"/>
        <w:jc w:val="left"/>
        <w:rPr>
          <w:rFonts w:ascii="Arial" w:hAnsi="Arial"/>
          <w:sz w:val="13"/>
        </w:rPr>
      </w:pPr>
      <w:r>
        <w:rPr>
          <w:rFonts w:ascii="Arial" w:hAnsi="Arial"/>
          <w:color w:val="000000"/>
          <w:sz w:val="20"/>
        </w:rPr>
        <w:t>* Filed herewith.</w:t>
        <w:br/>
      </w:r>
      <w:r>
        <w:rPr>
          <w:rFonts w:ascii="Arial" w:hAnsi="Arial"/>
          <w:color w:val="000000"/>
          <w:sz w:val="13"/>
        </w:rPr>
        <w:t xml:space="preserve"># </w:t>
      </w:r>
      <w:r>
        <w:rPr>
          <w:rFonts w:ascii="Arial" w:hAnsi="Arial"/>
          <w:color w:val="000000"/>
          <w:sz w:val="20"/>
        </w:rPr>
        <w:t>Indicates management contract or compensatory plan.</w:t>
      </w:r>
    </w:p>
    <w:p>
      <w:pPr>
        <w:pStyle w:val="TextBody"/>
        <w:bidi w:val="0"/>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ITEM 9. UNDERTAKINGS</w:t>
      </w:r>
    </w:p>
    <w:p>
      <w:pPr>
        <w:pStyle w:val="TextBody"/>
        <w:bidi w:val="0"/>
        <w:spacing w:before="120" w:after="283"/>
        <w:jc w:val="left"/>
        <w:rPr>
          <w:rFonts w:ascii="Arial" w:hAnsi="Arial"/>
          <w:color w:val="000000"/>
          <w:sz w:val="20"/>
        </w:rPr>
      </w:pPr>
      <w:r>
        <w:rPr>
          <w:rFonts w:ascii="Arial" w:hAnsi="Arial"/>
          <w:color w:val="000000"/>
          <w:sz w:val="20"/>
        </w:rPr>
        <w:t>(a) The Registrant hereby undertakes:</w:t>
      </w:r>
    </w:p>
    <w:p>
      <w:pPr>
        <w:pStyle w:val="TextBody"/>
        <w:bidi w:val="0"/>
        <w:spacing w:before="120" w:after="283"/>
        <w:jc w:val="left"/>
        <w:rPr>
          <w:rFonts w:ascii="Arial" w:hAnsi="Arial"/>
          <w:color w:val="000000"/>
          <w:sz w:val="20"/>
        </w:rPr>
      </w:pPr>
      <w:r>
        <w:rPr>
          <w:rFonts w:ascii="Arial" w:hAnsi="Arial"/>
          <w:color w:val="000000"/>
          <w:sz w:val="20"/>
        </w:rPr>
        <w:t>(1) To file, during any period in which offers or sales are being made, a post-effective amendment to this registration statement:</w:t>
      </w:r>
    </w:p>
    <w:p>
      <w:pPr>
        <w:pStyle w:val="TextBody"/>
        <w:bidi w:val="0"/>
        <w:spacing w:before="120" w:after="283"/>
        <w:jc w:val="left"/>
        <w:rPr>
          <w:rFonts w:ascii="Arial" w:hAnsi="Arial"/>
          <w:color w:val="000000"/>
          <w:sz w:val="20"/>
        </w:rPr>
      </w:pPr>
      <w:r>
        <w:rPr>
          <w:rFonts w:ascii="Arial" w:hAnsi="Arial"/>
          <w:color w:val="000000"/>
          <w:sz w:val="20"/>
        </w:rPr>
        <w:t>(i) To include any prospectus required by Section 10(a)(3) of the Securities Act of 1933;</w:t>
      </w:r>
    </w:p>
    <w:p>
      <w:pPr>
        <w:pStyle w:val="TextBody"/>
        <w:bidi w:val="0"/>
        <w:spacing w:before="120" w:after="283"/>
        <w:jc w:val="left"/>
        <w:rPr>
          <w:rFonts w:ascii="Arial" w:hAnsi="Arial"/>
          <w:color w:val="000000"/>
          <w:sz w:val="20"/>
        </w:rPr>
      </w:pPr>
      <w:r>
        <w:rPr>
          <w:rFonts w:ascii="Arial" w:hAnsi="Arial"/>
          <w:color w:val="000000"/>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Filing Fee Tables” table in the effective registration statement; and</w:t>
      </w:r>
    </w:p>
    <w:p>
      <w:pPr>
        <w:pStyle w:val="TextBody"/>
        <w:bidi w:val="0"/>
        <w:spacing w:before="120" w:after="283"/>
        <w:jc w:val="left"/>
        <w:rPr>
          <w:rFonts w:ascii="Arial" w:hAnsi="Arial"/>
          <w:color w:val="000000"/>
          <w:sz w:val="20"/>
        </w:rPr>
      </w:pPr>
      <w:r>
        <w:rPr>
          <w:rFonts w:ascii="Arial" w:hAnsi="Arial"/>
          <w:color w:val="000000"/>
          <w:sz w:val="20"/>
        </w:rPr>
        <w:t>(iii) To include any material information with respect to the plan of distribution not previously disclosed in the registration statement or any material change to such information in the registration statement;</w:t>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Provided, however, that paragraphs (a)(1)(i) and (a)(1)(ii) do not apply if the registration statement is on Form S-8, and the information required to be included in a post-effective amendment by those paragraphs is contained in reports filed with or furnished to the SEC by the Registrant pursuant to Section 13 or 15(d) of the Securities Exchange Act of 1934, as amended, that are incorporated by reference in the registration statement.</w:t>
      </w:r>
    </w:p>
    <w:p>
      <w:pPr>
        <w:pStyle w:val="TextBody"/>
        <w:bidi w:val="0"/>
        <w:spacing w:before="120" w:after="283"/>
        <w:jc w:val="left"/>
        <w:rPr>
          <w:rFonts w:ascii="Arial" w:hAnsi="Arial"/>
          <w:color w:val="000000"/>
          <w:sz w:val="20"/>
        </w:rPr>
      </w:pPr>
      <w:r>
        <w:rPr>
          <w:rFonts w:ascii="Arial" w:hAnsi="Arial"/>
          <w:color w:val="000000"/>
          <w:sz w:val="20"/>
        </w:rPr>
        <w:t>(2)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120" w:after="283"/>
        <w:jc w:val="left"/>
        <w:rPr>
          <w:rFonts w:ascii="Arial" w:hAnsi="Arial"/>
          <w:color w:val="000000"/>
          <w:sz w:val="20"/>
        </w:rPr>
      </w:pPr>
      <w:r>
        <w:rPr>
          <w:rFonts w:ascii="Arial" w:hAnsi="Arial"/>
          <w:color w:val="000000"/>
          <w:sz w:val="20"/>
        </w:rPr>
        <w:t>(3) To remove from registration by means of a post-effective amendment any of the securities being registered which remain unsold at the termination of the offering.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Arial" w:hAnsi="Arial"/>
          <w:color w:val="000000"/>
          <w:sz w:val="20"/>
        </w:rPr>
      </w:pPr>
      <w:r>
        <w:rPr>
          <w:rFonts w:ascii="Arial" w:hAnsi="Arial"/>
          <w:color w:val="000000"/>
          <w:sz w:val="20"/>
        </w:rPr>
        <w:t>(b) The Registrant hereby undertakes that, for purposes of determining any liability under the Securities Act of 1933, each filing of the Registrant’s annual report pursuant to Section 13(a) or 15(d) of the Securities Exchange Act of 1934, as amended (and, where applicable, each filing of an employee benefit plan’s annual report pursuant to Section 15(d) of the Securities Exchange Act of 1934, as amended),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120" w:after="283"/>
        <w:jc w:val="left"/>
        <w:rPr>
          <w:rFonts w:ascii="Arial" w:hAnsi="Arial"/>
          <w:color w:val="000000"/>
          <w:sz w:val="20"/>
        </w:rPr>
      </w:pPr>
      <w:r>
        <w:rPr>
          <w:rFonts w:ascii="Arial" w:hAnsi="Arial"/>
          <w:color w:val="000000"/>
          <w:sz w:val="20"/>
        </w:rPr>
        <w:t>(h) 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jc w:val="left"/>
        <w:rPr/>
      </w:pPr>
      <w:r>
        <w:rPr/>
        <w:t> </w:t>
      </w:r>
    </w:p>
    <w:p>
      <w:pPr>
        <w:pStyle w:val="TextBody"/>
        <w:bidi w:val="0"/>
        <w:spacing w:before="240" w:after="283"/>
        <w:jc w:val="center"/>
        <w:rPr>
          <w:rFonts w:ascii="Arial" w:hAnsi="Arial"/>
          <w:b/>
          <w:color w:val="000000"/>
          <w:sz w:val="20"/>
        </w:rPr>
      </w:pPr>
      <w:r>
        <w:rPr>
          <w:rFonts w:ascii="Arial" w:hAnsi="Arial"/>
          <w:b/>
          <w:color w:val="000000"/>
          <w:sz w:val="20"/>
        </w:rPr>
        <w:t>SIGNATURES</w:t>
      </w:r>
    </w:p>
    <w:p>
      <w:pPr>
        <w:pStyle w:val="TextBody"/>
        <w:bidi w:val="0"/>
        <w:spacing w:before="120" w:after="283"/>
        <w:jc w:val="left"/>
        <w:rPr>
          <w:rFonts w:ascii="Arial" w:hAnsi="Arial"/>
          <w:color w:val="000000"/>
          <w:sz w:val="20"/>
        </w:rPr>
      </w:pPr>
      <w:r>
        <w:rPr>
          <w:rFonts w:ascii="Arial" w:hAnsi="Arial"/>
          <w:color w:val="000000"/>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Menlo Park, State of California, on this 14th day of September, 2026.</w:t>
      </w:r>
    </w:p>
    <w:tbl>
      <w:tblPr>
        <w:tblW w:w="4003" w:type="dxa"/>
        <w:jc w:val="left"/>
        <w:tblInd w:w="0" w:type="dxa"/>
        <w:tblLayout w:type="fixed"/>
        <w:tblCellMar>
          <w:top w:w="28" w:type="dxa"/>
          <w:left w:w="28" w:type="dxa"/>
          <w:bottom w:w="28" w:type="dxa"/>
          <w:right w:w="28" w:type="dxa"/>
        </w:tblCellMar>
      </w:tblPr>
      <w:tblGrid>
        <w:gridCol w:w="421"/>
        <w:gridCol w:w="146"/>
        <w:gridCol w:w="3436"/>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03" w:type="dxa"/>
            <w:gridSpan w:val="3"/>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AN2 THERAPEUTICS, INC.</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358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343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Eric Easom</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Eric Easom</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Arial" w:hAnsi="Arial"/>
          <w:sz w:val="20"/>
        </w:rPr>
      </w:pPr>
      <w:bookmarkStart w:id="2" w:name="poa"/>
      <w:bookmarkEnd w:id="2"/>
      <w:r>
        <w:rPr>
          <w:rFonts w:ascii="Arial" w:hAnsi="Arial"/>
          <w:b/>
          <w:color w:val="000000"/>
          <w:sz w:val="20"/>
        </w:rPr>
        <w:t>POWER OF ATTORNEY</w:t>
      </w:r>
      <w:r>
        <w:rPr>
          <w:rFonts w:ascii="Arial" w:hAnsi="Arial"/>
          <w:color w:val="000000"/>
          <w:sz w:val="20"/>
        </w:rPr>
        <w:br/>
        <w:t> </w:t>
      </w:r>
    </w:p>
    <w:p>
      <w:pPr>
        <w:pStyle w:val="TextBody"/>
        <w:bidi w:val="0"/>
        <w:spacing w:before="120" w:after="283"/>
        <w:jc w:val="left"/>
        <w:rPr>
          <w:rFonts w:ascii="Arial" w:hAnsi="Arial"/>
          <w:color w:val="000000"/>
          <w:sz w:val="20"/>
        </w:rPr>
      </w:pPr>
      <w:r>
        <w:rPr>
          <w:rFonts w:ascii="Arial" w:hAnsi="Arial"/>
          <w:color w:val="000000"/>
          <w:sz w:val="20"/>
        </w:rPr>
        <w:t>KNOW ALL PERSONS BY THESE PRESENTS, that each person whose signature appears below constitutes and appoints Eric Easom and Lucy O. Day, and each of them, as his or her true and lawful attorneys-in-fact and agents, each with the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 or substitutes, may lawfully do or cause to be done by virtue hereof.</w:t>
        <w:br/>
        <w:t> </w:t>
      </w:r>
    </w:p>
    <w:p>
      <w:pPr>
        <w:pStyle w:val="TextBody"/>
        <w:bidi w:val="0"/>
        <w:spacing w:before="120" w:after="283"/>
        <w:jc w:val="left"/>
        <w:rPr>
          <w:rFonts w:ascii="Arial" w:hAnsi="Arial"/>
          <w:color w:val="000000"/>
          <w:sz w:val="20"/>
        </w:rPr>
      </w:pPr>
      <w:r>
        <w:rPr>
          <w:rFonts w:ascii="Arial" w:hAnsi="Arial"/>
          <w:color w:val="000000"/>
          <w:sz w:val="20"/>
        </w:rPr>
        <w:t>Pursuant to the requirements of the Securities Act of 1933, as amended, this Registration Statement has been signed below by the following persons in the capacities and on the dates indicated.</w:t>
      </w:r>
    </w:p>
    <w:p>
      <w:pPr>
        <w:pStyle w:val="TextBody"/>
        <w:bidi w:val="0"/>
        <w:jc w:val="left"/>
        <w:rPr/>
      </w:pPr>
      <w:r>
        <w:rPr/>
        <w:t> </w:t>
      </w:r>
    </w:p>
    <w:tbl>
      <w:tblPr>
        <w:tblW w:w="8095" w:type="dxa"/>
        <w:jc w:val="left"/>
        <w:tblInd w:w="0" w:type="dxa"/>
        <w:tblLayout w:type="fixed"/>
        <w:tblCellMar>
          <w:top w:w="28" w:type="dxa"/>
          <w:left w:w="28" w:type="dxa"/>
          <w:bottom w:w="28" w:type="dxa"/>
          <w:right w:w="28" w:type="dxa"/>
        </w:tblCellMar>
      </w:tblPr>
      <w:tblGrid>
        <w:gridCol w:w="2311"/>
        <w:gridCol w:w="146"/>
        <w:gridCol w:w="3586"/>
        <w:gridCol w:w="146"/>
        <w:gridCol w:w="190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r>
      <w:tr>
        <w:trPr/>
        <w:tc>
          <w:tcPr>
            <w:tcW w:w="23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Signature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Title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Date</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Eric Easom</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Chief Executive Officer and Board Chair</w:t>
              <w:br/>
              <w:t>(Principal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September 14, 2026</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Eric Easom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Lucy O. Day</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86"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 xml:space="preserve">Chief Financial Officer </w:t>
            </w:r>
          </w:p>
          <w:p>
            <w:pPr>
              <w:pStyle w:val="TableContents"/>
              <w:bidi w:val="0"/>
              <w:spacing w:before="0" w:after="283"/>
              <w:jc w:val="center"/>
              <w:rPr>
                <w:rFonts w:ascii="Arial" w:hAnsi="Arial"/>
                <w:color w:val="000000"/>
                <w:sz w:val="20"/>
              </w:rPr>
            </w:pPr>
            <w:r>
              <w:rPr>
                <w:rFonts w:ascii="Arial" w:hAnsi="Arial"/>
                <w:color w:val="000000"/>
                <w:sz w:val="20"/>
              </w:rPr>
              <w:t>(Principal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September 14, 2026</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Lucy O. Day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Sarah Williams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8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Arial" w:hAnsi="Arial"/>
                <w:color w:val="000000"/>
                <w:sz w:val="20"/>
              </w:rPr>
              <w:t>Principal Accounting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September 14, 2026</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Sarah Williams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Joseph Zakrzewski</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September 14, 2026</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Joseph Zakrzewski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Kabeer Aziz</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September 14, 2026</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Kabeer Aziz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Maggie FitzPatrick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September 14, 2026</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Maggie FitzPatrick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Gilbert L. Marks</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September 14, 2026</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Gilbert L. Marks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Patricia (Patty) Martin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September 14, 2026</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Patricia (Patty) Martin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Rob Readnour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September 14, 2026</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Rob Readnour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Melvin Spigelman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September 14, 2026</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Melvin Spigelman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Stephanie Wong</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September 14, 2026</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Stephanie Wong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 w:name="antx-ex5_1.htm"/>
      <w:bookmarkStart w:id="4" w:name="ksantxex5_1"/>
      <w:bookmarkEnd w:id="3"/>
      <w:bookmarkEnd w:id="4"/>
      <w:r>
        <w:rPr/>
        <w:t> </w:t>
      </w:r>
      <w:r>
        <w:br w:type="page"/>
      </w:r>
    </w:p>
    <w:p>
      <w:pPr>
        <w:pStyle w:val="TextBody"/>
        <w:bidi w:val="0"/>
        <w:spacing w:before="120" w:after="283"/>
        <w:jc w:val="right"/>
        <w:rPr>
          <w:rFonts w:ascii="Arial" w:hAnsi="Arial"/>
          <w:b/>
          <w:color w:val="000000"/>
          <w:sz w:val="20"/>
        </w:rPr>
      </w:pPr>
      <w:r>
        <w:rPr>
          <w:rFonts w:ascii="Arial" w:hAnsi="Arial"/>
          <w:b/>
          <w:color w:val="000000"/>
          <w:sz w:val="20"/>
        </w:rPr>
        <w:t>Exhibit 5.1</w:t>
      </w:r>
    </w:p>
    <w:p>
      <w:pPr>
        <w:pStyle w:val="TextBody"/>
        <w:bidi w:val="0"/>
        <w:jc w:val="left"/>
        <w:rPr/>
      </w:pPr>
      <w:r>
        <w:rPr/>
        <w:t> </w:t>
      </w:r>
    </w:p>
    <w:p>
      <w:pPr>
        <w:pStyle w:val="TextBody"/>
        <w:bidi w:val="0"/>
        <w:jc w:val="left"/>
        <w:rPr/>
      </w:pPr>
      <w:r>
        <w:rPr/>
        <w:drawing>
          <wp:inline distT="0" distB="0" distL="0" distR="0">
            <wp:extent cx="2257425"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8"/>
                    <a:stretch>
                      <a:fillRect/>
                    </a:stretch>
                  </pic:blipFill>
                  <pic:spPr bwMode="auto">
                    <a:xfrm>
                      <a:off x="0" y="0"/>
                      <a:ext cx="2257425" cy="152400"/>
                    </a:xfrm>
                    <a:prstGeom prst="rect">
                      <a:avLst/>
                    </a:prstGeom>
                  </pic:spPr>
                </pic:pic>
              </a:graphicData>
            </a:graphic>
          </wp:inline>
        </w:drawing>
      </w:r>
    </w:p>
    <w:p>
      <w:pPr>
        <w:pStyle w:val="TextBody"/>
        <w:bidi w:val="0"/>
        <w:jc w:val="left"/>
        <w:rPr>
          <w:rFonts w:ascii="Arial" w:hAnsi="Arial"/>
          <w:color w:val="000000"/>
          <w:sz w:val="14"/>
        </w:rPr>
      </w:pPr>
      <w:r>
        <w:rPr>
          <w:rFonts w:ascii="Arial" w:hAnsi="Arial"/>
          <w:color w:val="000000"/>
          <w:sz w:val="14"/>
        </w:rPr>
        <w:t>801 Jefferson Avenue, Suite 300</w:t>
      </w:r>
    </w:p>
    <w:p>
      <w:pPr>
        <w:pStyle w:val="TextBody"/>
        <w:bidi w:val="0"/>
        <w:jc w:val="left"/>
        <w:rPr>
          <w:rFonts w:ascii="Arial" w:hAnsi="Arial"/>
          <w:color w:val="000000"/>
          <w:sz w:val="14"/>
        </w:rPr>
      </w:pPr>
      <w:r>
        <w:rPr>
          <w:rFonts w:ascii="Arial" w:hAnsi="Arial"/>
          <w:color w:val="000000"/>
          <w:sz w:val="14"/>
        </w:rPr>
        <w:t>Redwood City, California 94063</w:t>
      </w:r>
    </w:p>
    <w:p>
      <w:pPr>
        <w:pStyle w:val="TextBody"/>
        <w:bidi w:val="0"/>
        <w:jc w:val="left"/>
        <w:rPr>
          <w:rFonts w:ascii="Arial" w:hAnsi="Arial"/>
          <w:color w:val="000000"/>
          <w:sz w:val="14"/>
        </w:rPr>
      </w:pPr>
      <w:r>
        <w:rPr>
          <w:rFonts w:ascii="Arial" w:hAnsi="Arial"/>
          <w:color w:val="000000"/>
          <w:sz w:val="14"/>
        </w:rPr>
        <w:t>Tel: +1.650.328.4600 Fax: +1.650.463.2600</w:t>
      </w:r>
    </w:p>
    <w:p>
      <w:pPr>
        <w:pStyle w:val="TextBody"/>
        <w:bidi w:val="0"/>
        <w:spacing w:before="0" w:after="115"/>
        <w:jc w:val="left"/>
        <w:rPr>
          <w:rFonts w:ascii="Arial" w:hAnsi="Arial"/>
          <w:color w:val="000000"/>
          <w:sz w:val="14"/>
        </w:rPr>
      </w:pPr>
      <w:r>
        <w:rPr>
          <w:rFonts w:ascii="Arial" w:hAnsi="Arial"/>
          <w:color w:val="000000"/>
          <w:sz w:val="14"/>
        </w:rPr>
        <w:t>www.lw.com</w:t>
      </w:r>
    </w:p>
    <w:p>
      <w:pPr>
        <w:pStyle w:val="TextBody"/>
        <w:bidi w:val="0"/>
        <w:jc w:val="left"/>
        <w:rPr>
          <w:rFonts w:ascii="Times New Roman" w:hAnsi="Times New Roman"/>
          <w:color w:val="000000"/>
          <w:sz w:val="24"/>
        </w:rPr>
      </w:pPr>
      <w:r>
        <w:rPr>
          <w:rFonts w:ascii="Times New Roman" w:hAnsi="Times New Roman"/>
          <w:color w:val="000000"/>
          <w:sz w:val="24"/>
        </w:rPr>
        <w:t>September 14, 2026</w:t>
      </w:r>
    </w:p>
    <w:p>
      <w:pPr>
        <w:pStyle w:val="TextBody"/>
        <w:bidi w:val="0"/>
        <w:jc w:val="left"/>
        <w:rPr>
          <w:rFonts w:ascii="Arial" w:hAnsi="Arial"/>
          <w:color w:val="000000"/>
          <w:sz w:val="14"/>
        </w:rPr>
      </w:pPr>
      <w:r>
        <w:rPr>
          <w:rFonts w:ascii="Arial" w:hAnsi="Arial"/>
          <w:color w:val="000000"/>
          <w:sz w:val="14"/>
        </w:rPr>
        <w:t>FIRM / AFFILIATE OFFICES</w:t>
      </w:r>
    </w:p>
    <w:p>
      <w:pPr>
        <w:pStyle w:val="TextBody"/>
        <w:bidi w:val="0"/>
        <w:jc w:val="left"/>
        <w:rPr>
          <w:rFonts w:ascii="Arial" w:hAnsi="Arial"/>
          <w:color w:val="000000"/>
          <w:sz w:val="14"/>
        </w:rPr>
      </w:pPr>
      <w:r>
        <w:rPr>
          <w:rFonts w:ascii="Arial" w:hAnsi="Arial"/>
          <w:color w:val="000000"/>
          <w:sz w:val="14"/>
        </w:rPr>
        <w:t>Austin Milan</w:t>
      </w:r>
    </w:p>
    <w:p>
      <w:pPr>
        <w:pStyle w:val="TextBody"/>
        <w:bidi w:val="0"/>
        <w:jc w:val="left"/>
        <w:rPr>
          <w:rFonts w:ascii="Arial" w:hAnsi="Arial"/>
          <w:color w:val="000000"/>
          <w:sz w:val="14"/>
        </w:rPr>
      </w:pPr>
      <w:r>
        <w:rPr>
          <w:rFonts w:ascii="Arial" w:hAnsi="Arial"/>
          <w:color w:val="000000"/>
          <w:sz w:val="14"/>
        </w:rPr>
        <w:t>Beijing Munich</w:t>
      </w:r>
    </w:p>
    <w:p>
      <w:pPr>
        <w:pStyle w:val="TextBody"/>
        <w:bidi w:val="0"/>
        <w:jc w:val="left"/>
        <w:rPr>
          <w:rFonts w:ascii="Arial" w:hAnsi="Arial"/>
          <w:color w:val="000000"/>
          <w:sz w:val="14"/>
        </w:rPr>
      </w:pPr>
      <w:r>
        <w:rPr>
          <w:rFonts w:ascii="Arial" w:hAnsi="Arial"/>
          <w:color w:val="000000"/>
          <w:sz w:val="14"/>
        </w:rPr>
        <w:t>Boston New York</w:t>
      </w:r>
    </w:p>
    <w:p>
      <w:pPr>
        <w:pStyle w:val="TextBody"/>
        <w:bidi w:val="0"/>
        <w:jc w:val="left"/>
        <w:rPr>
          <w:rFonts w:ascii="Arial" w:hAnsi="Arial"/>
          <w:color w:val="000000"/>
          <w:sz w:val="14"/>
        </w:rPr>
      </w:pPr>
      <w:r>
        <w:rPr>
          <w:rFonts w:ascii="Arial" w:hAnsi="Arial"/>
          <w:color w:val="000000"/>
          <w:sz w:val="14"/>
        </w:rPr>
        <w:t>Brussels Orange County</w:t>
      </w:r>
    </w:p>
    <w:p>
      <w:pPr>
        <w:pStyle w:val="TextBody"/>
        <w:bidi w:val="0"/>
        <w:jc w:val="left"/>
        <w:rPr>
          <w:rFonts w:ascii="Arial" w:hAnsi="Arial"/>
          <w:color w:val="000000"/>
          <w:sz w:val="14"/>
        </w:rPr>
      </w:pPr>
      <w:r>
        <w:rPr>
          <w:rFonts w:ascii="Arial" w:hAnsi="Arial"/>
          <w:color w:val="000000"/>
          <w:sz w:val="14"/>
        </w:rPr>
        <w:t>Chicago Paris</w:t>
      </w:r>
    </w:p>
    <w:p>
      <w:pPr>
        <w:pStyle w:val="TextBody"/>
        <w:bidi w:val="0"/>
        <w:jc w:val="left"/>
        <w:rPr>
          <w:rFonts w:ascii="Arial" w:hAnsi="Arial"/>
          <w:color w:val="000000"/>
          <w:sz w:val="14"/>
        </w:rPr>
      </w:pPr>
      <w:r>
        <w:rPr>
          <w:rFonts w:ascii="Arial" w:hAnsi="Arial"/>
          <w:color w:val="000000"/>
          <w:sz w:val="14"/>
        </w:rPr>
        <w:t>Dubai Riyadh</w:t>
      </w:r>
    </w:p>
    <w:p>
      <w:pPr>
        <w:pStyle w:val="TextBody"/>
        <w:bidi w:val="0"/>
        <w:jc w:val="left"/>
        <w:rPr>
          <w:rFonts w:ascii="Arial" w:hAnsi="Arial"/>
          <w:color w:val="000000"/>
          <w:sz w:val="14"/>
        </w:rPr>
      </w:pPr>
      <w:r>
        <w:rPr>
          <w:rFonts w:ascii="Arial" w:hAnsi="Arial"/>
          <w:color w:val="000000"/>
          <w:sz w:val="14"/>
        </w:rPr>
        <w:t>Düsseldorf San Diego</w:t>
      </w:r>
    </w:p>
    <w:p>
      <w:pPr>
        <w:pStyle w:val="TextBody"/>
        <w:bidi w:val="0"/>
        <w:jc w:val="left"/>
        <w:rPr>
          <w:rFonts w:ascii="Arial" w:hAnsi="Arial"/>
          <w:color w:val="000000"/>
          <w:sz w:val="14"/>
        </w:rPr>
      </w:pPr>
      <w:r>
        <w:rPr>
          <w:rFonts w:ascii="Arial" w:hAnsi="Arial"/>
          <w:color w:val="000000"/>
          <w:sz w:val="14"/>
        </w:rPr>
        <w:t>Frankfurt San Francisco</w:t>
      </w:r>
    </w:p>
    <w:p>
      <w:pPr>
        <w:pStyle w:val="TextBody"/>
        <w:bidi w:val="0"/>
        <w:jc w:val="left"/>
        <w:rPr>
          <w:rFonts w:ascii="Arial" w:hAnsi="Arial"/>
          <w:color w:val="000000"/>
          <w:sz w:val="14"/>
        </w:rPr>
      </w:pPr>
      <w:r>
        <w:rPr>
          <w:rFonts w:ascii="Arial" w:hAnsi="Arial"/>
          <w:color w:val="000000"/>
          <w:sz w:val="14"/>
        </w:rPr>
        <w:t>Hamburg Seoul</w:t>
      </w:r>
    </w:p>
    <w:p>
      <w:pPr>
        <w:pStyle w:val="TextBody"/>
        <w:bidi w:val="0"/>
        <w:jc w:val="left"/>
        <w:rPr>
          <w:rFonts w:ascii="Arial" w:hAnsi="Arial"/>
          <w:color w:val="000000"/>
          <w:sz w:val="14"/>
        </w:rPr>
      </w:pPr>
      <w:r>
        <w:rPr>
          <w:rFonts w:ascii="Arial" w:hAnsi="Arial"/>
          <w:color w:val="000000"/>
          <w:sz w:val="14"/>
        </w:rPr>
        <w:t>Hong Kong Silicon Valley</w:t>
      </w:r>
    </w:p>
    <w:p>
      <w:pPr>
        <w:pStyle w:val="TextBody"/>
        <w:bidi w:val="0"/>
        <w:jc w:val="left"/>
        <w:rPr>
          <w:rFonts w:ascii="Arial" w:hAnsi="Arial"/>
          <w:color w:val="000000"/>
          <w:sz w:val="14"/>
        </w:rPr>
      </w:pPr>
      <w:r>
        <w:rPr>
          <w:rFonts w:ascii="Arial" w:hAnsi="Arial"/>
          <w:color w:val="000000"/>
          <w:sz w:val="14"/>
        </w:rPr>
        <w:t>Houston Singapore</w:t>
      </w:r>
    </w:p>
    <w:p>
      <w:pPr>
        <w:pStyle w:val="TextBody"/>
        <w:bidi w:val="0"/>
        <w:jc w:val="left"/>
        <w:rPr>
          <w:rFonts w:ascii="Arial" w:hAnsi="Arial"/>
          <w:color w:val="000000"/>
          <w:sz w:val="14"/>
        </w:rPr>
      </w:pPr>
      <w:r>
        <w:rPr>
          <w:rFonts w:ascii="Arial" w:hAnsi="Arial"/>
          <w:color w:val="000000"/>
          <w:sz w:val="14"/>
        </w:rPr>
        <w:t>London Tel Aviv</w:t>
      </w:r>
    </w:p>
    <w:p>
      <w:pPr>
        <w:pStyle w:val="TextBody"/>
        <w:bidi w:val="0"/>
        <w:jc w:val="left"/>
        <w:rPr>
          <w:rFonts w:ascii="Arial" w:hAnsi="Arial"/>
          <w:color w:val="000000"/>
          <w:sz w:val="14"/>
        </w:rPr>
      </w:pPr>
      <w:r>
        <w:rPr>
          <w:rFonts w:ascii="Arial" w:hAnsi="Arial"/>
          <w:color w:val="000000"/>
          <w:sz w:val="14"/>
        </w:rPr>
        <w:t>Los Angeles Tokyo</w:t>
      </w:r>
    </w:p>
    <w:p>
      <w:pPr>
        <w:pStyle w:val="TextBody"/>
        <w:bidi w:val="0"/>
        <w:jc w:val="left"/>
        <w:rPr>
          <w:rFonts w:ascii="Arial" w:hAnsi="Arial"/>
          <w:color w:val="000000"/>
          <w:sz w:val="14"/>
        </w:rPr>
      </w:pPr>
      <w:r>
        <w:rPr>
          <w:rFonts w:ascii="Arial" w:hAnsi="Arial"/>
          <w:color w:val="000000"/>
          <w:sz w:val="14"/>
        </w:rPr>
        <w:t>Madrid Washington, D.C.</w:t>
      </w:r>
    </w:p>
    <w:p>
      <w:pPr>
        <w:pStyle w:val="TextBody"/>
        <w:bidi w:val="0"/>
        <w:jc w:val="left"/>
        <w:rPr>
          <w:rFonts w:ascii="Times New Roman" w:hAnsi="Times New Roman"/>
          <w:color w:val="000000"/>
          <w:sz w:val="24"/>
        </w:rPr>
      </w:pPr>
      <w:r>
        <w:rPr>
          <w:rFonts w:ascii="Times New Roman" w:hAnsi="Times New Roman"/>
          <w:color w:val="000000"/>
          <w:sz w:val="24"/>
        </w:rPr>
        <w:t>AN2 Therapeutics, Inc.</w:t>
      </w:r>
    </w:p>
    <w:p>
      <w:pPr>
        <w:pStyle w:val="TextBody"/>
        <w:bidi w:val="0"/>
        <w:jc w:val="left"/>
        <w:rPr>
          <w:rFonts w:ascii="Times New Roman" w:hAnsi="Times New Roman"/>
          <w:color w:val="000000"/>
          <w:sz w:val="24"/>
        </w:rPr>
      </w:pPr>
      <w:r>
        <w:rPr>
          <w:rFonts w:ascii="Times New Roman" w:hAnsi="Times New Roman"/>
          <w:color w:val="000000"/>
          <w:sz w:val="24"/>
        </w:rPr>
        <w:t>1300 El Camino Real, Suite 100</w:t>
      </w:r>
    </w:p>
    <w:p>
      <w:pPr>
        <w:pStyle w:val="TextBody"/>
        <w:bidi w:val="0"/>
        <w:jc w:val="left"/>
        <w:rPr>
          <w:rFonts w:ascii="Times New Roman" w:hAnsi="Times New Roman"/>
          <w:color w:val="000000"/>
          <w:sz w:val="24"/>
        </w:rPr>
      </w:pPr>
      <w:r>
        <w:rPr>
          <w:rFonts w:ascii="Times New Roman" w:hAnsi="Times New Roman"/>
          <w:color w:val="000000"/>
          <w:sz w:val="24"/>
        </w:rPr>
        <w:t>Menlo Park, California 94025</w:t>
      </w:r>
    </w:p>
    <w:p>
      <w:pPr>
        <w:pStyle w:val="TextBody"/>
        <w:bidi w:val="0"/>
        <w:jc w:val="left"/>
        <w:rPr/>
      </w:pPr>
      <w:r>
        <w:rPr/>
        <w:t> </w:t>
      </w:r>
    </w:p>
    <w:p>
      <w:pPr>
        <w:pStyle w:val="TextBody"/>
        <w:bidi w:val="0"/>
        <w:jc w:val="both"/>
        <w:rPr>
          <w:rFonts w:ascii="Times New Roman" w:hAnsi="Times New Roman"/>
          <w:sz w:val="24"/>
        </w:rPr>
      </w:pPr>
      <w:r>
        <w:rPr>
          <w:rFonts w:ascii="Times New Roman" w:hAnsi="Times New Roman"/>
          <w:color w:val="000000"/>
          <w:sz w:val="24"/>
        </w:rPr>
        <w:t xml:space="preserve">Re: </w:t>
      </w:r>
      <w:r>
        <w:rPr>
          <w:rFonts w:ascii="Times New Roman" w:hAnsi="Times New Roman"/>
          <w:color w:val="000000"/>
          <w:sz w:val="24"/>
          <w:u w:val="single"/>
        </w:rPr>
        <w:t>Registration Statement on Form S-8</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the addressee set forth above:</w:t>
      </w:r>
    </w:p>
    <w:p>
      <w:pPr>
        <w:pStyle w:val="TextBody"/>
        <w:bidi w:val="0"/>
        <w:spacing w:before="0" w:after="240"/>
        <w:jc w:val="both"/>
        <w:rPr>
          <w:rFonts w:ascii="Times New Roman" w:hAnsi="Times New Roman"/>
          <w:sz w:val="24"/>
        </w:rPr>
      </w:pPr>
      <w:r>
        <w:rPr>
          <w:rFonts w:ascii="Times New Roman" w:hAnsi="Times New Roman"/>
          <w:color w:val="000000"/>
          <w:sz w:val="24"/>
        </w:rPr>
        <w:t>We have acted as special counsel to AN2 Therapeutics, Inc., a Delaware corporation (the “</w:t>
      </w:r>
      <w:r>
        <w:rPr>
          <w:rFonts w:ascii="Times New Roman" w:hAnsi="Times New Roman"/>
          <w:b/>
          <w:i/>
          <w:color w:val="000000"/>
          <w:sz w:val="24"/>
        </w:rPr>
        <w:t>Company</w:t>
      </w:r>
      <w:r>
        <w:rPr>
          <w:rFonts w:ascii="Times New Roman" w:hAnsi="Times New Roman"/>
          <w:color w:val="000000"/>
          <w:sz w:val="24"/>
        </w:rPr>
        <w:t>”), in connection with the registration by the Company of an aggregate of 1,250,000 shares of Common Stock of the Company, par value $0.00001 per share (the “</w:t>
      </w:r>
      <w:r>
        <w:rPr>
          <w:rFonts w:ascii="Times New Roman" w:hAnsi="Times New Roman"/>
          <w:b/>
          <w:i/>
          <w:color w:val="000000"/>
          <w:sz w:val="24"/>
        </w:rPr>
        <w:t>Shares</w:t>
      </w:r>
      <w:r>
        <w:rPr>
          <w:rFonts w:ascii="Times New Roman" w:hAnsi="Times New Roman"/>
          <w:color w:val="000000"/>
          <w:sz w:val="24"/>
        </w:rPr>
        <w:t>”), issuable under the Company’s 2026 Employment Inducement Award Plan (the “</w:t>
      </w:r>
      <w:r>
        <w:rPr>
          <w:rFonts w:ascii="Times New Roman" w:hAnsi="Times New Roman"/>
          <w:b/>
          <w:i/>
          <w:color w:val="000000"/>
          <w:sz w:val="24"/>
        </w:rPr>
        <w:t>Plan</w:t>
      </w:r>
      <w:r>
        <w:rPr>
          <w:rFonts w:ascii="Times New Roman" w:hAnsi="Times New Roman"/>
          <w:color w:val="000000"/>
          <w:sz w:val="24"/>
        </w:rPr>
        <w:t>”).</w:t>
      </w:r>
    </w:p>
    <w:p>
      <w:pPr>
        <w:pStyle w:val="TextBody"/>
        <w:bidi w:val="0"/>
        <w:spacing w:before="0" w:after="240"/>
        <w:jc w:val="both"/>
        <w:rPr>
          <w:rFonts w:ascii="Times New Roman" w:hAnsi="Times New Roman"/>
          <w:sz w:val="24"/>
        </w:rPr>
      </w:pPr>
      <w:r>
        <w:rPr>
          <w:rFonts w:ascii="Times New Roman" w:hAnsi="Times New Roman"/>
          <w:color w:val="000000"/>
          <w:sz w:val="24"/>
        </w:rPr>
        <w:t>The Shares are included in a registration statement on Form S-8 under the Securities Act of 1933, as amended (the “</w:t>
      </w:r>
      <w:r>
        <w:rPr>
          <w:rFonts w:ascii="Times New Roman" w:hAnsi="Times New Roman"/>
          <w:b/>
          <w:i/>
          <w:color w:val="000000"/>
          <w:sz w:val="24"/>
        </w:rPr>
        <w:t>Securities Act</w:t>
      </w:r>
      <w:r>
        <w:rPr>
          <w:rFonts w:ascii="Times New Roman" w:hAnsi="Times New Roman"/>
          <w:color w:val="000000"/>
          <w:sz w:val="24"/>
        </w:rPr>
        <w:t>”), filed with the Securities and Exchange Commission (the “</w:t>
      </w:r>
      <w:r>
        <w:rPr>
          <w:rFonts w:ascii="Times New Roman" w:hAnsi="Times New Roman"/>
          <w:b/>
          <w:i/>
          <w:color w:val="000000"/>
          <w:sz w:val="24"/>
        </w:rPr>
        <w:t>Commission</w:t>
      </w:r>
      <w:r>
        <w:rPr>
          <w:rFonts w:ascii="Times New Roman" w:hAnsi="Times New Roman"/>
          <w:color w:val="000000"/>
          <w:sz w:val="24"/>
        </w:rPr>
        <w:t>”) on September 14, 2026 (the “</w:t>
      </w:r>
      <w:r>
        <w:rPr>
          <w:rFonts w:ascii="Times New Roman" w:hAnsi="Times New Roman"/>
          <w:b/>
          <w:i/>
          <w:color w:val="000000"/>
          <w:sz w:val="24"/>
        </w:rPr>
        <w:t>Registration Statement</w:t>
      </w:r>
      <w:r>
        <w:rPr>
          <w:rFonts w:ascii="Times New Roman" w:hAnsi="Times New Roman"/>
          <w:color w:val="000000"/>
          <w:sz w:val="24"/>
        </w:rPr>
        <w:t>”). This opinion is being furnished in connection with the requirements of Item 601(b)(5) of Regulation S-K under the Securities Act, and no opinion is expressed herein as to any matter pertaining to the contents of the Registration Statement or related prospectus, other than as expressly stated herein with respect to the issuance of the Shares.</w:t>
      </w:r>
    </w:p>
    <w:p>
      <w:pPr>
        <w:pStyle w:val="TextBody"/>
        <w:bidi w:val="0"/>
        <w:spacing w:before="0" w:after="240"/>
        <w:jc w:val="both"/>
        <w:rPr>
          <w:rFonts w:ascii="Times New Roman" w:hAnsi="Times New Roman"/>
          <w:sz w:val="24"/>
        </w:rPr>
      </w:pPr>
      <w:r>
        <w:rPr>
          <w:rFonts w:ascii="Times New Roman" w:hAnsi="Times New Roman"/>
          <w:color w:val="000000"/>
          <w:sz w:val="24"/>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Times New Roman" w:hAnsi="Times New Roman"/>
          <w:b/>
          <w:i/>
          <w:color w:val="000000"/>
          <w:sz w:val="24"/>
        </w:rPr>
        <w:t>DGCL</w:t>
      </w:r>
      <w:r>
        <w:rPr>
          <w:rFonts w:ascii="Times New Roman" w:hAnsi="Times New Roman"/>
          <w:color w:val="000000"/>
          <w:sz w:val="24"/>
        </w:rPr>
        <w:t>”), and we express no opinion with respect to any other laws.</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tbl>
      <w:tblPr>
        <w:tblW w:w="1441" w:type="dxa"/>
        <w:jc w:val="left"/>
        <w:tblInd w:w="0" w:type="dxa"/>
        <w:tblLayout w:type="fixed"/>
        <w:tblCellMar>
          <w:top w:w="28" w:type="dxa"/>
          <w:left w:w="28" w:type="dxa"/>
          <w:bottom w:w="28" w:type="dxa"/>
          <w:right w:w="28" w:type="dxa"/>
        </w:tblCellMar>
      </w:tblPr>
      <w:tblGrid>
        <w:gridCol w:w="1441"/>
      </w:tblGrid>
      <w:tr>
        <w:trPr/>
        <w:tc>
          <w:tcPr>
            <w:tcW w:w="1441" w:type="dxa"/>
            <w:tcBorders/>
            <w:vAlign w:val="center"/>
          </w:tcPr>
          <w:p>
            <w:pPr>
              <w:pStyle w:val="TableContents"/>
              <w:bidi w:val="0"/>
              <w:spacing w:before="0" w:after="283"/>
              <w:jc w:val="left"/>
              <w:rPr>
                <w:sz w:val="4"/>
                <w:szCs w:val="4"/>
              </w:rPr>
            </w:pPr>
            <w:r>
              <w:rPr>
                <w:sz w:val="4"/>
                <w:szCs w:val="4"/>
              </w:rPr>
            </w:r>
          </w:p>
        </w:tc>
      </w:tr>
      <w:tr>
        <w:trPr/>
        <w:tc>
          <w:tcPr>
            <w:tcW w:w="1441" w:type="dxa"/>
            <w:tcBorders/>
            <w:tcMar>
              <w:top w:w="0" w:type="dxa"/>
              <w:left w:w="0" w:type="dxa"/>
              <w:bottom w:w="0" w:type="dxa"/>
              <w:right w:w="0" w:type="dxa"/>
            </w:tcMar>
            <w:vAlign w:val="center"/>
          </w:tcPr>
          <w:p>
            <w:pPr>
              <w:pStyle w:val="TableContents"/>
              <w:bidi w:val="0"/>
              <w:jc w:val="left"/>
              <w:rPr>
                <w:rFonts w:ascii="Arial" w:hAnsi="Arial"/>
                <w:b/>
                <w:color w:val="000000"/>
                <w:sz w:val="14"/>
              </w:rPr>
            </w:pPr>
            <w:r>
              <w:rPr>
                <w:rFonts w:ascii="Arial" w:hAnsi="Arial"/>
                <w:b/>
                <w:color w:val="000000"/>
                <w:sz w:val="14"/>
              </w:rPr>
              <w:t>September 14, 2026</w:t>
            </w:r>
          </w:p>
          <w:p>
            <w:pPr>
              <w:pStyle w:val="TableContents"/>
              <w:bidi w:val="0"/>
              <w:spacing w:before="0" w:after="283"/>
              <w:jc w:val="left"/>
              <w:rPr>
                <w:rFonts w:ascii="Arial" w:hAnsi="Arial"/>
                <w:b/>
                <w:color w:val="000000"/>
                <w:sz w:val="14"/>
              </w:rPr>
            </w:pPr>
            <w:r>
              <w:rPr>
                <w:rFonts w:ascii="Arial" w:hAnsi="Arial"/>
                <w:b/>
                <w:color w:val="000000"/>
                <w:sz w:val="14"/>
              </w:rPr>
              <w:t>Page 2</w:t>
            </w:r>
          </w:p>
        </w:tc>
      </w:tr>
    </w:tbl>
    <w:p>
      <w:pPr>
        <w:pStyle w:val="TextBody"/>
        <w:bidi w:val="0"/>
        <w:spacing w:before="113" w:after="360"/>
        <w:jc w:val="left"/>
        <w:rPr/>
      </w:pPr>
      <w:r>
        <w:rPr/>
        <w:drawing>
          <wp:inline distT="0" distB="0" distL="0" distR="0">
            <wp:extent cx="1552575" cy="104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9"/>
                    <a:stretch>
                      <a:fillRect/>
                    </a:stretch>
                  </pic:blipFill>
                  <pic:spPr bwMode="auto">
                    <a:xfrm>
                      <a:off x="0" y="0"/>
                      <a:ext cx="1552575" cy="104775"/>
                    </a:xfrm>
                    <a:prstGeom prst="rect">
                      <a:avLst/>
                    </a:prstGeom>
                  </pic:spPr>
                </pic:pic>
              </a:graphicData>
            </a:graphic>
          </wp:inline>
        </w:drawing>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Subject to the foregoing and the other matters set forth herein, it is our opinion that, as of the date hereof, when the Shares shall have been duly registered on the books of the transfer agent and registrar therefor in the name or on behalf of the purchasers, or certificates representing the Shares have been manually signed by an authorized officer of the transfer agent and registrar therefor, and have been issued by the Company for legal consideration of not less than par value in the circumstances contemplated by the Plan, assuming that the individual issuances, grants or awards under the Plan are duly authorized by all necessary corporate action and duly issued, granted or awarded and exercised in accordance with the requirements of law and the Plan (and the agreements and awards duly adopted thereunder and in accordance therewith), the issuance and sale of the Shares will have been duly authorized by all necessary corporate action of the Company, and the Shares will be validly issued, and the Shares will be fully paid and non-assessable. In rendering the foregoing opinion, we have assumed that the Company will comply with all applicable notice requirements regarding uncertificated shares provided in the DGCL.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opinion is for your benefit in connection with the Registration Statement and may be relied upon by you and by persons entitled to rely upon it pursuant to the applicable provisions of the Securities Act. We consent to your filing this opinion as an exhibit to the Registration Statement. In giving such consent, we do not thereby admit that we are in the category of persons whose consent is required under Section 7 of the Securities Act or the rules and regulations of the Commission thereunder.</w:t>
      </w:r>
    </w:p>
    <w:p>
      <w:pPr>
        <w:pStyle w:val="TextBody"/>
        <w:bidi w:val="0"/>
        <w:jc w:val="left"/>
        <w:rPr>
          <w:rFonts w:ascii="Times New Roman" w:hAnsi="Times New Roman"/>
          <w:color w:val="000000"/>
          <w:sz w:val="24"/>
        </w:rPr>
      </w:pPr>
      <w:r>
        <w:rPr>
          <w:rFonts w:ascii="Times New Roman" w:hAnsi="Times New Roman"/>
          <w:color w:val="000000"/>
          <w:sz w:val="24"/>
        </w:rPr>
        <w:t xml:space="preserve">Sincerely, </w:t>
        <w:br/>
        <w:br/>
        <w:t>/s/ Latham &amp; Watkins LLP</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right"/>
        <w:rPr>
          <w:rFonts w:ascii="Arial" w:hAnsi="Arial"/>
          <w:b/>
          <w:color w:val="000000"/>
          <w:sz w:val="20"/>
        </w:rPr>
      </w:pPr>
      <w:bookmarkStart w:id="5" w:name="antx-ex23_2.htm"/>
      <w:bookmarkStart w:id="6" w:name="ksantxex23_2"/>
      <w:bookmarkEnd w:id="5"/>
      <w:bookmarkEnd w:id="6"/>
      <w:r>
        <w:rPr>
          <w:rFonts w:ascii="Arial" w:hAnsi="Arial"/>
          <w:b/>
          <w:color w:val="000000"/>
          <w:sz w:val="20"/>
        </w:rPr>
        <w:t>Exhibit 23.2</w:t>
      </w:r>
      <w:r>
        <w:br w:type="page"/>
      </w:r>
    </w:p>
    <w:p>
      <w:pPr>
        <w:pStyle w:val="TextBody"/>
        <w:bidi w:val="0"/>
        <w:spacing w:before="120" w:after="283"/>
        <w:jc w:val="center"/>
        <w:rPr>
          <w:rFonts w:ascii="Arial" w:hAnsi="Arial"/>
          <w:color w:val="000000"/>
          <w:sz w:val="20"/>
        </w:rPr>
      </w:pPr>
      <w:r>
        <w:rPr>
          <w:rFonts w:ascii="Arial" w:hAnsi="Arial"/>
          <w:color w:val="000000"/>
          <w:sz w:val="20"/>
        </w:rPr>
        <w:t>CONSENT OF INDEPENDENT REGISTERED PUBLIC ACCOUNTING FIRM</w:t>
      </w:r>
    </w:p>
    <w:p>
      <w:pPr>
        <w:pStyle w:val="TextBody"/>
        <w:bidi w:val="0"/>
        <w:spacing w:before="120" w:after="283"/>
        <w:jc w:val="left"/>
        <w:rPr>
          <w:rFonts w:ascii="Arial" w:hAnsi="Arial"/>
          <w:color w:val="000000"/>
          <w:sz w:val="20"/>
        </w:rPr>
      </w:pPr>
      <w:r>
        <w:rPr>
          <w:rFonts w:ascii="Arial" w:hAnsi="Arial"/>
          <w:color w:val="000000"/>
          <w:sz w:val="20"/>
        </w:rPr>
        <w:t>We hereby consent to the incorporation by reference in this Registration Statement on Form S-8 of AN2 Therapeutics, Inc. of our report dated March 17, 2026 relating to the financial statements, which appears in AN2 Therapeutics, Inc.’s Annual Report on Form 10-K for the year ended December 31, 2025.</w:t>
      </w:r>
    </w:p>
    <w:tbl>
      <w:tblPr>
        <w:tblW w:w="3016" w:type="dxa"/>
        <w:jc w:val="left"/>
        <w:tblInd w:w="0" w:type="dxa"/>
        <w:tblLayout w:type="fixed"/>
        <w:tblCellMar>
          <w:top w:w="28" w:type="dxa"/>
          <w:left w:w="28" w:type="dxa"/>
          <w:bottom w:w="28" w:type="dxa"/>
          <w:right w:w="28" w:type="dxa"/>
        </w:tblCellMar>
      </w:tblPr>
      <w:tblGrid>
        <w:gridCol w:w="3016"/>
      </w:tblGrid>
      <w:tr>
        <w:trPr/>
        <w:tc>
          <w:tcPr>
            <w:tcW w:w="3016"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120" w:after="283"/>
              <w:jc w:val="left"/>
              <w:rPr/>
            </w:pPr>
            <w:r>
              <w:rPr/>
              <w:t> </w:t>
            </w:r>
          </w:p>
        </w:tc>
      </w:tr>
      <w:tr>
        <w:trPr/>
        <w:tc>
          <w:tcPr>
            <w:tcW w:w="3016" w:type="dxa"/>
            <w:tcBorders/>
            <w:tcMar>
              <w:top w:w="0" w:type="dxa"/>
              <w:left w:w="0" w:type="dxa"/>
              <w:bottom w:w="0" w:type="dxa"/>
              <w:right w:w="0" w:type="dxa"/>
            </w:tcMar>
            <w:vAlign w:val="center"/>
          </w:tcPr>
          <w:p>
            <w:pPr>
              <w:pStyle w:val="TableContents"/>
              <w:bidi w:val="0"/>
              <w:spacing w:before="120" w:after="283"/>
              <w:jc w:val="left"/>
              <w:rPr>
                <w:rFonts w:ascii="Arial" w:hAnsi="Arial"/>
                <w:color w:val="000000"/>
                <w:sz w:val="20"/>
              </w:rPr>
            </w:pPr>
            <w:r>
              <w:rPr>
                <w:rFonts w:ascii="Arial" w:hAnsi="Arial"/>
                <w:color w:val="000000"/>
                <w:sz w:val="20"/>
              </w:rPr>
              <w:t>/s/ PricewaterhouseCoopers LLP</w:t>
            </w:r>
          </w:p>
        </w:tc>
      </w:tr>
      <w:tr>
        <w:trPr/>
        <w:tc>
          <w:tcPr>
            <w:tcW w:w="3016" w:type="dxa"/>
            <w:tcBorders/>
            <w:tcMar>
              <w:top w:w="0" w:type="dxa"/>
              <w:left w:w="0" w:type="dxa"/>
              <w:bottom w:w="0" w:type="dxa"/>
              <w:right w:w="0" w:type="dxa"/>
            </w:tcMar>
            <w:vAlign w:val="center"/>
          </w:tcPr>
          <w:p>
            <w:pPr>
              <w:pStyle w:val="TableContents"/>
              <w:bidi w:val="0"/>
              <w:spacing w:before="120" w:after="283"/>
              <w:jc w:val="left"/>
              <w:rPr>
                <w:rFonts w:ascii="Arial" w:hAnsi="Arial"/>
                <w:color w:val="000000"/>
                <w:sz w:val="20"/>
              </w:rPr>
            </w:pPr>
            <w:r>
              <w:rPr>
                <w:rFonts w:ascii="Arial" w:hAnsi="Arial"/>
                <w:color w:val="000000"/>
                <w:sz w:val="20"/>
              </w:rPr>
              <w:t>San Jose, California</w:t>
            </w:r>
          </w:p>
        </w:tc>
      </w:tr>
      <w:tr>
        <w:trPr/>
        <w:tc>
          <w:tcPr>
            <w:tcW w:w="3016" w:type="dxa"/>
            <w:tcBorders/>
            <w:tcMar>
              <w:top w:w="0" w:type="dxa"/>
              <w:left w:w="0" w:type="dxa"/>
              <w:bottom w:w="0" w:type="dxa"/>
              <w:right w:w="0" w:type="dxa"/>
            </w:tcMar>
            <w:vAlign w:val="center"/>
          </w:tcPr>
          <w:p>
            <w:pPr>
              <w:pStyle w:val="TableContents"/>
              <w:bidi w:val="0"/>
              <w:spacing w:before="120" w:after="283"/>
              <w:jc w:val="left"/>
              <w:rPr>
                <w:rFonts w:ascii="Arial" w:hAnsi="Arial"/>
                <w:color w:val="000000"/>
                <w:sz w:val="20"/>
              </w:rPr>
            </w:pPr>
            <w:r>
              <w:rPr>
                <w:rFonts w:ascii="Arial" w:hAnsi="Arial"/>
                <w:color w:val="000000"/>
                <w:sz w:val="20"/>
              </w:rPr>
              <w:t>September 14, 2026</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both"/>
        <w:rPr/>
      </w:pPr>
      <w:bookmarkStart w:id="7" w:name="antx-ex99_1.htm"/>
      <w:bookmarkStart w:id="8" w:name="ksantxex99_1"/>
      <w:bookmarkEnd w:id="7"/>
      <w:bookmarkEnd w:id="8"/>
      <w:r>
        <w:rPr/>
        <w:t> </w:t>
      </w:r>
      <w:r>
        <w:br w:type="page"/>
      </w:r>
    </w:p>
    <w:p>
      <w:pPr>
        <w:pStyle w:val="TextBody"/>
        <w:bidi w:val="0"/>
        <w:spacing w:before="120" w:after="283"/>
        <w:jc w:val="right"/>
        <w:rPr>
          <w:rFonts w:ascii="Arial" w:hAnsi="Arial"/>
          <w:b/>
          <w:color w:val="000000"/>
          <w:sz w:val="20"/>
        </w:rPr>
      </w:pPr>
      <w:r>
        <w:rPr>
          <w:rFonts w:ascii="Arial" w:hAnsi="Arial"/>
          <w:b/>
          <w:color w:val="000000"/>
          <w:sz w:val="20"/>
        </w:rPr>
        <w:t>Exhibit 99.1</w:t>
      </w:r>
    </w:p>
    <w:p>
      <w:pPr>
        <w:pStyle w:val="TextBody"/>
        <w:bidi w:val="0"/>
        <w:jc w:val="center"/>
        <w:rPr/>
      </w:pPr>
      <w:r>
        <w:rPr/>
        <w:t> </w:t>
      </w:r>
    </w:p>
    <w:p>
      <w:pPr>
        <w:pStyle w:val="TextBody"/>
        <w:bidi w:val="0"/>
        <w:jc w:val="center"/>
        <w:rPr>
          <w:rFonts w:ascii="Times New Roman" w:hAnsi="Times New Roman"/>
          <w:b/>
          <w:smallCaps/>
          <w:color w:val="000000"/>
          <w:sz w:val="22"/>
        </w:rPr>
      </w:pPr>
      <w:r>
        <w:rPr>
          <w:rFonts w:ascii="Times New Roman" w:hAnsi="Times New Roman"/>
          <w:b/>
          <w:smallCaps/>
          <w:color w:val="000000"/>
          <w:sz w:val="22"/>
        </w:rPr>
        <w:t>AN2 Therapeutics, Inc.</w:t>
      </w:r>
    </w:p>
    <w:p>
      <w:pPr>
        <w:pStyle w:val="TextBody"/>
        <w:bidi w:val="0"/>
        <w:spacing w:before="0" w:after="240"/>
        <w:jc w:val="center"/>
        <w:rPr>
          <w:rFonts w:ascii="Times New Roman" w:hAnsi="Times New Roman"/>
          <w:b/>
          <w:smallCaps/>
          <w:color w:val="000000"/>
          <w:sz w:val="22"/>
        </w:rPr>
      </w:pPr>
      <w:r>
        <w:rPr>
          <w:rFonts w:ascii="Times New Roman" w:hAnsi="Times New Roman"/>
          <w:b/>
          <w:smallCaps/>
          <w:color w:val="000000"/>
          <w:sz w:val="22"/>
        </w:rPr>
        <w:t>2026 Employment Inducement Award Plan</w:t>
      </w:r>
    </w:p>
    <w:p>
      <w:pPr>
        <w:pStyle w:val="TextBody"/>
        <w:bidi w:val="0"/>
        <w:jc w:val="center"/>
        <w:rPr>
          <w:rFonts w:ascii="Times New Roman" w:hAnsi="Times New Roman"/>
          <w:b/>
          <w:smallCaps/>
          <w:color w:val="000000"/>
          <w:sz w:val="22"/>
        </w:rPr>
      </w:pPr>
      <w:r>
        <w:rPr>
          <w:rFonts w:ascii="Times New Roman" w:hAnsi="Times New Roman"/>
          <w:b/>
          <w:smallCaps/>
          <w:color w:val="000000"/>
          <w:sz w:val="22"/>
        </w:rPr>
        <w:t>Adopted by the Board of Directors: August 27, 2026</w:t>
      </w:r>
    </w:p>
    <w:p>
      <w:pPr>
        <w:pStyle w:val="TextBody"/>
        <w:bidi w:val="0"/>
        <w:jc w:val="center"/>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w:t>
      </w:r>
    </w:p>
    <w:p>
      <w:pPr>
        <w:pStyle w:val="TextBody"/>
        <w:bidi w:val="0"/>
        <w:spacing w:before="0" w:after="240"/>
        <w:jc w:val="both"/>
        <w:rPr>
          <w:rFonts w:ascii="Times New Roman" w:hAnsi="Times New Roman"/>
          <w:sz w:val="22"/>
        </w:rPr>
      </w:pPr>
      <w:r>
        <w:rPr>
          <w:rFonts w:ascii="Times New Roman" w:hAnsi="Times New Roman"/>
          <w:b/>
          <w:smallCaps/>
          <w:color w:val="000000"/>
          <w:sz w:val="22"/>
        </w:rPr>
        <w:t>General</w:t>
      </w:r>
      <w:r>
        <w:rPr>
          <w:rFonts w:ascii="Times New Roman" w:hAnsi="Times New Roman"/>
          <w:color w:val="000000"/>
          <w:sz w:val="22"/>
        </w:rPr>
        <w: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40"/>
        <w:jc w:val="both"/>
        <w:rPr>
          <w:rFonts w:ascii="Times New Roman" w:hAnsi="Times New Roman"/>
          <w:sz w:val="22"/>
        </w:rPr>
      </w:pPr>
      <w:r>
        <w:rPr>
          <w:rFonts w:ascii="Times New Roman" w:hAnsi="Times New Roman"/>
          <w:b/>
          <w:color w:val="000000"/>
          <w:sz w:val="22"/>
        </w:rPr>
        <w:t>Plan Purpose.</w:t>
      </w:r>
      <w:r>
        <w:rPr>
          <w:rFonts w:ascii="Times New Roman" w:hAnsi="Times New Roman"/>
          <w:color w:val="000000"/>
          <w:sz w:val="22"/>
        </w:rPr>
        <w:t xml:space="preserve"> The Company, by means of the Plan, seeks to secure and retain the services of Employees to provide incentives for such persons to exert maximum efforts for the success of the Company and any Affiliate and to provide a means by which such persons may be given an opportunity to benefit from increases in value of the Common Stock through the granting of Awards.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240"/>
        <w:jc w:val="both"/>
        <w:rPr>
          <w:rFonts w:ascii="Times New Roman" w:hAnsi="Times New Roman"/>
          <w:sz w:val="22"/>
        </w:rPr>
      </w:pPr>
      <w:r>
        <w:rPr>
          <w:rFonts w:ascii="Times New Roman" w:hAnsi="Times New Roman"/>
          <w:b/>
          <w:color w:val="000000"/>
          <w:sz w:val="22"/>
        </w:rPr>
        <w:t>Available Awards.</w:t>
      </w:r>
      <w:r>
        <w:rPr>
          <w:rFonts w:ascii="Times New Roman" w:hAnsi="Times New Roman"/>
          <w:color w:val="000000"/>
          <w:sz w:val="22"/>
        </w:rPr>
        <w:t xml:space="preserve"> The Plan provides for the grant of the following Awards: (i) Nonstatutory Stock Options; (ii) SARs; (iii) Restricted Stock Awards; (iv) RSU Awards; (v) Performance Awards; and (vi) Other Awards.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(c)</w:t>
      </w:r>
    </w:p>
    <w:p>
      <w:pPr>
        <w:pStyle w:val="TextBody"/>
        <w:bidi w:val="0"/>
        <w:spacing w:before="0" w:after="240"/>
        <w:jc w:val="both"/>
        <w:rPr>
          <w:rFonts w:ascii="Times New Roman" w:hAnsi="Times New Roman"/>
          <w:sz w:val="22"/>
        </w:rPr>
      </w:pPr>
      <w:r>
        <w:rPr>
          <w:rFonts w:ascii="Times New Roman" w:hAnsi="Times New Roman"/>
          <w:b/>
          <w:color w:val="000000"/>
          <w:sz w:val="22"/>
        </w:rPr>
        <w:t xml:space="preserve">Adoption Date. </w:t>
      </w:r>
      <w:r>
        <w:rPr>
          <w:rFonts w:ascii="Times New Roman" w:hAnsi="Times New Roman"/>
          <w:color w:val="000000"/>
          <w:sz w:val="22"/>
        </w:rPr>
        <w:t xml:space="preserve">The Plan will become effective on the Adoption Date. It is expressly intended that approval of the Company’s stockholders not be required as a condition of the effectiveness of the Plan and the Plan’s provisions shall be interpreted in a manner consistent with such intent for all purposes. Specifically, Nasdaq Stock Market Rule 5635(c) generally requires stockholder approval for stock option plans or other equity compensation arrangements adopted by companies whose securities are listed on the Nasdaq Stock Market pursuant to which stock awards or stock may be acquired by officers, directors, employees, or consultants of such companies. Nasdaq Stock Market Rule 5635(c)(4) provides an exception to this requirement for issuances of securities to a person not previously an employee or director of the issuer, or following a bona fide period of non-employment, as an inducement material to the individual’s entering into employment with the issuer; provided, such issuances are approved by either the issuer’s compensation committee comprised of a majority of independent directors or a majority of the issuer’s independent directors. Notwithstanding anything to the contrary herein, Awards under the Plan may only be made to employees who have not previously been an employee or director of the Company or an Affiliate, or following a bona fide period of non-employment by the Company or an Affiliate, as an inducement material to the employee’s entering into employment with the Company or a Subsidiary. Awards under the Plan will be approved by (i) the Compensation Committee of the Board, comprised of Non-Employee Directors or (ii) a majority of the Company’s Non-Employee Directors. Accordingly, pursuant to Nasdaq Stock Market Rule 5635(c)(4), the issuance of Awards and the shares of Common Stock issuable upon exercise or vesting of such Awards pursuant to the Plan are not subject to the approval of the Company’s stockholders.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w:t>
      </w:r>
    </w:p>
    <w:p>
      <w:pPr>
        <w:pStyle w:val="TextBody"/>
        <w:bidi w:val="0"/>
        <w:spacing w:before="0" w:after="240"/>
        <w:jc w:val="both"/>
        <w:rPr>
          <w:rFonts w:ascii="Times New Roman" w:hAnsi="Times New Roman"/>
          <w:sz w:val="22"/>
        </w:rPr>
      </w:pPr>
      <w:r>
        <w:rPr>
          <w:rFonts w:ascii="Times New Roman" w:hAnsi="Times New Roman"/>
          <w:b/>
          <w:smallCaps/>
          <w:color w:val="000000"/>
          <w:sz w:val="22"/>
        </w:rPr>
        <w:t>Shares Subject to the Plan</w:t>
      </w:r>
      <w:r>
        <w:rPr>
          <w:rFonts w:ascii="Times New Roman" w:hAnsi="Times New Roman"/>
          <w:b/>
          <w:color w:val="000000"/>
          <w:sz w:val="22"/>
        </w:rPr>
        <w: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40"/>
        <w:jc w:val="both"/>
        <w:rPr>
          <w:rFonts w:ascii="Times New Roman" w:hAnsi="Times New Roman"/>
          <w:sz w:val="22"/>
        </w:rPr>
      </w:pPr>
      <w:r>
        <w:rPr>
          <w:rFonts w:ascii="Times New Roman" w:hAnsi="Times New Roman"/>
          <w:b/>
          <w:color w:val="000000"/>
          <w:sz w:val="22"/>
        </w:rPr>
        <w:t xml:space="preserve">Share Reserve. </w:t>
      </w:r>
      <w:r>
        <w:rPr>
          <w:rFonts w:ascii="Times New Roman" w:hAnsi="Times New Roman"/>
          <w:color w:val="000000"/>
          <w:sz w:val="22"/>
        </w:rPr>
        <w:t xml:space="preserve">Subject to adjustment in accordance with Section 2(c) and any adjustments as necessary to implement any Capitalization Adjustments, the aggregate number of shares of Common Stock that may be issued pursuant to Awards will not exceed 1,250,000 shares.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Share Reserve Operation.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w:t>
      </w:r>
    </w:p>
    <w:p>
      <w:pPr>
        <w:pStyle w:val="TextBody"/>
        <w:bidi w:val="0"/>
        <w:spacing w:before="0" w:after="240"/>
        <w:jc w:val="both"/>
        <w:rPr>
          <w:rFonts w:ascii="Times New Roman" w:hAnsi="Times New Roman"/>
          <w:sz w:val="22"/>
        </w:rPr>
      </w:pPr>
      <w:r>
        <w:rPr>
          <w:rFonts w:ascii="Times New Roman" w:hAnsi="Times New Roman"/>
          <w:b/>
          <w:color w:val="000000"/>
          <w:sz w:val="22"/>
        </w:rPr>
        <w:t xml:space="preserve">Limit Applies to Common Stock Issued Pursuant to Awards. </w:t>
      </w:r>
      <w:r>
        <w:rPr>
          <w:rFonts w:ascii="Times New Roman" w:hAnsi="Times New Roman"/>
          <w:color w:val="000000"/>
          <w:sz w:val="22"/>
        </w:rPr>
        <w:t xml:space="preserve">For clarity, the Share Reserve is a limit on the number of shares of Common Stock that may be issued pursuant to Awards and does not limit the granting of Awards, except that the Company will keep available at all times the number of shares of Common Stock reasonably required to satisfy its obligations to issue shares pursuant </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(ii)</w:t>
      </w:r>
    </w:p>
    <w:p>
      <w:pPr>
        <w:pStyle w:val="TextBody"/>
        <w:bidi w:val="0"/>
        <w:spacing w:before="0" w:after="240"/>
        <w:jc w:val="both"/>
        <w:rPr>
          <w:rFonts w:ascii="Times New Roman" w:hAnsi="Times New Roman"/>
          <w:sz w:val="22"/>
        </w:rPr>
      </w:pPr>
      <w:r>
        <w:rPr>
          <w:rFonts w:ascii="Times New Roman" w:hAnsi="Times New Roman"/>
          <w:b/>
          <w:color w:val="000000"/>
          <w:sz w:val="22"/>
        </w:rPr>
        <w:t>Actions that Do Not Constitute Issuance of Common Stock and Do Not Reduce Share Reserve.</w:t>
      </w:r>
      <w:r>
        <w:rPr>
          <w:rFonts w:ascii="Times New Roman" w:hAnsi="Times New Roman"/>
          <w:color w:val="000000"/>
          <w:sz w:val="22"/>
        </w:rPr>
        <w:t xml:space="preserve"> The following actions do not 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(i.e.,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(iii)</w:t>
      </w:r>
    </w:p>
    <w:p>
      <w:pPr>
        <w:pStyle w:val="TextBody"/>
        <w:bidi w:val="0"/>
        <w:spacing w:before="0" w:after="240"/>
        <w:jc w:val="both"/>
        <w:rPr>
          <w:rFonts w:ascii="Times New Roman" w:hAnsi="Times New Roman"/>
          <w:sz w:val="22"/>
        </w:rPr>
      </w:pPr>
      <w:r>
        <w:rPr>
          <w:rFonts w:ascii="Times New Roman" w:hAnsi="Times New Roman"/>
          <w:b/>
          <w:color w:val="000000"/>
          <w:sz w:val="22"/>
        </w:rPr>
        <w:t>Reversion of Previously Issued Shares of Common Stock to Share Reserve.</w:t>
      </w:r>
      <w:r>
        <w:rPr>
          <w:rFonts w:ascii="Times New Roman" w:hAnsi="Times New Roman"/>
          <w:color w:val="000000"/>
          <w:sz w:val="22"/>
        </w:rPr>
        <w:t xml:space="preserve"> The following shares of Common Stock previously 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w:t>
      </w:r>
    </w:p>
    <w:p>
      <w:pPr>
        <w:pStyle w:val="TextBody"/>
        <w:bidi w:val="0"/>
        <w:spacing w:before="0" w:after="240"/>
        <w:jc w:val="both"/>
        <w:rPr>
          <w:rFonts w:ascii="Times New Roman" w:hAnsi="Times New Roman"/>
          <w:sz w:val="22"/>
        </w:rPr>
      </w:pPr>
      <w:r>
        <w:rPr>
          <w:rFonts w:ascii="Times New Roman" w:hAnsi="Times New Roman"/>
          <w:b/>
          <w:smallCaps/>
          <w:color w:val="000000"/>
          <w:sz w:val="22"/>
        </w:rPr>
        <w:t>Eligibility and Limitations</w:t>
      </w:r>
      <w:r>
        <w:rPr>
          <w:rFonts w:ascii="Times New Roman" w:hAnsi="Times New Roman"/>
          <w:b/>
          <w:color w:val="000000"/>
          <w:sz w:val="22"/>
        </w:rPr>
        <w: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40"/>
        <w:jc w:val="both"/>
        <w:rPr>
          <w:rFonts w:ascii="Times New Roman" w:hAnsi="Times New Roman"/>
          <w:sz w:val="22"/>
        </w:rPr>
      </w:pPr>
      <w:r>
        <w:rPr>
          <w:rFonts w:ascii="Times New Roman" w:hAnsi="Times New Roman"/>
          <w:b/>
          <w:color w:val="000000"/>
          <w:sz w:val="22"/>
        </w:rPr>
        <w:t>Eligible Award Recipients.</w:t>
      </w:r>
      <w:r>
        <w:rPr>
          <w:rFonts w:ascii="Times New Roman" w:hAnsi="Times New Roman"/>
          <w:color w:val="000000"/>
          <w:sz w:val="22"/>
        </w:rPr>
        <w:t xml:space="preserve"> Subject to the terms of the Plan, Eligible Employees are eligible to receive Awards.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4.</w:t>
      </w:r>
    </w:p>
    <w:p>
      <w:pPr>
        <w:pStyle w:val="TextBody"/>
        <w:bidi w:val="0"/>
        <w:spacing w:before="0" w:after="240"/>
        <w:jc w:val="both"/>
        <w:rPr>
          <w:rFonts w:ascii="Times New Roman" w:hAnsi="Times New Roman"/>
          <w:sz w:val="22"/>
        </w:rPr>
      </w:pPr>
      <w:r>
        <w:rPr>
          <w:rFonts w:ascii="Times New Roman" w:hAnsi="Times New Roman"/>
          <w:b/>
          <w:smallCaps/>
          <w:color w:val="000000"/>
          <w:sz w:val="22"/>
        </w:rPr>
        <w:t>Options and Stock Appreciation Rights</w:t>
      </w:r>
      <w:r>
        <w:rPr>
          <w:rFonts w:ascii="Times New Roman" w:hAnsi="Times New Roman"/>
          <w:b/>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Option and SAR will have such terms and conditions as determined by the Plan Administrator. Each Option shall constitute a Nonstatutory Stock Option.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40"/>
        <w:jc w:val="both"/>
        <w:rPr>
          <w:rFonts w:ascii="Times New Roman" w:hAnsi="Times New Roman"/>
          <w:sz w:val="22"/>
        </w:rPr>
      </w:pPr>
      <w:r>
        <w:rPr>
          <w:rFonts w:ascii="Times New Roman" w:hAnsi="Times New Roman"/>
          <w:b/>
          <w:color w:val="000000"/>
          <w:sz w:val="22"/>
        </w:rPr>
        <w:t>Term.</w:t>
      </w:r>
      <w:r>
        <w:rPr>
          <w:rFonts w:ascii="Times New Roman" w:hAnsi="Times New Roman"/>
          <w:color w:val="000000"/>
          <w:sz w:val="22"/>
        </w:rPr>
        <w:t xml:space="preserve"> No Option or SAR will be exercisable after the expiration of ten years from the date of grant of such Award or such shorter period specified in the Award Agreement.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240"/>
        <w:jc w:val="both"/>
        <w:rPr>
          <w:rFonts w:ascii="Times New Roman" w:hAnsi="Times New Roman"/>
          <w:sz w:val="22"/>
        </w:rPr>
      </w:pPr>
      <w:r>
        <w:rPr>
          <w:rFonts w:ascii="Times New Roman" w:hAnsi="Times New Roman"/>
          <w:b/>
          <w:color w:val="000000"/>
          <w:sz w:val="22"/>
        </w:rPr>
        <w:t>Exercise or Strike Price.</w:t>
      </w:r>
      <w:r>
        <w:rPr>
          <w:rFonts w:ascii="Times New Roman" w:hAnsi="Times New Roman"/>
          <w:color w:val="000000"/>
          <w:sz w:val="22"/>
        </w:rPr>
        <w:t xml:space="preserve"> The exercise or strike price of each Option or SAR 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(c)</w:t>
      </w:r>
    </w:p>
    <w:p>
      <w:pPr>
        <w:pStyle w:val="TextBody"/>
        <w:bidi w:val="0"/>
        <w:spacing w:before="0" w:after="240"/>
        <w:jc w:val="both"/>
        <w:rPr>
          <w:rFonts w:ascii="Times New Roman" w:hAnsi="Times New Roman"/>
          <w:sz w:val="22"/>
        </w:rPr>
      </w:pPr>
      <w:r>
        <w:rPr>
          <w:rFonts w:ascii="Times New Roman" w:hAnsi="Times New Roman"/>
          <w:b/>
          <w:color w:val="000000"/>
          <w:sz w:val="22"/>
        </w:rPr>
        <w:t>Exercise Procedure and Payment of Exercise Price for Options.</w:t>
      </w:r>
      <w:r>
        <w:rPr>
          <w:rFonts w:ascii="Times New Roman" w:hAnsi="Times New Roman"/>
          <w:color w:val="000000"/>
          <w:sz w:val="22"/>
        </w:rPr>
        <w:t xml:space="preserve"> In order to exercise an Option, the Participant must provide notice of exercise to the Plan Administrator in accordance with the procedures specified in the Option Agreement or otherwise provided by the Company. The Plan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Administrator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Plan Administrator, by one or more of the following methods of payment to the extent set forth in the Option Agreement: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by cash or check, bank draft or money order payable to the Company;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pursuant to a “cashless exercise” program developed under Regulation T as promulgated by the U.S. Federal Reserve Board that, prior to the issuance of the Common Stock subject to the Option, results in either the receipt of cash (or check) by the Company or the receipt of irrevocable instructions to pay the exercise price to the Company from the sales proceeds;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any other form of consideration that may be acceptable to the Plan Administrator and permissible under Applicable Law.</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(d)</w:t>
      </w:r>
    </w:p>
    <w:p>
      <w:pPr>
        <w:pStyle w:val="TextBody"/>
        <w:bidi w:val="0"/>
        <w:spacing w:before="0" w:after="240"/>
        <w:jc w:val="both"/>
        <w:rPr>
          <w:rFonts w:ascii="Times New Roman" w:hAnsi="Times New Roman"/>
          <w:sz w:val="22"/>
        </w:rPr>
      </w:pPr>
      <w:r>
        <w:rPr>
          <w:rFonts w:ascii="Times New Roman" w:hAnsi="Times New Roman"/>
          <w:b/>
          <w:color w:val="000000"/>
          <w:sz w:val="22"/>
        </w:rPr>
        <w:t>Exercise Procedure and Payment of Appreciation Distribution for SARs.</w:t>
      </w:r>
      <w:r>
        <w:rPr>
          <w:rFonts w:ascii="Times New Roman" w:hAnsi="Times New Roman"/>
          <w:color w:val="000000"/>
          <w:sz w:val="22"/>
        </w:rPr>
        <w:t xml:space="preserve"> In order to exercise any SAR, the Participant must provide 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Plan Administrator and specified in the SAR Agreement.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(e)</w:t>
      </w:r>
    </w:p>
    <w:p>
      <w:pPr>
        <w:pStyle w:val="TextBody"/>
        <w:bidi w:val="0"/>
        <w:spacing w:before="0" w:after="240"/>
        <w:jc w:val="both"/>
        <w:rPr>
          <w:rFonts w:ascii="Times New Roman" w:hAnsi="Times New Roman"/>
          <w:sz w:val="22"/>
        </w:rPr>
      </w:pPr>
      <w:r>
        <w:rPr>
          <w:rFonts w:ascii="Times New Roman" w:hAnsi="Times New Roman"/>
          <w:b/>
          <w:color w:val="000000"/>
          <w:sz w:val="22"/>
        </w:rPr>
        <w:t>Transferability.</w:t>
      </w:r>
      <w:r>
        <w:rPr>
          <w:rFonts w:ascii="Times New Roman" w:hAnsi="Times New Roman"/>
          <w:color w:val="000000"/>
          <w:sz w:val="22"/>
        </w:rPr>
        <w:t xml:space="preserve"> Options and SARs may not be transferred to third party financial institutions for value. The Plan Administrator may impose such additional limitations on the transferability of an Option or SAR as it determines. In the absence of any such determination by the Plan Administrator, the following restrictions on the transferability of Options and SARs will apply, provided that except as explicitly provided herein, neither an Option nor a SAR may be transferred for consideration: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w:t>
      </w:r>
    </w:p>
    <w:p>
      <w:pPr>
        <w:pStyle w:val="TextBody"/>
        <w:bidi w:val="0"/>
        <w:spacing w:before="0" w:after="240"/>
        <w:jc w:val="both"/>
        <w:rPr>
          <w:rFonts w:ascii="Times New Roman" w:hAnsi="Times New Roman"/>
          <w:sz w:val="22"/>
        </w:rPr>
      </w:pPr>
      <w:r>
        <w:rPr>
          <w:rFonts w:ascii="Times New Roman" w:hAnsi="Times New Roman"/>
          <w:b/>
          <w:color w:val="000000"/>
          <w:sz w:val="22"/>
        </w:rPr>
        <w:t>Restrictions on Transfer.</w:t>
      </w:r>
      <w:r>
        <w:rPr>
          <w:rFonts w:ascii="Times New Roman" w:hAnsi="Times New Roman"/>
          <w:color w:val="000000"/>
          <w:sz w:val="22"/>
        </w:rPr>
        <w:t xml:space="preserve"> An Option or SAR will not be transferable, except by will or by the laws of descent and distribution, and will be exercisable during the lifetime of the Participant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only by the Participant; provided, however, that the Plan Administrator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U.S. state law) while such Option or SAR is held in such trust, provided that the Participant and the trustee enter into a transfer and other agreements required by the Company.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(ii)</w:t>
      </w:r>
    </w:p>
    <w:p>
      <w:pPr>
        <w:pStyle w:val="TextBody"/>
        <w:bidi w:val="0"/>
        <w:spacing w:before="0" w:after="240"/>
        <w:jc w:val="both"/>
        <w:rPr>
          <w:rFonts w:ascii="Times New Roman" w:hAnsi="Times New Roman"/>
          <w:sz w:val="22"/>
        </w:rPr>
      </w:pPr>
      <w:r>
        <w:rPr>
          <w:rFonts w:ascii="Times New Roman" w:hAnsi="Times New Roman"/>
          <w:b/>
          <w:color w:val="000000"/>
          <w:sz w:val="22"/>
        </w:rPr>
        <w:t>Domestic Relations Orders.</w:t>
      </w:r>
      <w:r>
        <w:rPr>
          <w:rFonts w:ascii="Times New Roman" w:hAnsi="Times New Roman"/>
          <w:color w:val="000000"/>
          <w:sz w:val="22"/>
        </w:rPr>
        <w:t xml:space="preserve"> Notwithstanding the foregoing, subject to the execution of transfer documentation in a format acceptable to the Company and subject to the approval of the Plan Administrator, an Option or SAR may be transferred pursuant to a domestic relations order.</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(f)</w:t>
      </w:r>
    </w:p>
    <w:p>
      <w:pPr>
        <w:pStyle w:val="TextBody"/>
        <w:bidi w:val="0"/>
        <w:spacing w:before="0" w:after="240"/>
        <w:jc w:val="both"/>
        <w:rPr>
          <w:rFonts w:ascii="Times New Roman" w:hAnsi="Times New Roman"/>
          <w:sz w:val="22"/>
        </w:rPr>
      </w:pPr>
      <w:r>
        <w:rPr>
          <w:rFonts w:ascii="Times New Roman" w:hAnsi="Times New Roman"/>
          <w:b/>
          <w:color w:val="000000"/>
          <w:sz w:val="22"/>
        </w:rPr>
        <w:t>Vesting.</w:t>
      </w:r>
      <w:r>
        <w:rPr>
          <w:rFonts w:ascii="Times New Roman" w:hAnsi="Times New Roman"/>
          <w:color w:val="000000"/>
          <w:sz w:val="22"/>
        </w:rPr>
        <w:t xml:space="preserve"> The Plan Administrator may impose such restrictions on or conditions to the vesting and/or exercisability of an Option or SAR as determined by the Plan Administrator. Except as otherwise provided in the applicable Award Agreement or other written agreement between a Participant and the Company, vesting of Options and SARs will cease upon termination of the Participant’s Continuous Service.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(g)</w:t>
      </w:r>
    </w:p>
    <w:p>
      <w:pPr>
        <w:pStyle w:val="TextBody"/>
        <w:bidi w:val="0"/>
        <w:spacing w:before="0" w:after="240"/>
        <w:jc w:val="both"/>
        <w:rPr>
          <w:rFonts w:ascii="Times New Roman" w:hAnsi="Times New Roman"/>
          <w:sz w:val="22"/>
        </w:rPr>
      </w:pPr>
      <w:r>
        <w:rPr>
          <w:rFonts w:ascii="Times New Roman" w:hAnsi="Times New Roman"/>
          <w:b/>
          <w:color w:val="000000"/>
          <w:sz w:val="22"/>
        </w:rPr>
        <w:t>Termination of Continuous Service for Cause.</w:t>
      </w:r>
      <w:r>
        <w:rPr>
          <w:rFonts w:ascii="Times New Roman" w:hAnsi="Times New Roman"/>
          <w:color w:val="000000"/>
          <w:sz w:val="22"/>
        </w:rPr>
        <w:t xml:space="preserve"> Except as explicitly otherwise provided in the Award Agreement or other written agreement between a Participant and the Company,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(h)</w:t>
      </w:r>
    </w:p>
    <w:p>
      <w:pPr>
        <w:pStyle w:val="TextBody"/>
        <w:bidi w:val="0"/>
        <w:spacing w:before="0" w:after="240"/>
        <w:jc w:val="both"/>
        <w:rPr>
          <w:rFonts w:ascii="Times New Roman" w:hAnsi="Times New Roman"/>
          <w:sz w:val="22"/>
        </w:rPr>
      </w:pPr>
      <w:r>
        <w:rPr>
          <w:rFonts w:ascii="Times New Roman" w:hAnsi="Times New Roman"/>
          <w:b/>
          <w:color w:val="000000"/>
          <w:sz w:val="22"/>
        </w:rPr>
        <w:t>Post-Termination Exercise Period Following Termination of Continuous Service for Reasons Other than Cause.</w:t>
      </w:r>
      <w:r>
        <w:rPr>
          <w:rFonts w:ascii="Times New Roman" w:hAnsi="Times New Roman"/>
          <w:color w:val="000000"/>
          <w:sz w:val="22"/>
        </w:rPr>
        <w:t xml:space="preserve"> Subject to Section 4(i), if 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provided, however, that in no event may such Award be exercised after the expiration of its maximum term (as set forth in Section 4(a)):</w:t>
      </w:r>
    </w:p>
    <w:p>
      <w:pPr>
        <w:pStyle w:val="TextBody"/>
        <w:bidi w:val="0"/>
        <w:spacing w:before="0" w:after="240"/>
        <w:jc w:val="both"/>
        <w:rPr>
          <w:rFonts w:ascii="Times New Roman" w:hAnsi="Times New Roman"/>
          <w:sz w:val="22"/>
        </w:rPr>
      </w:pPr>
      <w:r>
        <w:rPr>
          <w:rFonts w:ascii="Times New Roman" w:hAnsi="Times New Roman"/>
          <w:b/>
          <w:color w:val="000000"/>
          <w:sz w:val="22"/>
        </w:rPr>
        <w:t xml:space="preserve">(i) </w:t>
      </w:r>
      <w:r>
        <w:rPr>
          <w:rFonts w:ascii="Times New Roman" w:hAnsi="Times New Roman"/>
          <w:color w:val="000000"/>
          <w:sz w:val="22"/>
        </w:rPr>
        <w:t>three months following the date of such termination if such termination is a termination without Cause (other than any termination due to the Participant’s Disability or death);</w:t>
      </w:r>
    </w:p>
    <w:p>
      <w:pPr>
        <w:pStyle w:val="TextBody"/>
        <w:bidi w:val="0"/>
        <w:spacing w:before="0" w:after="240"/>
        <w:jc w:val="both"/>
        <w:rPr>
          <w:rFonts w:ascii="Times New Roman" w:hAnsi="Times New Roman"/>
          <w:sz w:val="22"/>
        </w:rPr>
      </w:pPr>
      <w:r>
        <w:rPr>
          <w:rFonts w:ascii="Times New Roman" w:hAnsi="Times New Roman"/>
          <w:b/>
          <w:color w:val="000000"/>
          <w:sz w:val="22"/>
        </w:rPr>
        <w:t xml:space="preserve">(ii) </w:t>
      </w:r>
      <w:r>
        <w:rPr>
          <w:rFonts w:ascii="Times New Roman" w:hAnsi="Times New Roman"/>
          <w:color w:val="000000"/>
          <w:sz w:val="22"/>
        </w:rPr>
        <w:t>12 months following the date of such termination if such termination is due to the Participant’s Disability;</w:t>
      </w:r>
    </w:p>
    <w:p>
      <w:pPr>
        <w:pStyle w:val="TextBody"/>
        <w:bidi w:val="0"/>
        <w:spacing w:before="0" w:after="240"/>
        <w:jc w:val="both"/>
        <w:rPr>
          <w:rFonts w:ascii="Times New Roman" w:hAnsi="Times New Roman"/>
          <w:sz w:val="22"/>
        </w:rPr>
      </w:pPr>
      <w:r>
        <w:rPr>
          <w:rFonts w:ascii="Times New Roman" w:hAnsi="Times New Roman"/>
          <w:b/>
          <w:color w:val="000000"/>
          <w:sz w:val="22"/>
        </w:rPr>
        <w:t xml:space="preserve">(iii) </w:t>
      </w:r>
      <w:r>
        <w:rPr>
          <w:rFonts w:ascii="Times New Roman" w:hAnsi="Times New Roman"/>
          <w:color w:val="000000"/>
          <w:sz w:val="22"/>
        </w:rPr>
        <w:t>18 months following the date of such termination if such termination is due to the Participant’s death; or</w:t>
      </w:r>
    </w:p>
    <w:p>
      <w:pPr>
        <w:pStyle w:val="TextBody"/>
        <w:bidi w:val="0"/>
        <w:spacing w:before="0" w:after="240"/>
        <w:jc w:val="both"/>
        <w:rPr>
          <w:rFonts w:ascii="Times New Roman" w:hAnsi="Times New Roman"/>
          <w:sz w:val="22"/>
        </w:rPr>
      </w:pPr>
      <w:r>
        <w:rPr>
          <w:rFonts w:ascii="Times New Roman" w:hAnsi="Times New Roman"/>
          <w:b/>
          <w:color w:val="000000"/>
          <w:sz w:val="22"/>
        </w:rPr>
        <w:t xml:space="preserve">(iv) </w:t>
      </w:r>
      <w:r>
        <w:rPr>
          <w:rFonts w:ascii="Times New Roman" w:hAnsi="Times New Roman"/>
          <w:color w:val="000000"/>
          <w:sz w:val="22"/>
        </w:rPr>
        <w:t>18 months following the date of the Participant’s death if such death occurs following the date of such termination but during the period such Award is otherwise exercisable (as provided in (i) or (ii) above).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further right, title or interest in terminated Award, the shares of Common Stock subject to the terminated Award, or any consideration in respect of the terminated Award.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w:t>
      </w:r>
    </w:p>
    <w:p>
      <w:pPr>
        <w:pStyle w:val="TextBody"/>
        <w:bidi w:val="0"/>
        <w:spacing w:before="0" w:after="240"/>
        <w:jc w:val="both"/>
        <w:rPr>
          <w:rFonts w:ascii="Times New Roman" w:hAnsi="Times New Roman"/>
          <w:sz w:val="22"/>
        </w:rPr>
      </w:pPr>
      <w:r>
        <w:rPr>
          <w:rFonts w:ascii="Times New Roman" w:hAnsi="Times New Roman"/>
          <w:b/>
          <w:color w:val="000000"/>
          <w:sz w:val="22"/>
        </w:rPr>
        <w:t xml:space="preserve">Restrictions on Exercise; Extension of Exercisability. </w:t>
      </w:r>
      <w:r>
        <w:rPr>
          <w:rFonts w:ascii="Times New Roman" w:hAnsi="Times New Roman"/>
          <w:color w:val="000000"/>
          <w:sz w:val="22"/>
        </w:rPr>
        <w:t>A Participant may not exercise an Option or SAR at any time that the issuance of shares of Common Stock upon such exercise would violate Applicable Law. Except as otherwise provided in the Award Agreement or other written agreement between a Participant and the Company,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(j)</w:t>
      </w:r>
    </w:p>
    <w:p>
      <w:pPr>
        <w:pStyle w:val="TextBody"/>
        <w:bidi w:val="0"/>
        <w:spacing w:before="0" w:after="240"/>
        <w:jc w:val="both"/>
        <w:rPr>
          <w:rFonts w:ascii="Times New Roman" w:hAnsi="Times New Roman"/>
          <w:sz w:val="22"/>
        </w:rPr>
      </w:pPr>
      <w:r>
        <w:rPr>
          <w:rFonts w:ascii="Times New Roman" w:hAnsi="Times New Roman"/>
          <w:b/>
          <w:color w:val="000000"/>
          <w:sz w:val="22"/>
        </w:rPr>
        <w:t>Non-Exempt Employees.</w:t>
      </w:r>
      <w:r>
        <w:rPr>
          <w:rFonts w:ascii="Times New Roman" w:hAnsi="Times New Roman"/>
          <w:color w:val="000000"/>
          <w:sz w:val="22"/>
        </w:rPr>
        <w:t xml:space="preserve"> No Option or SAR, whether or not vested, granted to an Employee who is a non-exempt employee for purposes of the U.S. Fair Labor Standards Act of 1938, as amended, will be first exercisable for any shares of Common Stock until at least six months following the date of grant of such Award. Notwithstanding the foregoing, in accordance with the provisions of the U.S.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(k)</w:t>
      </w:r>
    </w:p>
    <w:p>
      <w:pPr>
        <w:pStyle w:val="TextBody"/>
        <w:bidi w:val="0"/>
        <w:spacing w:before="0" w:after="240"/>
        <w:jc w:val="both"/>
        <w:rPr>
          <w:rFonts w:ascii="Times New Roman" w:hAnsi="Times New Roman"/>
          <w:sz w:val="22"/>
        </w:rPr>
      </w:pPr>
      <w:r>
        <w:rPr>
          <w:rFonts w:ascii="Times New Roman" w:hAnsi="Times New Roman"/>
          <w:b/>
          <w:color w:val="000000"/>
          <w:sz w:val="22"/>
        </w:rPr>
        <w:t>Whole Shares.</w:t>
      </w:r>
      <w:r>
        <w:rPr>
          <w:rFonts w:ascii="Times New Roman" w:hAnsi="Times New Roman"/>
          <w:color w:val="000000"/>
          <w:sz w:val="22"/>
        </w:rPr>
        <w:t xml:space="preserve"> Options and SARs may be exercised only with respect to whole shares of Common Stock or their equivalents.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5.</w:t>
      </w:r>
    </w:p>
    <w:p>
      <w:pPr>
        <w:pStyle w:val="TextBody"/>
        <w:bidi w:val="0"/>
        <w:spacing w:before="0" w:after="240"/>
        <w:jc w:val="both"/>
        <w:rPr>
          <w:rFonts w:ascii="Times New Roman" w:hAnsi="Times New Roman"/>
          <w:sz w:val="22"/>
        </w:rPr>
      </w:pPr>
      <w:r>
        <w:rPr>
          <w:rFonts w:ascii="Times New Roman" w:hAnsi="Times New Roman"/>
          <w:b/>
          <w:smallCaps/>
          <w:color w:val="000000"/>
          <w:sz w:val="22"/>
        </w:rPr>
        <w:t>Awards Other Than Options and Stock Appreciation Rights</w:t>
      </w:r>
      <w:r>
        <w:rPr>
          <w:rFonts w:ascii="Times New Roman" w:hAnsi="Times New Roman"/>
          <w:b/>
          <w:color w:val="000000"/>
          <w:sz w:val="22"/>
        </w:rPr>
        <w: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40"/>
        <w:jc w:val="both"/>
        <w:rPr>
          <w:rFonts w:ascii="Times New Roman" w:hAnsi="Times New Roman"/>
          <w:sz w:val="22"/>
        </w:rPr>
      </w:pPr>
      <w:r>
        <w:rPr>
          <w:rFonts w:ascii="Times New Roman" w:hAnsi="Times New Roman"/>
          <w:b/>
          <w:color w:val="000000"/>
          <w:sz w:val="22"/>
        </w:rPr>
        <w:t>Restricted Stock Awards and RSU Awards.</w:t>
      </w:r>
      <w:r>
        <w:rPr>
          <w:rFonts w:ascii="Times New Roman" w:hAnsi="Times New Roman"/>
          <w:color w:val="000000"/>
          <w:sz w:val="22"/>
        </w:rPr>
        <w:t xml:space="preserve"> Each Restricted Stock Award and RSU Award will have such terms and conditions as determined by the Plan Administrator; provided, however, that each Restricted Stock Award Agreement and RSU Award Agreement will conform (through incorporation of the provisions hereof by reference in the Award Agreement or otherwise) to the substance of each of the following provisions: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Form of Award.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w:t>
      </w:r>
    </w:p>
    <w:p>
      <w:pPr>
        <w:pStyle w:val="TextBody"/>
        <w:bidi w:val="0"/>
        <w:spacing w:before="0" w:after="240"/>
        <w:jc w:val="both"/>
        <w:rPr>
          <w:rFonts w:ascii="Times New Roman" w:hAnsi="Times New Roman"/>
          <w:sz w:val="22"/>
        </w:rPr>
      </w:pPr>
      <w:r>
        <w:rPr>
          <w:rFonts w:ascii="Times New Roman" w:hAnsi="Times New Roman"/>
          <w:color w:val="000000"/>
          <w:sz w:val="22"/>
        </w:rPr>
        <w:t>To the extent consistent with the Company’s Amended and Restated Bylaws (as the same may be amended or restated from time to time, the “</w:t>
      </w:r>
      <w:r>
        <w:rPr>
          <w:rFonts w:ascii="Times New Roman" w:hAnsi="Times New Roman"/>
          <w:b/>
          <w:i/>
          <w:color w:val="000000"/>
          <w:sz w:val="22"/>
        </w:rPr>
        <w:t>Bylaws</w:t>
      </w:r>
      <w:r>
        <w:rPr>
          <w:rFonts w:ascii="Times New Roman" w:hAnsi="Times New Roman"/>
          <w:color w:val="000000"/>
          <w:sz w:val="22"/>
        </w:rPr>
        <w:t xml:space="preserve">”), at the Plan Administrator’s election, shares of Common Stock subject to a Restricted Stock Award may be (i) held in book entry form subject to the Company’s instructions until such shares become vested or any other restrictions lapse, or (ii) evidenced by a certificate, which certificate will be held in such form and manner as determined by the Plan Administrator. Unless otherwise determined by the Plan Administrator, a </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Participant will have voting and other rights as a stockholder of the Company with respect to any shares subject to a Restricted Stock Award.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w:t>
      </w:r>
    </w:p>
    <w:p>
      <w:pPr>
        <w:pStyle w:val="TextBody"/>
        <w:bidi w:val="0"/>
        <w:spacing w:before="0" w:after="240"/>
        <w:jc w:val="both"/>
        <w:rPr>
          <w:rFonts w:ascii="Times New Roman" w:hAnsi="Times New Roman"/>
          <w:sz w:val="22"/>
        </w:rPr>
      </w:pPr>
      <w:r>
        <w:rPr>
          <w:rFonts w:ascii="Times New Roman" w:hAnsi="Times New Roman"/>
          <w:b/>
          <w:color w:val="000000"/>
          <w:sz w:val="22"/>
        </w:rPr>
        <w:t>RSUs</w:t>
      </w:r>
      <w:r>
        <w:rPr>
          <w:rFonts w:ascii="Times New Roman" w:hAnsi="Times New Roman"/>
          <w:color w:val="000000"/>
          <w:sz w:val="22"/>
        </w:rPr>
        <w:t>: A RSU Award represents a Participant’s right to be issued on a future date the number of shares of Common Stock that is equal to the number of restricted stock units subject to the RSU Award. As a holder of a RSU Award, a Participant is an unsecured creditor of the Company with respect to the Company's unfunded obligation, if any, to issue shares of Common Stock in settlement of such Award and nothing contained in the Plan or any RSU Award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(ii)</w:t>
      </w:r>
    </w:p>
    <w:p>
      <w:pPr>
        <w:pStyle w:val="TextBody"/>
        <w:bidi w:val="0"/>
        <w:spacing w:before="0" w:after="240"/>
        <w:jc w:val="both"/>
        <w:rPr>
          <w:rFonts w:ascii="Times New Roman" w:hAnsi="Times New Roman"/>
          <w:sz w:val="22"/>
        </w:rPr>
      </w:pPr>
      <w:r>
        <w:rPr>
          <w:rFonts w:ascii="Times New Roman" w:hAnsi="Times New Roman"/>
          <w:b/>
          <w:color w:val="000000"/>
          <w:sz w:val="22"/>
        </w:rPr>
        <w:t>Consideration.</w:t>
      </w:r>
      <w:r>
        <w:rPr>
          <w:rFonts w:ascii="Times New Roman" w:hAnsi="Times New Roman"/>
          <w:color w:val="000000"/>
          <w:sz w:val="22"/>
        </w:rPr>
        <w:t xml:space="preserve"> The Plan Administrator shall determine the consideration, if any, payable by a Participant for Restricted Stock Awards and RSU Awards. Such consideration may include, but is not limited to, cash or check, bank draft or money order payable to the Company.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(iii)</w:t>
      </w:r>
    </w:p>
    <w:p>
      <w:pPr>
        <w:pStyle w:val="TextBody"/>
        <w:bidi w:val="0"/>
        <w:spacing w:before="0" w:after="240"/>
        <w:jc w:val="both"/>
        <w:rPr>
          <w:rFonts w:ascii="Times New Roman" w:hAnsi="Times New Roman"/>
          <w:sz w:val="22"/>
        </w:rPr>
      </w:pPr>
      <w:r>
        <w:rPr>
          <w:rFonts w:ascii="Times New Roman" w:hAnsi="Times New Roman"/>
          <w:b/>
          <w:color w:val="000000"/>
          <w:sz w:val="22"/>
        </w:rPr>
        <w:t xml:space="preserve">Vesting. </w:t>
      </w:r>
      <w:r>
        <w:rPr>
          <w:rFonts w:ascii="Times New Roman" w:hAnsi="Times New Roman"/>
          <w:color w:val="000000"/>
          <w:sz w:val="22"/>
        </w:rPr>
        <w:t>The Plan Administrator may impose such restrictions on or conditions to the vesting of a Restricted Stock Award or RSU Award as determined by the Plan Administrator. Except as otherwise provided in the Award Agreement or other written agreement between a Participant and the Company, vesting of Restricted Stock Awards and RSU Awards will cease upon termination of the Participant’s Continuous Service.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(iv)</w:t>
      </w:r>
    </w:p>
    <w:p>
      <w:pPr>
        <w:pStyle w:val="TextBody"/>
        <w:bidi w:val="0"/>
        <w:spacing w:before="0" w:after="240"/>
        <w:jc w:val="both"/>
        <w:rPr>
          <w:rFonts w:ascii="Times New Roman" w:hAnsi="Times New Roman"/>
          <w:sz w:val="22"/>
        </w:rPr>
      </w:pPr>
      <w:r>
        <w:rPr>
          <w:rFonts w:ascii="Times New Roman" w:hAnsi="Times New Roman"/>
          <w:b/>
          <w:color w:val="000000"/>
          <w:sz w:val="22"/>
        </w:rPr>
        <w:t>Termination of Continuous Service.</w:t>
      </w:r>
      <w:r>
        <w:rPr>
          <w:rFonts w:ascii="Times New Roman" w:hAnsi="Times New Roman"/>
          <w:color w:val="000000"/>
          <w:sz w:val="22"/>
        </w:rPr>
        <w:t xml:space="preserve"> Except as otherwise provided in the Award Agreement or other written agreement between a Participant and the Company, if a Participant’s Continuous Service terminates for any reason, (i)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(ii)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(v)</w:t>
      </w:r>
    </w:p>
    <w:p>
      <w:pPr>
        <w:pStyle w:val="TextBody"/>
        <w:bidi w:val="0"/>
        <w:spacing w:before="0" w:after="240"/>
        <w:jc w:val="both"/>
        <w:rPr>
          <w:rFonts w:ascii="Times New Roman" w:hAnsi="Times New Roman"/>
          <w:sz w:val="22"/>
        </w:rPr>
      </w:pPr>
      <w:r>
        <w:rPr>
          <w:rFonts w:ascii="Times New Roman" w:hAnsi="Times New Roman"/>
          <w:b/>
          <w:color w:val="000000"/>
          <w:sz w:val="22"/>
        </w:rPr>
        <w:t xml:space="preserve">Dividends and Dividend Equivalents. </w:t>
      </w:r>
      <w:r>
        <w:rPr>
          <w:rFonts w:ascii="Times New Roman" w:hAnsi="Times New Roman"/>
          <w:color w:val="000000"/>
          <w:sz w:val="22"/>
        </w:rPr>
        <w:t>Dividends or dividend equivalents may be paid or credited, as applicable, with respect to any shares of Common Stock subject to a Restricted Stock Award or RSU Award, as determined by the Plan Administrator and specified in the Award Agreement.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(vi)</w:t>
      </w:r>
    </w:p>
    <w:p>
      <w:pPr>
        <w:pStyle w:val="TextBody"/>
        <w:bidi w:val="0"/>
        <w:spacing w:before="0" w:after="240"/>
        <w:jc w:val="both"/>
        <w:rPr>
          <w:rFonts w:ascii="Times New Roman" w:hAnsi="Times New Roman"/>
          <w:sz w:val="22"/>
        </w:rPr>
      </w:pPr>
      <w:r>
        <w:rPr>
          <w:rFonts w:ascii="Times New Roman" w:hAnsi="Times New Roman"/>
          <w:b/>
          <w:color w:val="000000"/>
          <w:sz w:val="22"/>
        </w:rPr>
        <w:t>Settlement of RSU Awards.</w:t>
      </w:r>
      <w:r>
        <w:rPr>
          <w:rFonts w:ascii="Times New Roman" w:hAnsi="Times New Roman"/>
          <w:color w:val="000000"/>
          <w:sz w:val="22"/>
        </w:rPr>
        <w:t xml:space="preserve"> A RSU Award may be settled by the issuance of shares of Common Stock or cash (or any combination thereof) or in any other form of payment, as determined by the Plan Administrator and specified in the RSU Award Agreement. At the time of grant, the Plan Administrator may determine to impose such restrictions or conditions that delay such delivery to a date following the vesting of the RSU Award.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240"/>
        <w:jc w:val="both"/>
        <w:rPr>
          <w:rFonts w:ascii="Times New Roman" w:hAnsi="Times New Roman"/>
          <w:sz w:val="22"/>
        </w:rPr>
      </w:pPr>
      <w:r>
        <w:rPr>
          <w:rFonts w:ascii="Times New Roman" w:hAnsi="Times New Roman"/>
          <w:b/>
          <w:color w:val="000000"/>
          <w:sz w:val="22"/>
        </w:rPr>
        <w:t>Performance Awards.</w:t>
      </w:r>
      <w:r>
        <w:rPr>
          <w:rFonts w:ascii="Times New Roman" w:hAnsi="Times New Roman"/>
          <w:color w:val="000000"/>
          <w:sz w:val="22"/>
        </w:rPr>
        <w:t xml:space="preserve"> With respect to any Performance Award, the length of any Performance Period, the Performance Goals to be achieved during the Performance Period, the other terms and conditions of such Award, and the measure of whether and to what degree such Performance Goals have been attained will be determined by the Plan Administrator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(c)</w:t>
      </w:r>
    </w:p>
    <w:p>
      <w:pPr>
        <w:pStyle w:val="TextBody"/>
        <w:bidi w:val="0"/>
        <w:spacing w:before="0" w:after="240"/>
        <w:jc w:val="both"/>
        <w:rPr>
          <w:rFonts w:ascii="Times New Roman" w:hAnsi="Times New Roman"/>
          <w:sz w:val="22"/>
        </w:rPr>
      </w:pPr>
      <w:r>
        <w:rPr>
          <w:rFonts w:ascii="Times New Roman" w:hAnsi="Times New Roman"/>
          <w:b/>
          <w:color w:val="000000"/>
          <w:sz w:val="22"/>
        </w:rPr>
        <w:t>Other Awards.</w:t>
      </w:r>
      <w:r>
        <w:rPr>
          <w:rFonts w:ascii="Times New Roman" w:hAnsi="Times New Roman"/>
          <w:color w:val="000000"/>
          <w:sz w:val="22"/>
        </w:rPr>
        <w:t xml:space="preserve"> Other Awards may be granted either alone or in addition to Awards provided for under Section 4 and the preceding provisions of this Section 5. Subject to the provisions of the Plan, the Plan Administrator will have sole and complete discretion to determine the persons to whom </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and the time or times at which such Other Awards will be granted, the number of shares of Common Stock (or the cash equivalent thereof) to be granted pursuant to such Other Awards and all other terms and conditions of such Other Awards.</w:t>
      </w:r>
    </w:p>
    <w:p>
      <w:pPr>
        <w:pStyle w:val="TextBody"/>
        <w:bidi w:val="0"/>
        <w:spacing w:before="0" w:after="240"/>
        <w:jc w:val="both"/>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6.</w:t>
      </w:r>
    </w:p>
    <w:p>
      <w:pPr>
        <w:pStyle w:val="TextBody"/>
        <w:bidi w:val="0"/>
        <w:spacing w:before="0" w:after="240"/>
        <w:jc w:val="both"/>
        <w:rPr>
          <w:rFonts w:ascii="Times New Roman" w:hAnsi="Times New Roman"/>
          <w:sz w:val="22"/>
        </w:rPr>
      </w:pPr>
      <w:r>
        <w:rPr>
          <w:rFonts w:ascii="Times New Roman" w:hAnsi="Times New Roman"/>
          <w:b/>
          <w:smallCaps/>
          <w:color w:val="000000"/>
          <w:sz w:val="22"/>
        </w:rPr>
        <w:t>Adjustments upon Changes in Common Stock; Other Corporate Events</w:t>
      </w:r>
      <w:r>
        <w:rPr>
          <w:rFonts w:ascii="Times New Roman" w:hAnsi="Times New Roman"/>
          <w:b/>
          <w:color w:val="000000"/>
          <w:sz w:val="22"/>
        </w:rPr>
        <w: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40"/>
        <w:jc w:val="both"/>
        <w:rPr>
          <w:rFonts w:ascii="Times New Roman" w:hAnsi="Times New Roman"/>
          <w:sz w:val="22"/>
        </w:rPr>
      </w:pPr>
      <w:r>
        <w:rPr>
          <w:rFonts w:ascii="Times New Roman" w:hAnsi="Times New Roman"/>
          <w:b/>
          <w:color w:val="000000"/>
          <w:sz w:val="22"/>
        </w:rPr>
        <w:t>Capitalization Adjustments.</w:t>
      </w:r>
      <w:r>
        <w:rPr>
          <w:rFonts w:ascii="Times New Roman" w:hAnsi="Times New Roman"/>
          <w:color w:val="000000"/>
          <w:sz w:val="22"/>
        </w:rPr>
        <w:t xml:space="preserve"> In the event of a Capitalization Adjustment, the Plan Administrator shall appropriately and proportionately adjust: (i) the class(es) and maximum number of shares of Common Stock subject to the Plan and (ii) the class(es) and number of securities and exercise price, strike price or purchase price of Common Stock subject to outstanding Awards. The Plan Administrator shall make such adjustments, and its determination shall be final, binding and conclusive. Notwithstanding the foregoing, no fractional shares or rights for fractional shares of Common Stock shall be created in order to implement any Capitalization Adjustment. The Plan Administrator shall determine an equivalent benefit for any fractional shares or fractional shares that might be created by the adjustments referred to in the preceding provisions of this Section.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240"/>
        <w:jc w:val="both"/>
        <w:rPr>
          <w:rFonts w:ascii="Times New Roman" w:hAnsi="Times New Roman"/>
          <w:sz w:val="22"/>
        </w:rPr>
      </w:pPr>
      <w:r>
        <w:rPr>
          <w:rFonts w:ascii="Times New Roman" w:hAnsi="Times New Roman"/>
          <w:b/>
          <w:color w:val="000000"/>
          <w:sz w:val="22"/>
        </w:rPr>
        <w:t>Dissolution or Liquidation.</w:t>
      </w:r>
      <w:r>
        <w:rPr>
          <w:rFonts w:ascii="Times New Roman" w:hAnsi="Times New Roman"/>
          <w:color w:val="000000"/>
          <w:sz w:val="22"/>
        </w:rPr>
        <w:t xml:space="preserve"> Except as otherwise provided in the Award Agreement, in the event of a dissolution or liquidation of the 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Plan Administrator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(c)</w:t>
      </w:r>
    </w:p>
    <w:p>
      <w:pPr>
        <w:pStyle w:val="TextBody"/>
        <w:bidi w:val="0"/>
        <w:spacing w:before="0" w:after="240"/>
        <w:jc w:val="both"/>
        <w:rPr>
          <w:rFonts w:ascii="Times New Roman" w:hAnsi="Times New Roman"/>
          <w:sz w:val="22"/>
        </w:rPr>
      </w:pPr>
      <w:r>
        <w:rPr>
          <w:rFonts w:ascii="Times New Roman" w:hAnsi="Times New Roman"/>
          <w:b/>
          <w:color w:val="000000"/>
          <w:sz w:val="22"/>
        </w:rPr>
        <w:t xml:space="preserve">Corporate Transaction. </w:t>
      </w:r>
      <w:r>
        <w:rPr>
          <w:rFonts w:ascii="Times New Roman" w:hAnsi="Times New Roman"/>
          <w:color w:val="000000"/>
          <w:sz w:val="22"/>
        </w:rPr>
        <w:t>The following provisions will apply to Awards in the event of a Corporate Transaction except as set forth in Section 11, and unless otherwise provided in the instrument evidencing the Award or any other written agreement between the Company or any Affiliate and the Participant or unless otherwise expressly provided by the Plan Administrator at the time of grant of an Award.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w:t>
      </w:r>
    </w:p>
    <w:p>
      <w:pPr>
        <w:pStyle w:val="TextBody"/>
        <w:bidi w:val="0"/>
        <w:spacing w:before="0" w:after="240"/>
        <w:jc w:val="both"/>
        <w:rPr>
          <w:rFonts w:ascii="Times New Roman" w:hAnsi="Times New Roman"/>
          <w:sz w:val="22"/>
        </w:rPr>
      </w:pPr>
      <w:r>
        <w:rPr>
          <w:rFonts w:ascii="Times New Roman" w:hAnsi="Times New Roman"/>
          <w:b/>
          <w:color w:val="000000"/>
          <w:sz w:val="22"/>
        </w:rPr>
        <w:t>Awards May Be Assumed.</w:t>
      </w:r>
      <w:r>
        <w:rPr>
          <w:rFonts w:ascii="Times New Roman" w:hAnsi="Times New Roman"/>
          <w:color w:val="000000"/>
          <w:sz w:val="22"/>
        </w:rPr>
        <w:t xml:space="preserve"> In the event of a Corporate Transaction, any surviving corporation or acquiring corporation (or the 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Plan Administrator.</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(ii)</w:t>
      </w:r>
    </w:p>
    <w:p>
      <w:pPr>
        <w:pStyle w:val="TextBody"/>
        <w:bidi w:val="0"/>
        <w:spacing w:before="0" w:after="240"/>
        <w:jc w:val="both"/>
        <w:rPr>
          <w:rFonts w:ascii="Times New Roman" w:hAnsi="Times New Roman"/>
          <w:sz w:val="22"/>
        </w:rPr>
      </w:pPr>
      <w:r>
        <w:rPr>
          <w:rFonts w:ascii="Times New Roman" w:hAnsi="Times New Roman"/>
          <w:b/>
          <w:color w:val="000000"/>
          <w:sz w:val="22"/>
        </w:rPr>
        <w:t>Awards Held by Current Participants.</w:t>
      </w:r>
      <w:r>
        <w:rPr>
          <w:rFonts w:ascii="Times New Roman" w:hAnsi="Times New Roman"/>
          <w:color w:val="000000"/>
          <w:sz w:val="22"/>
        </w:rPr>
        <w:t xml:space="preserve"> In the event of a Corporate Transaction in which the surviving corporation or acquiring corporation (or its parent company) does not assume or continue such outstanding Awards or substitute similar awards for such outstanding Awards, then with </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2"/>
        </w:rPr>
      </w:pPr>
      <w:r>
        <w:rPr>
          <w:rFonts w:ascii="Times New Roman" w:hAnsi="Times New Roman"/>
          <w:color w:val="000000"/>
          <w:sz w:val="22"/>
        </w:rPr>
        <w:t>respect to Awards that have not been assumed, continued or substituted and that are held by Participants whose Continuous Service has not terminated prior to the effective time of the Corporate Transaction (referred to as the “</w:t>
      </w:r>
      <w:r>
        <w:rPr>
          <w:rFonts w:ascii="Times New Roman" w:hAnsi="Times New Roman"/>
          <w:b/>
          <w:i/>
          <w:color w:val="000000"/>
          <w:sz w:val="22"/>
        </w:rPr>
        <w:t>Current Participants</w:t>
      </w:r>
      <w:r>
        <w:rPr>
          <w:rFonts w:ascii="Times New Roman" w:hAnsi="Times New Roman"/>
          <w:color w:val="000000"/>
          <w:sz w:val="22"/>
        </w:rPr>
        <w:t>”),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Plan Administrator determines (or, if the Plan Administrator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(iii)</w:t>
      </w:r>
    </w:p>
    <w:p>
      <w:pPr>
        <w:pStyle w:val="TextBody"/>
        <w:bidi w:val="0"/>
        <w:spacing w:before="0" w:after="240"/>
        <w:jc w:val="both"/>
        <w:rPr>
          <w:rFonts w:ascii="Times New Roman" w:hAnsi="Times New Roman"/>
          <w:sz w:val="22"/>
        </w:rPr>
      </w:pPr>
      <w:r>
        <w:rPr>
          <w:rFonts w:ascii="Times New Roman" w:hAnsi="Times New Roman"/>
          <w:b/>
          <w:color w:val="000000"/>
          <w:sz w:val="22"/>
        </w:rPr>
        <w:t>Awards Held by Persons other than Current Participants.</w:t>
      </w:r>
      <w:r>
        <w:rPr>
          <w:rFonts w:ascii="Times New Roman" w:hAnsi="Times New Roman"/>
          <w:color w:val="000000"/>
          <w:sz w:val="22"/>
        </w:rPr>
        <w:t xml:space="preserve"> 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(iv)</w:t>
      </w:r>
    </w:p>
    <w:p>
      <w:pPr>
        <w:pStyle w:val="TextBody"/>
        <w:bidi w:val="0"/>
        <w:spacing w:before="0" w:after="240"/>
        <w:jc w:val="both"/>
        <w:rPr>
          <w:rFonts w:ascii="Times New Roman" w:hAnsi="Times New Roman"/>
          <w:sz w:val="22"/>
        </w:rPr>
      </w:pPr>
      <w:r>
        <w:rPr>
          <w:rFonts w:ascii="Times New Roman" w:hAnsi="Times New Roman"/>
          <w:b/>
          <w:color w:val="000000"/>
          <w:sz w:val="22"/>
        </w:rPr>
        <w:t>Payment for Awards in Lieu of Exercise.</w:t>
      </w:r>
      <w:r>
        <w:rPr>
          <w:rFonts w:ascii="Times New Roman" w:hAnsi="Times New Roman"/>
          <w:color w:val="000000"/>
          <w:sz w:val="22"/>
        </w:rPr>
        <w:t xml:space="preserve"> Notwithstanding the foregoing, in the event an Award will terminate if not exercised prior to the effective time of a Corporate Transaction, the Plan Administrator may provide, in its sole discretion, that the holder of such Award may not exercise such Award but will receive a payment, in such form as may be determined by the Plan Administrator, equal in value, at the effective time, to the excess, if any, of (1) the value of the property the Participant would have received upon the exercise of the Award (including, at the discretion of the Plan Administrator, any unvested portion of such Award), over (2) any exercise price payable by such holder in connection with such exercise.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(d)</w:t>
      </w:r>
    </w:p>
    <w:p>
      <w:pPr>
        <w:pStyle w:val="TextBody"/>
        <w:bidi w:val="0"/>
        <w:spacing w:before="0" w:after="240"/>
        <w:jc w:val="both"/>
        <w:rPr>
          <w:rFonts w:ascii="Times New Roman" w:hAnsi="Times New Roman"/>
          <w:sz w:val="22"/>
        </w:rPr>
      </w:pPr>
      <w:r>
        <w:rPr>
          <w:rFonts w:ascii="Times New Roman" w:hAnsi="Times New Roman"/>
          <w:b/>
          <w:color w:val="000000"/>
          <w:sz w:val="22"/>
        </w:rPr>
        <w:t>Appointment of Stockholder Representative.</w:t>
      </w:r>
      <w:r>
        <w:rPr>
          <w:rFonts w:ascii="Times New Roman" w:hAnsi="Times New Roman"/>
          <w:color w:val="000000"/>
          <w:sz w:val="22"/>
        </w:rPr>
        <w:t xml:space="preserve"> As a condition to the receipt of an Award under this Plan, a Participant will be deemed to 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(e)</w:t>
      </w:r>
    </w:p>
    <w:p>
      <w:pPr>
        <w:pStyle w:val="TextBody"/>
        <w:bidi w:val="0"/>
        <w:spacing w:before="0" w:after="240"/>
        <w:jc w:val="both"/>
        <w:rPr>
          <w:rFonts w:ascii="Times New Roman" w:hAnsi="Times New Roman"/>
          <w:sz w:val="22"/>
        </w:rPr>
      </w:pPr>
      <w:r>
        <w:rPr>
          <w:rFonts w:ascii="Times New Roman" w:hAnsi="Times New Roman"/>
          <w:b/>
          <w:color w:val="000000"/>
          <w:sz w:val="22"/>
        </w:rPr>
        <w:t>No Restriction on Right to Undertake Transactions.</w:t>
      </w:r>
      <w:r>
        <w:rPr>
          <w:rFonts w:ascii="Times New Roman" w:hAnsi="Times New Roman"/>
          <w:color w:val="000000"/>
          <w:sz w:val="22"/>
        </w:rPr>
        <w:t xml:space="preserve"> The grant of any Award under the Plan and the issuance of shares pursuant to any Award does not affect or restrict in any way the right or power of the Plan Administrator to make or authorize any adjustment, recapitalization, reorganization or other change in the Company’s capital structure or its business, any Change in Control, any Corporate Transaction,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pStyle w:val="TextBody"/>
        <w:bidi w:val="0"/>
        <w:jc w:val="center"/>
        <w:rPr>
          <w:rFonts w:ascii="Times New Roman" w:hAnsi="Times New Roman"/>
          <w:color w:val="000000"/>
          <w:sz w:val="22"/>
        </w:rPr>
      </w:pPr>
      <w:r>
        <w:rPr>
          <w:rFonts w:ascii="Times New Roman" w:hAnsi="Times New Roman"/>
          <w:color w:val="000000"/>
          <w:sz w:val="22"/>
        </w:rPr>
        <w:t>8</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7.</w:t>
      </w:r>
    </w:p>
    <w:p>
      <w:pPr>
        <w:pStyle w:val="TextBody"/>
        <w:bidi w:val="0"/>
        <w:spacing w:before="0" w:after="240"/>
        <w:jc w:val="both"/>
        <w:rPr>
          <w:rFonts w:ascii="Times New Roman" w:hAnsi="Times New Roman"/>
          <w:sz w:val="22"/>
        </w:rPr>
      </w:pPr>
      <w:r>
        <w:rPr>
          <w:rFonts w:ascii="Times New Roman" w:hAnsi="Times New Roman"/>
          <w:b/>
          <w:smallCaps/>
          <w:color w:val="000000"/>
          <w:sz w:val="22"/>
        </w:rPr>
        <w:t>Administration</w:t>
      </w:r>
      <w:r>
        <w:rPr>
          <w:rFonts w:ascii="Times New Roman" w:hAnsi="Times New Roman"/>
          <w:b/>
          <w:color w:val="000000"/>
          <w:sz w:val="22"/>
        </w:rPr>
        <w: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40"/>
        <w:jc w:val="both"/>
        <w:rPr>
          <w:rFonts w:ascii="Times New Roman" w:hAnsi="Times New Roman"/>
          <w:sz w:val="22"/>
        </w:rPr>
      </w:pPr>
      <w:r>
        <w:rPr>
          <w:rFonts w:ascii="Times New Roman" w:hAnsi="Times New Roman"/>
          <w:b/>
          <w:color w:val="000000"/>
          <w:sz w:val="22"/>
        </w:rPr>
        <w:t>Administration.</w:t>
      </w:r>
      <w:r>
        <w:rPr>
          <w:rFonts w:ascii="Times New Roman" w:hAnsi="Times New Roman"/>
          <w:color w:val="000000"/>
          <w:sz w:val="22"/>
        </w:rPr>
        <w:t xml:space="preserve"> The Plan Administrator will administer the Plan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240"/>
        <w:jc w:val="both"/>
        <w:rPr>
          <w:rFonts w:ascii="Times New Roman" w:hAnsi="Times New Roman"/>
          <w:sz w:val="22"/>
        </w:rPr>
      </w:pPr>
      <w:r>
        <w:rPr>
          <w:rFonts w:ascii="Times New Roman" w:hAnsi="Times New Roman"/>
          <w:b/>
          <w:color w:val="000000"/>
          <w:sz w:val="22"/>
        </w:rPr>
        <w:t>Powers of Plan Administrator.</w:t>
      </w:r>
      <w:r>
        <w:rPr>
          <w:rFonts w:ascii="Times New Roman" w:hAnsi="Times New Roman"/>
          <w:color w:val="000000"/>
          <w:sz w:val="22"/>
        </w:rPr>
        <w:t xml:space="preserve"> The Plan Administrator will have the power, subject to, and within the limitations of, the express provisions of the Plan: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determine from time to time: (1) which of the Eligible Employees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construe and interpret the Plan and Awards granted under it, and to establish, amend and revoke rules and regulations for its administration. The Plan Administrator, in the exercise of this power, may correct any defect, omission or inconsistency in the Plan or in any Award Agreement, in a manner and to the extent it deems necessary or expedient to make the Plan or Award fully effective.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settle all controversies regarding the Plan and Awards granted under it.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(vi)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suspend or terminate the Plan at any time. Suspension or termination of the Plan will not Materially Impair rights and obligations under any Award granted while the Plan is in effect except with the written consent of the affected Participant.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(vii)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amend the Plan in any respect the Plan Administrator deems necessary or advisable; provided, however,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(viii)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To impose, incidental to the grant of an Award, conditions with respect to the Award, including procedures to ensure that an Employee is eligible to participate in the Plan prior to the granting of any Awards to such Employee under the Plan (including, without limitation, a requirement, if any, that each such Employee certify to the Company prior to the receipt of an Award under the Plan that such Employee has not been previously employed by the Company or an Affiliate, or if previously employed, has had a bona fide period of non-employment, and that the grant of an Award under the Plan </w:t>
      </w:r>
    </w:p>
    <w:p>
      <w:pPr>
        <w:pStyle w:val="TextBody"/>
        <w:bidi w:val="0"/>
        <w:jc w:val="center"/>
        <w:rPr>
          <w:rFonts w:ascii="Times New Roman" w:hAnsi="Times New Roman"/>
          <w:color w:val="000000"/>
          <w:sz w:val="22"/>
        </w:rPr>
      </w:pPr>
      <w:r>
        <w:rPr>
          <w:rFonts w:ascii="Times New Roman" w:hAnsi="Times New Roman"/>
          <w:color w:val="000000"/>
          <w:sz w:val="22"/>
        </w:rPr>
        <w:t>9</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is an inducement material to such Employee’s agreement to enter into employment with the Company or an Affiliate).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(ix)</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Plan Administrator discretion; provided however, that, a Participant’s rights under any Award will not be Materially Impaired by any such amendment unless (1) the Company requests the consent of the affected Participant, and (2) such Participant consents in writing.</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(x)</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Generally, to exercise such powers and to perform such acts as the Plan Administrator deems necessary or expedient to promote the best interests of the Company and that are not in conflict with the provisions of the Plan or Awards.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(xi)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adopt such procedures and sub-plans as are necessary or appropriate to permit and facilitate participation in the Plan by, or take advantage of specific tax treatment for Awards granted to, Eligible Employees who are non-U.S. nationals or employed outside the United States (provided that Plan Administrator approval will not be necessary for immaterial modifications to the Plan or any Award Agreement to ensure or facilitate compliance with the laws of the relevant non-U.S. jurisdiction).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(xii)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effect, at any time and from time to time, subject to the consent of any Participant whose Award is Materially Impaired by such action,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Common Stock, (B) cash and/or (C) other valuable consideration (as determined by the Plan Administrator); or (3) any other action that is treated as a repricing under generally accepted accounting principles.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(c)</w:t>
      </w:r>
    </w:p>
    <w:p>
      <w:pPr>
        <w:pStyle w:val="TextBody"/>
        <w:bidi w:val="0"/>
        <w:spacing w:before="0" w:after="240"/>
        <w:jc w:val="both"/>
        <w:rPr>
          <w:rFonts w:ascii="Times New Roman" w:hAnsi="Times New Roman"/>
          <w:sz w:val="22"/>
        </w:rPr>
      </w:pPr>
      <w:r>
        <w:rPr>
          <w:rFonts w:ascii="Times New Roman" w:hAnsi="Times New Roman"/>
          <w:b/>
          <w:color w:val="000000"/>
          <w:sz w:val="22"/>
        </w:rPr>
        <w:t>Rule 16b-3 Compliance.</w:t>
      </w:r>
      <w:r>
        <w:rPr>
          <w:rFonts w:ascii="Times New Roman" w:hAnsi="Times New Roman"/>
          <w:color w:val="000000"/>
          <w:sz w:val="22"/>
        </w:rPr>
        <w:t xml:space="preserve"> To the extent an Award is intended to qualify for the exemption from Section 16(b) of the Exchange Act that is available under Rule 16b-3 of the Exchange Act, the Award will be granted by the Plan Administrator that consists solely of two or more Rule 16b-3 Directors, as determined under Rule 16b-3(b)(3) of the Exchange Act and thereafter any action establishing or modifying the terms of the Award will be approved by the Plan Administrator meeting such requirements to the extent necessary for such exemption to remain available.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(d)</w:t>
      </w:r>
    </w:p>
    <w:p>
      <w:pPr>
        <w:pStyle w:val="TextBody"/>
        <w:bidi w:val="0"/>
        <w:spacing w:before="0" w:after="240"/>
        <w:jc w:val="both"/>
        <w:rPr>
          <w:rFonts w:ascii="Times New Roman" w:hAnsi="Times New Roman"/>
          <w:sz w:val="22"/>
        </w:rPr>
      </w:pPr>
      <w:r>
        <w:rPr>
          <w:rFonts w:ascii="Times New Roman" w:hAnsi="Times New Roman"/>
          <w:b/>
          <w:color w:val="000000"/>
          <w:sz w:val="22"/>
        </w:rPr>
        <w:t>Effect of Plan Administrator Decision.</w:t>
      </w:r>
      <w:r>
        <w:rPr>
          <w:rFonts w:ascii="Times New Roman" w:hAnsi="Times New Roman"/>
          <w:color w:val="000000"/>
          <w:sz w:val="22"/>
        </w:rPr>
        <w:t xml:space="preserve"> All determinations, interpretations and constructions made by the Plan Administrator in good faith will not be subject to review by any person and will be final, binding and conclusive on all persons.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8.</w:t>
      </w:r>
    </w:p>
    <w:p>
      <w:pPr>
        <w:pStyle w:val="TextBody"/>
        <w:bidi w:val="0"/>
        <w:spacing w:before="0" w:after="240"/>
        <w:jc w:val="both"/>
        <w:rPr>
          <w:rFonts w:ascii="Times New Roman" w:hAnsi="Times New Roman"/>
          <w:b/>
          <w:smallCaps/>
          <w:color w:val="000000"/>
          <w:sz w:val="22"/>
        </w:rPr>
      </w:pPr>
      <w:r>
        <w:rPr>
          <w:rFonts w:ascii="Times New Roman" w:hAnsi="Times New Roman"/>
          <w:b/>
          <w:smallCaps/>
          <w:color w:val="000000"/>
          <w:sz w:val="22"/>
        </w:rPr>
        <w:t>Tax Withholding</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40"/>
        <w:jc w:val="both"/>
        <w:rPr>
          <w:rFonts w:ascii="Times New Roman" w:hAnsi="Times New Roman"/>
          <w:sz w:val="22"/>
        </w:rPr>
      </w:pPr>
      <w:r>
        <w:rPr>
          <w:rFonts w:ascii="Times New Roman" w:hAnsi="Times New Roman"/>
          <w:b/>
          <w:color w:val="000000"/>
          <w:sz w:val="22"/>
        </w:rPr>
        <w:t>Withholding Authorization.</w:t>
      </w:r>
      <w:r>
        <w:rPr>
          <w:rFonts w:ascii="Times New Roman" w:hAnsi="Times New Roman"/>
          <w:color w:val="000000"/>
          <w:sz w:val="22"/>
        </w:rPr>
        <w:t xml:space="preserve"> As a condition to acceptance of any Award under the Plan, a Participant authorizes withholding from payroll and any other amounts payable to such Participant, and otherwise agree to make adequate provision for, any sums required to satisfy any U.S. and/or non-U.S. federal, state, or local tax or social insurance contribution withholding obligations of the Company or an Affiliate, if any, which arise in connection with the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pStyle w:val="TextBody"/>
        <w:bidi w:val="0"/>
        <w:jc w:val="center"/>
        <w:rPr>
          <w:rFonts w:ascii="Times New Roman" w:hAnsi="Times New Roman"/>
          <w:color w:val="000000"/>
          <w:sz w:val="22"/>
        </w:rPr>
      </w:pPr>
      <w:r>
        <w:rPr>
          <w:rFonts w:ascii="Times New Roman" w:hAnsi="Times New Roman"/>
          <w:color w:val="000000"/>
          <w:sz w:val="22"/>
        </w:rPr>
        <w:t>10</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240"/>
        <w:jc w:val="both"/>
        <w:rPr>
          <w:rFonts w:ascii="Times New Roman" w:hAnsi="Times New Roman"/>
          <w:sz w:val="22"/>
        </w:rPr>
      </w:pPr>
      <w:r>
        <w:rPr>
          <w:rFonts w:ascii="Times New Roman" w:hAnsi="Times New Roman"/>
          <w:b/>
          <w:color w:val="000000"/>
          <w:sz w:val="22"/>
        </w:rPr>
        <w:t>Satisfaction of Withholding Obligation.</w:t>
      </w:r>
      <w:r>
        <w:rPr>
          <w:rFonts w:ascii="Times New Roman" w:hAnsi="Times New Roman"/>
          <w:color w:val="000000"/>
          <w:sz w:val="22"/>
        </w:rPr>
        <w:t xml:space="preserve"> To the extent permitted by the terms of an Award Agreement, the Company may, in its sole discretion, satisfy any U.S. and/or non-U.S. federal, state, local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U.S. Federal Reserve Board, or (vi) by such other method as may be set forth in the Award Agreement.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(c)</w:t>
      </w:r>
    </w:p>
    <w:p>
      <w:pPr>
        <w:pStyle w:val="TextBody"/>
        <w:bidi w:val="0"/>
        <w:spacing w:before="0" w:after="240"/>
        <w:jc w:val="both"/>
        <w:rPr>
          <w:rFonts w:ascii="Times New Roman" w:hAnsi="Times New Roman"/>
          <w:sz w:val="22"/>
        </w:rPr>
      </w:pPr>
      <w:r>
        <w:rPr>
          <w:rFonts w:ascii="Times New Roman" w:hAnsi="Times New Roman"/>
          <w:b/>
          <w:color w:val="000000"/>
          <w:sz w:val="22"/>
        </w:rPr>
        <w:t xml:space="preserve">No Obligation to Notify or Minimize Taxes; No Liability to Claims. </w:t>
      </w:r>
      <w:r>
        <w:rPr>
          <w:rFonts w:ascii="Times New Roman" w:hAnsi="Times New Roman"/>
          <w:color w:val="000000"/>
          <w:sz w:val="22"/>
        </w:rPr>
        <w:t>Except as required by Applicable Law the Company has no duty or 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to make any claim against the Company, or any of its Officers, Directors, Employees or Affiliates in the event that the U.S. Internal Revenue Service asserts that such exercise price or strike price is less than the “fair market value” of the Common Stock on the date of grant as subsequently determined by the U.S. Internal Revenue Service.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(d)</w:t>
      </w:r>
    </w:p>
    <w:p>
      <w:pPr>
        <w:pStyle w:val="TextBody"/>
        <w:bidi w:val="0"/>
        <w:spacing w:before="0" w:after="240"/>
        <w:jc w:val="both"/>
        <w:rPr>
          <w:rFonts w:ascii="Times New Roman" w:hAnsi="Times New Roman"/>
          <w:sz w:val="22"/>
        </w:rPr>
      </w:pPr>
      <w:r>
        <w:rPr>
          <w:rFonts w:ascii="Times New Roman" w:hAnsi="Times New Roman"/>
          <w:b/>
          <w:color w:val="000000"/>
          <w:sz w:val="22"/>
        </w:rPr>
        <w:t xml:space="preserve">Withholding Indemnification. </w:t>
      </w:r>
      <w:r>
        <w:rPr>
          <w:rFonts w:ascii="Times New Roman" w:hAnsi="Times New Roman"/>
          <w:color w:val="000000"/>
          <w:sz w:val="22"/>
        </w:rPr>
        <w:t>As a condition to accepting an Award under the Plan, in the event that the amount 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9.</w:t>
      </w:r>
    </w:p>
    <w:p>
      <w:pPr>
        <w:pStyle w:val="TextBody"/>
        <w:bidi w:val="0"/>
        <w:spacing w:before="0" w:after="240"/>
        <w:jc w:val="both"/>
        <w:rPr>
          <w:rFonts w:ascii="Times New Roman" w:hAnsi="Times New Roman"/>
          <w:sz w:val="22"/>
        </w:rPr>
      </w:pPr>
      <w:r>
        <w:rPr>
          <w:rFonts w:ascii="Times New Roman" w:hAnsi="Times New Roman"/>
          <w:b/>
          <w:smallCaps/>
          <w:color w:val="000000"/>
          <w:sz w:val="22"/>
        </w:rPr>
        <w:t>Miscellaneous</w:t>
      </w:r>
      <w:r>
        <w:rPr>
          <w:rFonts w:ascii="Times New Roman" w:hAnsi="Times New Roman"/>
          <w:b/>
          <w:color w:val="000000"/>
          <w:sz w:val="22"/>
        </w:rPr>
        <w: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40"/>
        <w:jc w:val="both"/>
        <w:rPr>
          <w:rFonts w:ascii="Times New Roman" w:hAnsi="Times New Roman"/>
          <w:sz w:val="22"/>
        </w:rPr>
      </w:pPr>
      <w:r>
        <w:rPr>
          <w:rFonts w:ascii="Times New Roman" w:hAnsi="Times New Roman"/>
          <w:b/>
          <w:color w:val="000000"/>
          <w:sz w:val="22"/>
        </w:rPr>
        <w:t>Source of Shares.</w:t>
      </w:r>
      <w:r>
        <w:rPr>
          <w:rFonts w:ascii="Times New Roman" w:hAnsi="Times New Roman"/>
          <w:color w:val="000000"/>
          <w:sz w:val="22"/>
        </w:rPr>
        <w:t xml:space="preserve"> The stock issuable under the Plan will be shares of authorized but unissued or reacquired Common Stock, including shares repurchased by the Company on the open market or otherwise.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240"/>
        <w:jc w:val="both"/>
        <w:rPr>
          <w:rFonts w:ascii="Times New Roman" w:hAnsi="Times New Roman"/>
          <w:sz w:val="22"/>
        </w:rPr>
      </w:pPr>
      <w:r>
        <w:rPr>
          <w:rFonts w:ascii="Times New Roman" w:hAnsi="Times New Roman"/>
          <w:b/>
          <w:color w:val="000000"/>
          <w:sz w:val="22"/>
        </w:rPr>
        <w:t xml:space="preserve">Use of Proceeds from Sales of Common Stock. </w:t>
      </w:r>
      <w:r>
        <w:rPr>
          <w:rFonts w:ascii="Times New Roman" w:hAnsi="Times New Roman"/>
          <w:color w:val="000000"/>
          <w:sz w:val="22"/>
        </w:rPr>
        <w:t>Proceeds from the sale of shares of Common Stock pursuant to Awards will constitute general funds of the Company.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(c)</w:t>
      </w:r>
    </w:p>
    <w:p>
      <w:pPr>
        <w:pStyle w:val="TextBody"/>
        <w:bidi w:val="0"/>
        <w:spacing w:before="0" w:after="240"/>
        <w:jc w:val="both"/>
        <w:rPr>
          <w:rFonts w:ascii="Times New Roman" w:hAnsi="Times New Roman"/>
          <w:sz w:val="22"/>
        </w:rPr>
      </w:pPr>
      <w:r>
        <w:rPr>
          <w:rFonts w:ascii="Times New Roman" w:hAnsi="Times New Roman"/>
          <w:b/>
          <w:color w:val="000000"/>
          <w:sz w:val="22"/>
        </w:rPr>
        <w:t>Corporate Action Constituting Grant of Awards.</w:t>
      </w:r>
      <w:r>
        <w:rPr>
          <w:rFonts w:ascii="Times New Roman" w:hAnsi="Times New Roman"/>
          <w:color w:val="000000"/>
          <w:sz w:val="22"/>
        </w:rPr>
        <w:t xml:space="preserve"> Corporate action constituting a grant by the Company of an Award to any Participant will be deemed completed as of the date of such corporate action, unless otherwise determined by the Plan Administrator, regardless of when the instrument, certificate, or letter evidencing the Award is communicated to, or actually received or accepted by, the Participant. In the event that the corporate records (e.g., Plan Administrator consents, resolutions or </w:t>
      </w:r>
    </w:p>
    <w:p>
      <w:pPr>
        <w:pStyle w:val="TextBody"/>
        <w:bidi w:val="0"/>
        <w:jc w:val="center"/>
        <w:rPr>
          <w:rFonts w:ascii="Times New Roman" w:hAnsi="Times New Roman"/>
          <w:color w:val="000000"/>
          <w:sz w:val="22"/>
        </w:rPr>
      </w:pPr>
      <w:r>
        <w:rPr>
          <w:rFonts w:ascii="Times New Roman" w:hAnsi="Times New Roman"/>
          <w:color w:val="000000"/>
          <w:sz w:val="22"/>
        </w:rPr>
        <w:t>11</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(d)</w:t>
      </w:r>
    </w:p>
    <w:p>
      <w:pPr>
        <w:pStyle w:val="TextBody"/>
        <w:bidi w:val="0"/>
        <w:spacing w:before="0" w:after="240"/>
        <w:jc w:val="both"/>
        <w:rPr>
          <w:rFonts w:ascii="Times New Roman" w:hAnsi="Times New Roman"/>
          <w:sz w:val="22"/>
        </w:rPr>
      </w:pPr>
      <w:r>
        <w:rPr>
          <w:rFonts w:ascii="Times New Roman" w:hAnsi="Times New Roman"/>
          <w:b/>
          <w:color w:val="000000"/>
          <w:sz w:val="22"/>
        </w:rPr>
        <w:t>Stockholder Rights.</w:t>
      </w:r>
      <w:r>
        <w:rPr>
          <w:rFonts w:ascii="Times New Roman" w:hAnsi="Times New Roman"/>
          <w:color w:val="000000"/>
          <w:sz w:val="22"/>
        </w:rPr>
        <w:t xml:space="preserve"> No Participant will be deemed to be the holder of, or to have any of the rights of a holder with respect to, any shares of 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(e)</w:t>
      </w:r>
    </w:p>
    <w:p>
      <w:pPr>
        <w:pStyle w:val="TextBody"/>
        <w:bidi w:val="0"/>
        <w:spacing w:before="0" w:after="240"/>
        <w:jc w:val="both"/>
        <w:rPr>
          <w:rFonts w:ascii="Times New Roman" w:hAnsi="Times New Roman"/>
          <w:sz w:val="22"/>
        </w:rPr>
      </w:pPr>
      <w:r>
        <w:rPr>
          <w:rFonts w:ascii="Times New Roman" w:hAnsi="Times New Roman"/>
          <w:b/>
          <w:color w:val="000000"/>
          <w:sz w:val="22"/>
        </w:rPr>
        <w:t>No Employment or Other Service Rights.</w:t>
      </w:r>
      <w:r>
        <w:rPr>
          <w:rFonts w:ascii="Times New Roman" w:hAnsi="Times New Roman"/>
          <w:color w:val="000000"/>
          <w:sz w:val="22"/>
        </w:rPr>
        <w:t xml:space="preserve"> Nothing in the Plan, any Award Agreement or any other instrument executed thereunder or in 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including the employment of an Employee with or without notice and with or without cause.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(f)</w:t>
      </w:r>
    </w:p>
    <w:p>
      <w:pPr>
        <w:pStyle w:val="TextBody"/>
        <w:bidi w:val="0"/>
        <w:spacing w:before="0" w:after="240"/>
        <w:jc w:val="both"/>
        <w:rPr>
          <w:rFonts w:ascii="Times New Roman" w:hAnsi="Times New Roman"/>
          <w:sz w:val="22"/>
        </w:rPr>
      </w:pPr>
      <w:r>
        <w:rPr>
          <w:rFonts w:ascii="Times New Roman" w:hAnsi="Times New Roman"/>
          <w:b/>
          <w:color w:val="000000"/>
          <w:sz w:val="22"/>
        </w:rPr>
        <w:t>Change in Time Commitment.</w:t>
      </w:r>
      <w:r>
        <w:rPr>
          <w:rFonts w:ascii="Times New Roman" w:hAnsi="Times New Roman"/>
          <w:color w:val="000000"/>
          <w:sz w:val="22"/>
        </w:rPr>
        <w:t xml:space="preserve"> In the event a Participant’s regular level of time commitment in the performance of his or her services for the Company and any Affiliates is reduced (for example, and without limitation, if the Participant has a change in status from a full-time Employee to a part-time Employee or takes an extended leave of absence) after the date of grant of any Award to the Participant, the Plan Administrator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(g)</w:t>
      </w:r>
    </w:p>
    <w:p>
      <w:pPr>
        <w:pStyle w:val="TextBody"/>
        <w:bidi w:val="0"/>
        <w:spacing w:before="0" w:after="240"/>
        <w:jc w:val="both"/>
        <w:rPr>
          <w:rFonts w:ascii="Times New Roman" w:hAnsi="Times New Roman"/>
          <w:sz w:val="22"/>
        </w:rPr>
      </w:pPr>
      <w:r>
        <w:rPr>
          <w:rFonts w:ascii="Times New Roman" w:hAnsi="Times New Roman"/>
          <w:b/>
          <w:color w:val="000000"/>
          <w:sz w:val="22"/>
        </w:rPr>
        <w:t>Execution of Additional Documents.</w:t>
      </w:r>
      <w:r>
        <w:rPr>
          <w:rFonts w:ascii="Times New Roman" w:hAnsi="Times New Roman"/>
          <w:color w:val="000000"/>
          <w:sz w:val="22"/>
        </w:rPr>
        <w:t xml:space="preserve"> As a condition to accepting an Award under the Plan, the Participant agrees to execute any 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(h)</w:t>
      </w:r>
    </w:p>
    <w:p>
      <w:pPr>
        <w:pStyle w:val="TextBody"/>
        <w:bidi w:val="0"/>
        <w:spacing w:before="0" w:after="240"/>
        <w:jc w:val="both"/>
        <w:rPr>
          <w:rFonts w:ascii="Times New Roman" w:hAnsi="Times New Roman"/>
          <w:sz w:val="22"/>
        </w:rPr>
      </w:pPr>
      <w:r>
        <w:rPr>
          <w:rFonts w:ascii="Times New Roman" w:hAnsi="Times New Roman"/>
          <w:b/>
          <w:color w:val="000000"/>
          <w:sz w:val="22"/>
        </w:rPr>
        <w:t>Electronic Delivery and Participation.</w:t>
      </w:r>
      <w:r>
        <w:rPr>
          <w:rFonts w:ascii="Times New Roman" w:hAnsi="Times New Roman"/>
          <w:color w:val="000000"/>
          <w:sz w:val="22"/>
        </w:rPr>
        <w:t xml:space="preserve"> Any reference herein or in an Award Agreement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pStyle w:val="TextBody"/>
        <w:bidi w:val="0"/>
        <w:jc w:val="center"/>
        <w:rPr>
          <w:rFonts w:ascii="Times New Roman" w:hAnsi="Times New Roman"/>
          <w:color w:val="000000"/>
          <w:sz w:val="22"/>
        </w:rPr>
      </w:pPr>
      <w:r>
        <w:rPr>
          <w:rFonts w:ascii="Times New Roman" w:hAnsi="Times New Roman"/>
          <w:color w:val="000000"/>
          <w:sz w:val="22"/>
        </w:rPr>
        <w:t>12</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w:t>
      </w:r>
    </w:p>
    <w:p>
      <w:pPr>
        <w:pStyle w:val="TextBody"/>
        <w:bidi w:val="0"/>
        <w:spacing w:before="0" w:after="240"/>
        <w:jc w:val="both"/>
        <w:rPr>
          <w:rFonts w:ascii="Times New Roman" w:hAnsi="Times New Roman"/>
          <w:sz w:val="22"/>
        </w:rPr>
      </w:pPr>
      <w:r>
        <w:rPr>
          <w:rFonts w:ascii="Times New Roman" w:hAnsi="Times New Roman"/>
          <w:b/>
          <w:color w:val="000000"/>
          <w:sz w:val="22"/>
        </w:rPr>
        <w:t>Clawback/Recovery.</w:t>
      </w:r>
      <w:r>
        <w:rPr>
          <w:rFonts w:ascii="Times New Roman" w:hAnsi="Times New Roman"/>
          <w:color w:val="000000"/>
          <w:sz w:val="22"/>
        </w:rPr>
        <w:t xml:space="preserve"> All Awards granted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Plan Administrator may impose such other clawback, recovery or recoupment provisions in an Award Agreement as the Plan Administrator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voluntary terminate employment upon a “resignation for good reason,” or for a “constructive termination” or any similar term under any plan of or agreement with the Company.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(j)</w:t>
      </w:r>
    </w:p>
    <w:p>
      <w:pPr>
        <w:pStyle w:val="TextBody"/>
        <w:bidi w:val="0"/>
        <w:spacing w:before="0" w:after="240"/>
        <w:jc w:val="both"/>
        <w:rPr>
          <w:rFonts w:ascii="Times New Roman" w:hAnsi="Times New Roman"/>
          <w:sz w:val="22"/>
        </w:rPr>
      </w:pPr>
      <w:r>
        <w:rPr>
          <w:rFonts w:ascii="Times New Roman" w:hAnsi="Times New Roman"/>
          <w:b/>
          <w:color w:val="000000"/>
          <w:sz w:val="22"/>
        </w:rPr>
        <w:t xml:space="preserve">Securities Law Compliance. </w:t>
      </w:r>
      <w:r>
        <w:rPr>
          <w:rFonts w:ascii="Times New Roman" w:hAnsi="Times New Roman"/>
          <w:color w:val="000000"/>
          <w:sz w:val="22"/>
        </w:rPr>
        <w:t>A Participant will not be issued any shares in respect of an Award unless either (i) the shares are registered 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(k)</w:t>
      </w:r>
    </w:p>
    <w:p>
      <w:pPr>
        <w:pStyle w:val="TextBody"/>
        <w:bidi w:val="0"/>
        <w:spacing w:before="0" w:after="240"/>
        <w:jc w:val="both"/>
        <w:rPr>
          <w:rFonts w:ascii="Times New Roman" w:hAnsi="Times New Roman"/>
          <w:sz w:val="22"/>
        </w:rPr>
      </w:pPr>
      <w:r>
        <w:rPr>
          <w:rFonts w:ascii="Times New Roman" w:hAnsi="Times New Roman"/>
          <w:b/>
          <w:color w:val="000000"/>
          <w:sz w:val="22"/>
        </w:rPr>
        <w:t>Transfer or Assignment of Awards; Issued Shares.</w:t>
      </w:r>
      <w:r>
        <w:rPr>
          <w:rFonts w:ascii="Times New Roman" w:hAnsi="Times New Roman"/>
          <w:color w:val="000000"/>
          <w:sz w:val="22"/>
        </w:rPr>
        <w:t xml:space="preserve"> Except as expressly provided in the Plan or the form of Award Agreement, Awards granted under the Plan may not be transferred or assigned by the Participant. After the vested shares subject to an Award have been issued, or in the case of Restricted Stock Award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(l)</w:t>
      </w:r>
    </w:p>
    <w:p>
      <w:pPr>
        <w:pStyle w:val="TextBody"/>
        <w:bidi w:val="0"/>
        <w:spacing w:before="0" w:after="240"/>
        <w:jc w:val="both"/>
        <w:rPr>
          <w:rFonts w:ascii="Times New Roman" w:hAnsi="Times New Roman"/>
          <w:sz w:val="22"/>
        </w:rPr>
      </w:pPr>
      <w:r>
        <w:rPr>
          <w:rFonts w:ascii="Times New Roman" w:hAnsi="Times New Roman"/>
          <w:b/>
          <w:color w:val="000000"/>
          <w:sz w:val="22"/>
        </w:rPr>
        <w:t xml:space="preserve">Effect on Other Employee Benefit Plans. </w:t>
      </w:r>
      <w:r>
        <w:rPr>
          <w:rFonts w:ascii="Times New Roman" w:hAnsi="Times New Roman"/>
          <w:color w:val="000000"/>
          <w:sz w:val="22"/>
        </w:rPr>
        <w:t>The value of any Award granted under the Plan, as determined upon grant, vesting or settlement, 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(m)</w:t>
      </w:r>
    </w:p>
    <w:p>
      <w:pPr>
        <w:pStyle w:val="TextBody"/>
        <w:bidi w:val="0"/>
        <w:spacing w:before="0" w:after="240"/>
        <w:jc w:val="both"/>
        <w:rPr>
          <w:rFonts w:ascii="Times New Roman" w:hAnsi="Times New Roman"/>
          <w:sz w:val="22"/>
        </w:rPr>
      </w:pPr>
      <w:r>
        <w:rPr>
          <w:rFonts w:ascii="Times New Roman" w:hAnsi="Times New Roman"/>
          <w:b/>
          <w:color w:val="000000"/>
          <w:sz w:val="22"/>
        </w:rPr>
        <w:t>Deferrals.</w:t>
      </w:r>
      <w:r>
        <w:rPr>
          <w:rFonts w:ascii="Times New Roman" w:hAnsi="Times New Roman"/>
          <w:color w:val="000000"/>
          <w:sz w:val="22"/>
        </w:rPr>
        <w:t xml:space="preserve"> To the extent permitted by Applicable Law, the Plan Administrator, in its sole discretion, may determine that the delivery of Common Stock or the payment of cash, upon the exercise, vesting or settlement of all or a portion of any Award may be deferred and may also establish programs and procedures for deferral elections to be made by Participants. Deferrals will be made in accordance with the requirements of Section 409A.</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(n)</w:t>
      </w:r>
    </w:p>
    <w:p>
      <w:pPr>
        <w:pStyle w:val="TextBody"/>
        <w:bidi w:val="0"/>
        <w:spacing w:before="0" w:after="240"/>
        <w:jc w:val="both"/>
        <w:rPr>
          <w:rFonts w:ascii="Times New Roman" w:hAnsi="Times New Roman"/>
          <w:sz w:val="22"/>
        </w:rPr>
      </w:pPr>
      <w:r>
        <w:rPr>
          <w:rFonts w:ascii="Times New Roman" w:hAnsi="Times New Roman"/>
          <w:b/>
          <w:color w:val="000000"/>
          <w:sz w:val="22"/>
        </w:rPr>
        <w:t xml:space="preserve">Section 409A. </w:t>
      </w:r>
      <w:r>
        <w:rPr>
          <w:rFonts w:ascii="Times New Roman" w:hAnsi="Times New Roman"/>
          <w:color w:val="000000"/>
          <w:sz w:val="22"/>
        </w:rPr>
        <w:t xml:space="preserve">Unless otherwise expressly provided for in an Award Agreement, the Plan and Award Agreements will be interpreted to the greatest extent possible in a manner that makes the Plan and the Awards granted hereunder exempt from Section 409A, and, to the extent not so exempt, in compliance with the requirements of Section 409A. If the Plan Administrator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w:t>
      </w:r>
    </w:p>
    <w:p>
      <w:pPr>
        <w:pStyle w:val="TextBody"/>
        <w:bidi w:val="0"/>
        <w:jc w:val="center"/>
        <w:rPr>
          <w:rFonts w:ascii="Times New Roman" w:hAnsi="Times New Roman"/>
          <w:color w:val="000000"/>
          <w:sz w:val="22"/>
        </w:rPr>
      </w:pPr>
      <w:r>
        <w:rPr>
          <w:rFonts w:ascii="Times New Roman" w:hAnsi="Times New Roman"/>
          <w:color w:val="000000"/>
          <w:sz w:val="22"/>
        </w:rPr>
        <w:t>13</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(o)</w:t>
      </w:r>
    </w:p>
    <w:p>
      <w:pPr>
        <w:pStyle w:val="TextBody"/>
        <w:bidi w:val="0"/>
        <w:spacing w:before="0" w:after="240"/>
        <w:jc w:val="both"/>
        <w:rPr>
          <w:rFonts w:ascii="Times New Roman" w:hAnsi="Times New Roman"/>
          <w:sz w:val="22"/>
        </w:rPr>
      </w:pPr>
      <w:r>
        <w:rPr>
          <w:rFonts w:ascii="Times New Roman" w:hAnsi="Times New Roman"/>
          <w:b/>
          <w:color w:val="000000"/>
          <w:sz w:val="22"/>
        </w:rPr>
        <w:t>Choice of Law.</w:t>
      </w:r>
      <w:r>
        <w:rPr>
          <w:rFonts w:ascii="Times New Roman" w:hAnsi="Times New Roman"/>
          <w:color w:val="000000"/>
          <w:sz w:val="22"/>
        </w:rPr>
        <w:t xml:space="preserve"> This Plan and any controversy arising out of or relating to this Plan shall be governed by, and construed in accordance with, the internal laws of the State of Delaware, without regard to conflict of law principles that would result in any application of any law other than the law of the State of Delaware.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10.</w:t>
      </w:r>
    </w:p>
    <w:p>
      <w:pPr>
        <w:pStyle w:val="TextBody"/>
        <w:bidi w:val="0"/>
        <w:spacing w:before="0" w:after="240"/>
        <w:jc w:val="both"/>
        <w:rPr>
          <w:rFonts w:ascii="Times New Roman" w:hAnsi="Times New Roman"/>
          <w:sz w:val="22"/>
        </w:rPr>
      </w:pPr>
      <w:r>
        <w:rPr>
          <w:rFonts w:ascii="Times New Roman" w:hAnsi="Times New Roman"/>
          <w:b/>
          <w:smallCaps/>
          <w:color w:val="000000"/>
          <w:sz w:val="22"/>
        </w:rPr>
        <w:t>Covenants of the Company</w:t>
      </w:r>
      <w:r>
        <w:rPr>
          <w:rFonts w:ascii="Times New Roman" w:hAnsi="Times New Roman"/>
          <w:b/>
          <w:color w:val="000000"/>
          <w:sz w:val="22"/>
        </w:rPr>
        <w:t>.</w:t>
      </w:r>
    </w:p>
    <w:p>
      <w:pPr>
        <w:pStyle w:val="TextBody"/>
        <w:bidi w:val="0"/>
        <w:spacing w:before="0" w:after="240"/>
        <w:jc w:val="both"/>
        <w:rPr>
          <w:rFonts w:ascii="Times New Roman" w:hAnsi="Times New Roman"/>
          <w:sz w:val="22"/>
        </w:rPr>
      </w:pPr>
      <w:r>
        <w:rPr>
          <w:rFonts w:ascii="Times New Roman" w:hAnsi="Times New Roman"/>
          <w:b/>
          <w:color w:val="000000"/>
          <w:sz w:val="22"/>
        </w:rPr>
        <w:t>Compliance with Law.</w:t>
      </w:r>
      <w:r>
        <w:rPr>
          <w:rFonts w:ascii="Times New Roman" w:hAnsi="Times New Roman"/>
          <w:color w:val="000000"/>
          <w:sz w:val="22"/>
        </w:rPr>
        <w:t xml:space="preserve"> The Company will seek to obtain from each regulatory commission or agency, as may be 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11.</w:t>
      </w:r>
    </w:p>
    <w:p>
      <w:pPr>
        <w:pStyle w:val="TextBody"/>
        <w:bidi w:val="0"/>
        <w:spacing w:before="0" w:after="240"/>
        <w:jc w:val="both"/>
        <w:rPr>
          <w:rFonts w:ascii="Times New Roman" w:hAnsi="Times New Roman"/>
          <w:sz w:val="22"/>
        </w:rPr>
      </w:pPr>
      <w:r>
        <w:rPr>
          <w:rFonts w:ascii="Times New Roman" w:hAnsi="Times New Roman"/>
          <w:b/>
          <w:smallCaps/>
          <w:color w:val="000000"/>
          <w:sz w:val="22"/>
        </w:rPr>
        <w:t>Additional Rules for Awards Subject to Section 409A</w:t>
      </w:r>
      <w:r>
        <w:rPr>
          <w:rFonts w:ascii="Times New Roman" w:hAnsi="Times New Roman"/>
          <w:b/>
          <w:color w:val="000000"/>
          <w:sz w:val="22"/>
        </w:rPr>
        <w: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40"/>
        <w:jc w:val="both"/>
        <w:rPr>
          <w:rFonts w:ascii="Times New Roman" w:hAnsi="Times New Roman"/>
          <w:sz w:val="22"/>
        </w:rPr>
      </w:pPr>
      <w:r>
        <w:rPr>
          <w:rFonts w:ascii="Times New Roman" w:hAnsi="Times New Roman"/>
          <w:b/>
          <w:color w:val="000000"/>
          <w:sz w:val="22"/>
        </w:rPr>
        <w:t xml:space="preserve">Application. </w:t>
      </w:r>
      <w:r>
        <w:rPr>
          <w:rFonts w:ascii="Times New Roman" w:hAnsi="Times New Roman"/>
          <w:color w:val="000000"/>
          <w:sz w:val="22"/>
        </w:rPr>
        <w:t>Unless the provisions of this Section of the Plan are expressly superseded by the provisions in the form of Award Agreement, the provisions of this Section shall apply and shall supersede anything to the contrary set forth in the Award Agreement for a Non-Exempt Award.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240"/>
        <w:jc w:val="both"/>
        <w:rPr>
          <w:rFonts w:ascii="Times New Roman" w:hAnsi="Times New Roman"/>
          <w:sz w:val="22"/>
        </w:rPr>
      </w:pPr>
      <w:r>
        <w:rPr>
          <w:rFonts w:ascii="Times New Roman" w:hAnsi="Times New Roman"/>
          <w:b/>
          <w:color w:val="000000"/>
          <w:sz w:val="22"/>
        </w:rPr>
        <w:t>Non-Exempt Awards Subject to Non-Exempt Severance Arrangements.</w:t>
      </w:r>
      <w:r>
        <w:rPr>
          <w:rFonts w:ascii="Times New Roman" w:hAnsi="Times New Roman"/>
          <w:color w:val="000000"/>
          <w:sz w:val="22"/>
        </w:rPr>
        <w:t xml:space="preserve"> To the extent a Non-Exempt Award is subject to Section 409A due to application of a Non-Exempt Severance Arrangement, the following provisions of this subsection (b) apply.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w:t>
      </w:r>
    </w:p>
    <w:p>
      <w:pPr>
        <w:pStyle w:val="TextBody"/>
        <w:bidi w:val="0"/>
        <w:spacing w:lineRule="auto" w:line="360" w:before="0" w:after="240"/>
        <w:jc w:val="both"/>
        <w:rPr>
          <w:rFonts w:ascii="Times New Roman" w:hAnsi="Times New Roman"/>
          <w:sz w:val="15"/>
        </w:rPr>
      </w:pPr>
      <w:r>
        <w:rPr>
          <w:rFonts w:ascii="Times New Roman" w:hAnsi="Times New Roman"/>
          <w:color w:val="000000"/>
          <w:sz w:val="22"/>
        </w:rPr>
        <w:t>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w:t>
      </w:r>
      <w:r>
        <w:rPr>
          <w:rFonts w:ascii="Times New Roman" w:hAnsi="Times New Roman"/>
          <w:color w:val="000000"/>
          <w:sz w:val="15"/>
        </w:rPr>
        <w:t xml:space="preserve">st </w:t>
      </w:r>
      <w:r>
        <w:rPr>
          <w:rFonts w:ascii="Times New Roman" w:hAnsi="Times New Roman"/>
          <w:color w:val="000000"/>
          <w:sz w:val="22"/>
        </w:rPr>
        <w:t>of the calendar year that includes the applicable vesting date, or (ii) the 60</w:t>
      </w:r>
      <w:r>
        <w:rPr>
          <w:rFonts w:ascii="Times New Roman" w:hAnsi="Times New Roman"/>
          <w:color w:val="000000"/>
          <w:sz w:val="15"/>
        </w:rPr>
        <w:t xml:space="preserve">th </w:t>
      </w:r>
      <w:r>
        <w:rPr>
          <w:rFonts w:ascii="Times New Roman" w:hAnsi="Times New Roman"/>
          <w:color w:val="000000"/>
          <w:sz w:val="22"/>
        </w:rPr>
        <w:t>day that follows the applicable vesting date.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(ii)</w:t>
      </w:r>
    </w:p>
    <w:p>
      <w:pPr>
        <w:pStyle w:val="TextBody"/>
        <w:bidi w:val="0"/>
        <w:spacing w:lineRule="auto" w:line="360" w:before="0" w:after="240"/>
        <w:jc w:val="both"/>
        <w:rPr>
          <w:rFonts w:ascii="Times New Roman" w:hAnsi="Times New Roman"/>
          <w:sz w:val="15"/>
        </w:rPr>
      </w:pPr>
      <w:r>
        <w:rPr>
          <w:rFonts w:ascii="Times New Roman" w:hAnsi="Times New Roman"/>
          <w:color w:val="000000"/>
          <w:sz w:val="22"/>
        </w:rPr>
        <w:t>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 the 60</w:t>
      </w:r>
      <w:r>
        <w:rPr>
          <w:rFonts w:ascii="Times New Roman" w:hAnsi="Times New Roman"/>
          <w:color w:val="000000"/>
          <w:sz w:val="15"/>
        </w:rPr>
        <w:t xml:space="preserve">th </w:t>
      </w:r>
      <w:r>
        <w:rPr>
          <w:rFonts w:ascii="Times New Roman" w:hAnsi="Times New Roman"/>
          <w:color w:val="000000"/>
          <w:sz w:val="22"/>
        </w:rPr>
        <w:t xml:space="preserve">day that follows the date of the Participant’s Separation from Service. However, if at the time the shares would </w:t>
      </w:r>
    </w:p>
    <w:p>
      <w:pPr>
        <w:pStyle w:val="TextBody"/>
        <w:bidi w:val="0"/>
        <w:jc w:val="center"/>
        <w:rPr>
          <w:rFonts w:ascii="Times New Roman" w:hAnsi="Times New Roman"/>
          <w:color w:val="000000"/>
          <w:sz w:val="22"/>
        </w:rPr>
      </w:pPr>
      <w:r>
        <w:rPr>
          <w:rFonts w:ascii="Times New Roman" w:hAnsi="Times New Roman"/>
          <w:color w:val="000000"/>
          <w:sz w:val="22"/>
        </w:rPr>
        <w:t>14</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otherwise be issued the Participant is subject to the distribution limitations contained in Section 409A applicable to “specified employees,” as defined in Section 409A(a)(2)(B)(i) of the Code, such shares shall not be issued before the date that is six months following the date of such Participant’s Separation from Service, or, if earlier, the date of the Participant’s death that occurs within such six-month period.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Treasury Regulations Section 1.409A-3(a)(4).</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(c)</w:t>
      </w:r>
    </w:p>
    <w:p>
      <w:pPr>
        <w:pStyle w:val="TextBody"/>
        <w:bidi w:val="0"/>
        <w:spacing w:before="0" w:after="240"/>
        <w:jc w:val="both"/>
        <w:rPr>
          <w:rFonts w:ascii="Times New Roman" w:hAnsi="Times New Roman"/>
          <w:sz w:val="22"/>
        </w:rPr>
      </w:pPr>
      <w:r>
        <w:rPr>
          <w:rFonts w:ascii="Times New Roman" w:hAnsi="Times New Roman"/>
          <w:b/>
          <w:color w:val="000000"/>
          <w:sz w:val="22"/>
        </w:rPr>
        <w:t>Treatment of Non-Exempt Awards Upon a Corporate Transaction.</w:t>
      </w:r>
      <w:r>
        <w:rPr>
          <w:rFonts w:ascii="Times New Roman" w:hAnsi="Times New Roman"/>
          <w:color w:val="0070C0"/>
          <w:sz w:val="22"/>
        </w:rPr>
        <w:t xml:space="preserve"> </w:t>
      </w:r>
      <w:r>
        <w:rPr>
          <w:rFonts w:ascii="Times New Roman" w:hAnsi="Times New Roman"/>
          <w:color w:val="000000"/>
          <w:sz w:val="22"/>
        </w:rPr>
        <w:t>The provisions of this subsection (c) shall apply and shall supersede anything to the contrary set forth in the Plan with respect to the permitted treatment of any Non-Exempt Award in connection with a Corporate Transaction upon the applicable date of grant of the Non-Exempt Award.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w:t>
      </w:r>
    </w:p>
    <w:p>
      <w:pPr>
        <w:pStyle w:val="TextBody"/>
        <w:bidi w:val="0"/>
        <w:spacing w:before="0" w:after="240"/>
        <w:jc w:val="both"/>
        <w:rPr>
          <w:rFonts w:ascii="Times New Roman" w:hAnsi="Times New Roman"/>
          <w:sz w:val="22"/>
        </w:rPr>
      </w:pPr>
      <w:r>
        <w:rPr>
          <w:rFonts w:ascii="Times New Roman" w:hAnsi="Times New Roman"/>
          <w:b/>
          <w:color w:val="000000"/>
          <w:sz w:val="22"/>
        </w:rPr>
        <w:t>Vested Non-Exempt Awards.</w:t>
      </w:r>
      <w:r>
        <w:rPr>
          <w:rFonts w:ascii="Times New Roman" w:hAnsi="Times New Roman"/>
          <w:color w:val="000000"/>
          <w:sz w:val="22"/>
        </w:rPr>
        <w:t xml:space="preserve"> The following provisions shall apply to any Vested Non-Exempt Award in connection with a Corporate Transaction: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the Corporate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the Corporate Transaction is not also a Section 409A Change in Control, then the Acquiring Entity must either 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(ii)</w:t>
      </w:r>
    </w:p>
    <w:p>
      <w:pPr>
        <w:pStyle w:val="TextBody"/>
        <w:bidi w:val="0"/>
        <w:spacing w:before="0" w:after="240"/>
        <w:jc w:val="both"/>
        <w:rPr>
          <w:rFonts w:ascii="Times New Roman" w:hAnsi="Times New Roman"/>
          <w:sz w:val="22"/>
        </w:rPr>
      </w:pPr>
      <w:r>
        <w:rPr>
          <w:rFonts w:ascii="Times New Roman" w:hAnsi="Times New Roman"/>
          <w:b/>
          <w:color w:val="000000"/>
          <w:sz w:val="22"/>
        </w:rPr>
        <w:t>Unvested Non-Exempt Awards.</w:t>
      </w:r>
      <w:r>
        <w:rPr>
          <w:rFonts w:ascii="Times New Roman" w:hAnsi="Times New Roman"/>
          <w:color w:val="000000"/>
          <w:sz w:val="22"/>
        </w:rPr>
        <w:t xml:space="preserve"> The following provisions shall apply to any Unvested Non-Exempt Award unless otherwise determined by the Plan Administrator pursuant to subsection (d) of this Section.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 the event of a Corporate Transaction, the Acquiring Entity shall assume, continue or substitute any Unvested Non-Exempt Award. Unless otherwise determined by the Plan Administrator,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w:t>
      </w:r>
    </w:p>
    <w:p>
      <w:pPr>
        <w:pStyle w:val="TextBody"/>
        <w:bidi w:val="0"/>
        <w:jc w:val="center"/>
        <w:rPr>
          <w:rFonts w:ascii="Times New Roman" w:hAnsi="Times New Roman"/>
          <w:color w:val="000000"/>
          <w:sz w:val="22"/>
        </w:rPr>
      </w:pPr>
      <w:r>
        <w:rPr>
          <w:rFonts w:ascii="Times New Roman" w:hAnsi="Times New Roman"/>
          <w:color w:val="000000"/>
          <w:sz w:val="22"/>
        </w:rPr>
        <w:t>15</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Plan Administrator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Plan Administrator, any Unvested Non-Exempt Award shall be forfeited without payment of any consideration to the affected Participants if the Acquiring Entity will not assume, substitute or continue the Unvested Non-Exempt Awards in connection with the Corporate Transaction.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foregoing treatment shall apply with respect to all Unvested Non-Exempt Awards upon any Corporate Transaction, and regardless of whether or not such Corporate Transaction is also a Section 409A Change in Control.</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the RSU Award is a Non-Exempt Award, then the provisions in this Section 11(d) shall apply and supersede anything to the contrary that may be set forth in the Plan or the Award Agreement with respect to the permitted treatment of such Non-Exempt Award: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exercise by the Board of discretion to accelerate the vesting of a Non-Exempt Award shall not result in any acceleration of the scheduled issuance dates for the shares in respect of the Non-Exempt Award unless earlier issuance of the shares upon the applicable vesting dates would be in compliance with the requirements of Section 409A.</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explicitly reserves the right to earlier settle any Non-Exempt Award to the extent permitted and in compliance with the requirements of Section 409A, including pursuant to any of the exemptions available in Treasury Regulations Section 1.409A-3(j)(4)(ix).</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Non-Exempt Award provides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provisions in this subsection (d) for delivery of the shares in respect of the settlement of a RSU Award that is a Non-Exempt Award are intended to comply with the requirements of Section 409A so that the delivery of the shares to the Participant in respect of such Non-Exempt Award </w:t>
      </w:r>
    </w:p>
    <w:p>
      <w:pPr>
        <w:pStyle w:val="TextBody"/>
        <w:bidi w:val="0"/>
        <w:jc w:val="center"/>
        <w:rPr>
          <w:rFonts w:ascii="Times New Roman" w:hAnsi="Times New Roman"/>
          <w:color w:val="000000"/>
          <w:sz w:val="22"/>
        </w:rPr>
      </w:pPr>
      <w:r>
        <w:rPr>
          <w:rFonts w:ascii="Times New Roman" w:hAnsi="Times New Roman"/>
          <w:color w:val="000000"/>
          <w:sz w:val="22"/>
        </w:rPr>
        <w:t>16</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will not trigger the additional tax imposed under Section 409A, and any ambiguities herein will be so interpreted.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12.</w:t>
      </w:r>
    </w:p>
    <w:p>
      <w:pPr>
        <w:pStyle w:val="TextBody"/>
        <w:bidi w:val="0"/>
        <w:spacing w:before="0" w:after="240"/>
        <w:jc w:val="both"/>
        <w:rPr>
          <w:rFonts w:ascii="Times New Roman" w:hAnsi="Times New Roman"/>
          <w:sz w:val="22"/>
        </w:rPr>
      </w:pPr>
      <w:r>
        <w:rPr>
          <w:rFonts w:ascii="Times New Roman" w:hAnsi="Times New Roman"/>
          <w:b/>
          <w:smallCaps/>
          <w:color w:val="000000"/>
          <w:sz w:val="22"/>
        </w:rPr>
        <w:t>Severability</w:t>
      </w:r>
      <w:r>
        <w:rPr>
          <w:rFonts w:ascii="Times New Roman" w:hAnsi="Times New Roman"/>
          <w:b/>
          <w:color w:val="000000"/>
          <w:sz w:val="22"/>
        </w:rPr>
        <w:t>.</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13.</w:t>
      </w:r>
    </w:p>
    <w:p>
      <w:pPr>
        <w:pStyle w:val="TextBody"/>
        <w:bidi w:val="0"/>
        <w:spacing w:before="0" w:after="240"/>
        <w:jc w:val="both"/>
        <w:rPr>
          <w:rFonts w:ascii="Times New Roman" w:hAnsi="Times New Roman"/>
          <w:sz w:val="22"/>
        </w:rPr>
      </w:pPr>
      <w:r>
        <w:rPr>
          <w:rFonts w:ascii="Times New Roman" w:hAnsi="Times New Roman"/>
          <w:b/>
          <w:smallCaps/>
          <w:color w:val="000000"/>
          <w:sz w:val="22"/>
        </w:rPr>
        <w:t>Termination of the Plan</w:t>
      </w:r>
      <w:r>
        <w:rPr>
          <w:rFonts w:ascii="Times New Roman" w:hAnsi="Times New Roman"/>
          <w:b/>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Plan Administrator may suspend or terminate the Plan at any time. No Awards may be granted under the Plan while the Plan is suspended or after it is terminated.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14.</w:t>
      </w:r>
    </w:p>
    <w:p>
      <w:pPr>
        <w:pStyle w:val="TextBody"/>
        <w:bidi w:val="0"/>
        <w:spacing w:before="0" w:after="240"/>
        <w:jc w:val="both"/>
        <w:rPr>
          <w:rFonts w:ascii="Times New Roman" w:hAnsi="Times New Roman"/>
          <w:sz w:val="22"/>
        </w:rPr>
      </w:pPr>
      <w:r>
        <w:rPr>
          <w:rFonts w:ascii="Times New Roman" w:hAnsi="Times New Roman"/>
          <w:b/>
          <w:smallCaps/>
          <w:color w:val="000000"/>
          <w:sz w:val="22"/>
        </w:rPr>
        <w:t>Definitions</w:t>
      </w:r>
      <w:r>
        <w:rPr>
          <w:rFonts w:ascii="Times New Roman" w:hAnsi="Times New Roman"/>
          <w:b/>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As used in the Plan, the following definitions apply to the capitalized terms indicated below:</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40"/>
        <w:jc w:val="both"/>
        <w:rPr/>
      </w:pPr>
      <w:r>
        <w:rPr>
          <w:color w:val="000000"/>
        </w:rPr>
        <w:t>“</w:t>
      </w:r>
      <w:r>
        <w:rPr>
          <w:rFonts w:ascii="Times New Roman" w:hAnsi="Times New Roman"/>
          <w:b/>
          <w:i/>
          <w:color w:val="000000"/>
          <w:sz w:val="22"/>
        </w:rPr>
        <w:t>Acquiring Entity</w:t>
      </w:r>
      <w:r>
        <w:rPr>
          <w:rFonts w:ascii="Times New Roman" w:hAnsi="Times New Roman"/>
          <w:color w:val="000000"/>
          <w:sz w:val="22"/>
        </w:rPr>
        <w:t>” means the surviving or acquiring corporation (or its parent company) in connection with a Corporate Transaction.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240"/>
        <w:jc w:val="both"/>
        <w:rPr/>
      </w:pPr>
      <w:r>
        <w:rPr>
          <w:color w:val="000000"/>
        </w:rPr>
        <w:t>“</w:t>
      </w:r>
      <w:r>
        <w:rPr>
          <w:rFonts w:ascii="Times New Roman" w:hAnsi="Times New Roman"/>
          <w:b/>
          <w:i/>
          <w:color w:val="000000"/>
          <w:sz w:val="22"/>
        </w:rPr>
        <w:t>Adoption Date</w:t>
      </w:r>
      <w:r>
        <w:rPr>
          <w:rFonts w:ascii="Times New Roman" w:hAnsi="Times New Roman"/>
          <w:color w:val="000000"/>
          <w:sz w:val="22"/>
        </w:rPr>
        <w:t>” means the date the Plan is first approved by the Board.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(c)</w:t>
      </w:r>
    </w:p>
    <w:p>
      <w:pPr>
        <w:pStyle w:val="TextBody"/>
        <w:bidi w:val="0"/>
        <w:spacing w:before="0" w:after="240"/>
        <w:jc w:val="both"/>
        <w:rPr/>
      </w:pPr>
      <w:r>
        <w:rPr>
          <w:color w:val="000000"/>
        </w:rPr>
        <w:t>“</w:t>
      </w:r>
      <w:r>
        <w:rPr>
          <w:rFonts w:ascii="Times New Roman" w:hAnsi="Times New Roman"/>
          <w:b/>
          <w:i/>
          <w:color w:val="000000"/>
          <w:sz w:val="22"/>
        </w:rPr>
        <w:t>Affiliate</w:t>
      </w:r>
      <w:r>
        <w:rPr>
          <w:rFonts w:ascii="Times New Roman" w:hAnsi="Times New Roman"/>
          <w:color w:val="000000"/>
          <w:sz w:val="22"/>
        </w:rPr>
        <w:t>” means, at the time of determination, any “parent” or “subsidiary” of the Company as such terms are defined in Rule 405 promulgated under the Securities Act. The Plan Administrator may determine the time or times at which “parent” or “subsidiary” status is determined within the foregoing definition.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(d)</w:t>
      </w:r>
    </w:p>
    <w:p>
      <w:pPr>
        <w:pStyle w:val="TextBody"/>
        <w:bidi w:val="0"/>
        <w:spacing w:before="0" w:after="240"/>
        <w:jc w:val="both"/>
        <w:rPr/>
      </w:pPr>
      <w:r>
        <w:rPr>
          <w:color w:val="000000"/>
        </w:rPr>
        <w:t>“</w:t>
      </w:r>
      <w:r>
        <w:rPr>
          <w:rFonts w:ascii="Times New Roman" w:hAnsi="Times New Roman"/>
          <w:b/>
          <w:i/>
          <w:color w:val="000000"/>
          <w:sz w:val="22"/>
        </w:rPr>
        <w:t>Applicable Law</w:t>
      </w:r>
      <w:r>
        <w:rPr>
          <w:rFonts w:ascii="Times New Roman" w:hAnsi="Times New Roman"/>
          <w:color w:val="000000"/>
          <w:sz w:val="22"/>
        </w:rPr>
        <w:t>” means shall mean the Code, any applicable U.S. or non U.S. securities, federal, state,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(e)</w:t>
      </w:r>
    </w:p>
    <w:p>
      <w:pPr>
        <w:pStyle w:val="TextBody"/>
        <w:bidi w:val="0"/>
        <w:spacing w:before="0" w:after="240"/>
        <w:jc w:val="both"/>
        <w:rPr/>
      </w:pPr>
      <w:r>
        <w:rPr>
          <w:color w:val="000000"/>
        </w:rPr>
        <w:t>“</w:t>
      </w:r>
      <w:r>
        <w:rPr>
          <w:rFonts w:ascii="Times New Roman" w:hAnsi="Times New Roman"/>
          <w:b/>
          <w:i/>
          <w:color w:val="000000"/>
          <w:sz w:val="22"/>
        </w:rPr>
        <w:t>Award</w:t>
      </w:r>
      <w:r>
        <w:rPr>
          <w:rFonts w:ascii="Times New Roman" w:hAnsi="Times New Roman"/>
          <w:color w:val="000000"/>
          <w:sz w:val="22"/>
        </w:rPr>
        <w:t>” means any right to receive Common Stock, cash or other property granted under the Plan (including an Option, a Restricted Stock Award, a RSU Award, a SAR, a Performance Award or any Other Award).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(f)</w:t>
      </w:r>
    </w:p>
    <w:p>
      <w:pPr>
        <w:pStyle w:val="TextBody"/>
        <w:bidi w:val="0"/>
        <w:spacing w:before="0" w:after="240"/>
        <w:jc w:val="both"/>
        <w:rPr/>
      </w:pPr>
      <w:r>
        <w:rPr>
          <w:color w:val="000000"/>
        </w:rPr>
        <w:t>“</w:t>
      </w:r>
      <w:r>
        <w:rPr>
          <w:rFonts w:ascii="Times New Roman" w:hAnsi="Times New Roman"/>
          <w:b/>
          <w:i/>
          <w:color w:val="000000"/>
          <w:sz w:val="22"/>
        </w:rPr>
        <w:t>Award Agreement</w:t>
      </w:r>
      <w:r>
        <w:rPr>
          <w:rFonts w:ascii="Times New Roman" w:hAnsi="Times New Roman"/>
          <w:color w:val="000000"/>
          <w:sz w:val="22"/>
        </w:rPr>
        <w:t>” means a written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to a Participant along with the Grant Notice.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(g)</w:t>
      </w:r>
    </w:p>
    <w:p>
      <w:pPr>
        <w:pStyle w:val="TextBody"/>
        <w:bidi w:val="0"/>
        <w:spacing w:before="0" w:after="240"/>
        <w:jc w:val="both"/>
        <w:rPr/>
      </w:pPr>
      <w:r>
        <w:rPr>
          <w:color w:val="000000"/>
        </w:rPr>
        <w:t>“</w:t>
      </w:r>
      <w:r>
        <w:rPr>
          <w:rFonts w:ascii="Times New Roman" w:hAnsi="Times New Roman"/>
          <w:b/>
          <w:i/>
          <w:color w:val="000000"/>
          <w:sz w:val="22"/>
        </w:rPr>
        <w:t>Board</w:t>
      </w:r>
      <w:r>
        <w:rPr>
          <w:rFonts w:ascii="Times New Roman" w:hAnsi="Times New Roman"/>
          <w:color w:val="000000"/>
          <w:sz w:val="22"/>
        </w:rPr>
        <w:t xml:space="preserve">” means the board of directors of the Company (or its designee). </w:t>
      </w:r>
    </w:p>
    <w:p>
      <w:pPr>
        <w:pStyle w:val="TextBody"/>
        <w:bidi w:val="0"/>
        <w:jc w:val="center"/>
        <w:rPr>
          <w:rFonts w:ascii="Times New Roman" w:hAnsi="Times New Roman"/>
          <w:color w:val="000000"/>
          <w:sz w:val="22"/>
        </w:rPr>
      </w:pPr>
      <w:r>
        <w:rPr>
          <w:rFonts w:ascii="Times New Roman" w:hAnsi="Times New Roman"/>
          <w:color w:val="000000"/>
          <w:sz w:val="22"/>
        </w:rPr>
        <w:t>17</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(h)</w:t>
      </w:r>
    </w:p>
    <w:p>
      <w:pPr>
        <w:pStyle w:val="TextBody"/>
        <w:bidi w:val="0"/>
        <w:spacing w:before="0" w:after="240"/>
        <w:jc w:val="both"/>
        <w:rPr/>
      </w:pPr>
      <w:r>
        <w:rPr>
          <w:color w:val="000000"/>
        </w:rPr>
        <w:t>“</w:t>
      </w:r>
      <w:r>
        <w:rPr>
          <w:rFonts w:ascii="Times New Roman" w:hAnsi="Times New Roman"/>
          <w:b/>
          <w:i/>
          <w:color w:val="000000"/>
          <w:sz w:val="22"/>
        </w:rPr>
        <w:t>Capital Stock</w:t>
      </w:r>
      <w:r>
        <w:rPr>
          <w:rFonts w:ascii="Times New Roman" w:hAnsi="Times New Roman"/>
          <w:color w:val="000000"/>
          <w:sz w:val="22"/>
        </w:rPr>
        <w:t>” means each and every class of stock of the Company, regardless of the number of votes per share.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w:t>
      </w:r>
    </w:p>
    <w:p>
      <w:pPr>
        <w:pStyle w:val="TextBody"/>
        <w:bidi w:val="0"/>
        <w:spacing w:before="0" w:after="240"/>
        <w:jc w:val="both"/>
        <w:rPr/>
      </w:pPr>
      <w:r>
        <w:rPr>
          <w:color w:val="000000"/>
        </w:rPr>
        <w:t>“</w:t>
      </w:r>
      <w:r>
        <w:rPr>
          <w:rFonts w:ascii="Times New Roman" w:hAnsi="Times New Roman"/>
          <w:b/>
          <w:i/>
          <w:color w:val="000000"/>
          <w:sz w:val="22"/>
        </w:rPr>
        <w:t>Capitalization Adjustment</w:t>
      </w:r>
      <w:r>
        <w:rPr>
          <w:rFonts w:ascii="Times New Roman" w:hAnsi="Times New Roman"/>
          <w:color w:val="000000"/>
          <w:sz w:val="22"/>
        </w:rPr>
        <w:t>” means any change that is made in, or other events that occur with respect to, the Common Stock subject to the Plan or subject to any Award after the Adoption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(j)</w:t>
      </w:r>
    </w:p>
    <w:p>
      <w:pPr>
        <w:pStyle w:val="TextBody"/>
        <w:bidi w:val="0"/>
        <w:spacing w:before="0" w:after="240"/>
        <w:jc w:val="both"/>
        <w:rPr/>
      </w:pPr>
      <w:r>
        <w:rPr>
          <w:color w:val="000000"/>
        </w:rPr>
        <w:t>“</w:t>
      </w:r>
      <w:r>
        <w:rPr>
          <w:rFonts w:ascii="Times New Roman" w:hAnsi="Times New Roman"/>
          <w:b/>
          <w:i/>
          <w:color w:val="000000"/>
          <w:sz w:val="22"/>
        </w:rPr>
        <w:t>Cause</w:t>
      </w:r>
      <w:r>
        <w:rPr>
          <w:rFonts w:ascii="Times New Roman" w:hAnsi="Times New Roman"/>
          <w:color w:val="000000"/>
          <w:sz w:val="22"/>
        </w:rPr>
        <w:t>” has the meaning ascribed to such term in any written agreement between the Participant and the Company, or any Company severance plan covering such Participant, in either case defining such term, and, in the absence of such agreement, such term means, with respect to a Participant, (a) unauthorized use or disclosure of the Company’s confidential information or trade secrets in violation of any covenants agreement or confidentiality agreement between Participant and the Company; (b) conviction of, or plea of “guilty” or “no contest” to, a felony under the laws of the United States or any state thereof; (c) Participant’s gross negligence or willful misconduct relating to Participant’s role and/or responsibilities to the Company; or (d) a continued material breach by Participant of any agreement between Participant and the Company, a continued material failure by Participant to comply with the Company's written policies or rules, or a continued failure by Participant to perform assigned duties after receiving sixty (60) days written notification of such failure or breach from the Company and a reasonable opportunity to cure. The determination that a termination of the Participant’s Continuous Service is either for Cause or without Cause will be made by the Plan Administrator with respect to Participants who are executive officers of the Company and by the Company’s Chief Executive Officer or his delegate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an Affiliate, as the case may be, or such Participant for any other purpose.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(k)</w:t>
      </w:r>
    </w:p>
    <w:p>
      <w:pPr>
        <w:pStyle w:val="TextBody"/>
        <w:bidi w:val="0"/>
        <w:spacing w:before="0" w:after="240"/>
        <w:jc w:val="both"/>
        <w:rPr/>
      </w:pPr>
      <w:r>
        <w:rPr>
          <w:color w:val="000000"/>
        </w:rPr>
        <w:t>“</w:t>
      </w:r>
      <w:r>
        <w:rPr>
          <w:rFonts w:ascii="Times New Roman" w:hAnsi="Times New Roman"/>
          <w:b/>
          <w:i/>
          <w:color w:val="000000"/>
          <w:sz w:val="22"/>
        </w:rPr>
        <w:t>Change in Control</w:t>
      </w:r>
      <w:r>
        <w:rPr>
          <w:rFonts w:ascii="Times New Roman" w:hAnsi="Times New Roman"/>
          <w:color w:val="000000"/>
          <w:sz w:val="22"/>
        </w:rPr>
        <w:t>” means the occurrence, in a single transaction or in a series of related transactions, of any one or more of the following events; provided, however, to the extent necessary to avoid adverse personal income tax consequences to the Participant in connection with an Award, also constitutes a Section 409A Change in Control:</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w:t>
      </w:r>
    </w:p>
    <w:p>
      <w:pPr>
        <w:pStyle w:val="TextBody"/>
        <w:bidi w:val="0"/>
        <w:spacing w:before="0" w:after="240"/>
        <w:jc w:val="both"/>
        <w:rPr>
          <w:rFonts w:ascii="Times New Roman" w:hAnsi="Times New Roman"/>
          <w:sz w:val="22"/>
        </w:rPr>
      </w:pPr>
      <w:r>
        <w:rPr>
          <w:rFonts w:ascii="Times New Roman" w:hAnsi="Times New Roman"/>
          <w:color w:val="000000"/>
          <w:sz w:val="22"/>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hAnsi="Times New Roman"/>
          <w:b/>
          <w:i/>
          <w:color w:val="000000"/>
          <w:sz w:val="22"/>
        </w:rPr>
        <w:t>Subject Person</w:t>
      </w:r>
      <w:r>
        <w:rPr>
          <w:rFonts w:ascii="Times New Roman" w:hAnsi="Times New Roman"/>
          <w:color w:val="000000"/>
          <w:sz w:val="22"/>
        </w:rPr>
        <w:t xml:space="preserve">”)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w:t>
      </w:r>
    </w:p>
    <w:p>
      <w:pPr>
        <w:pStyle w:val="TextBody"/>
        <w:bidi w:val="0"/>
        <w:jc w:val="center"/>
        <w:rPr>
          <w:rFonts w:ascii="Times New Roman" w:hAnsi="Times New Roman"/>
          <w:color w:val="000000"/>
          <w:sz w:val="22"/>
        </w:rPr>
      </w:pPr>
      <w:r>
        <w:rPr>
          <w:rFonts w:ascii="Times New Roman" w:hAnsi="Times New Roman"/>
          <w:color w:val="000000"/>
          <w:sz w:val="22"/>
        </w:rPr>
        <w:t>18</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increases the percentage of the then outstanding voting securities Owned by the Subject Person over the designated percentage threshold, then a Change in Control shall be deemed to occur;</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stockholders of the Company approve or the Board approves a plan of complete dissolution or liquidation of the Company, or a complete dissolution or liquidation of the Company shall otherwise occur, except for a liquidation into a parent corporation;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(v)</w:t>
      </w:r>
    </w:p>
    <w:p>
      <w:pPr>
        <w:pStyle w:val="TextBody"/>
        <w:bidi w:val="0"/>
        <w:spacing w:before="0" w:after="240"/>
        <w:jc w:val="both"/>
        <w:rPr>
          <w:rFonts w:ascii="Times New Roman" w:hAnsi="Times New Roman"/>
          <w:sz w:val="22"/>
        </w:rPr>
      </w:pPr>
      <w:r>
        <w:rPr>
          <w:rFonts w:ascii="Times New Roman" w:hAnsi="Times New Roman"/>
          <w:color w:val="000000"/>
          <w:sz w:val="22"/>
        </w:rPr>
        <w:t>individuals who, on the Adoption Date, are members of the Board (the “</w:t>
      </w:r>
      <w:r>
        <w:rPr>
          <w:rFonts w:ascii="Times New Roman" w:hAnsi="Times New Roman"/>
          <w:b/>
          <w:i/>
          <w:color w:val="000000"/>
          <w:sz w:val="22"/>
        </w:rPr>
        <w:t>Incumbent Board</w:t>
      </w:r>
      <w:r>
        <w:rPr>
          <w:rFonts w:ascii="Times New Roman" w:hAnsi="Times New Roman"/>
          <w:color w:val="000000"/>
          <w:sz w:val="22"/>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the foregoing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(l)</w:t>
      </w:r>
    </w:p>
    <w:p>
      <w:pPr>
        <w:pStyle w:val="TextBody"/>
        <w:bidi w:val="0"/>
        <w:spacing w:before="0" w:after="240"/>
        <w:jc w:val="both"/>
        <w:rPr/>
      </w:pPr>
      <w:r>
        <w:rPr>
          <w:color w:val="000000"/>
        </w:rPr>
        <w:t>“</w:t>
      </w:r>
      <w:r>
        <w:rPr>
          <w:rFonts w:ascii="Times New Roman" w:hAnsi="Times New Roman"/>
          <w:b/>
          <w:i/>
          <w:color w:val="000000"/>
          <w:sz w:val="22"/>
        </w:rPr>
        <w:t>Code</w:t>
      </w:r>
      <w:r>
        <w:rPr>
          <w:rFonts w:ascii="Times New Roman" w:hAnsi="Times New Roman"/>
          <w:color w:val="000000"/>
          <w:sz w:val="22"/>
        </w:rPr>
        <w:t>” means the U.S. Internal Revenue Code of 1986, as amended, including any applicable regulations and guidance thereunder.</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(m)</w:t>
      </w:r>
    </w:p>
    <w:p>
      <w:pPr>
        <w:pStyle w:val="TextBody"/>
        <w:bidi w:val="0"/>
        <w:spacing w:before="0" w:after="240"/>
        <w:jc w:val="both"/>
        <w:rPr/>
      </w:pPr>
      <w:r>
        <w:rPr>
          <w:color w:val="000000"/>
        </w:rPr>
        <w:t>“</w:t>
      </w:r>
      <w:r>
        <w:rPr>
          <w:rFonts w:ascii="Times New Roman" w:hAnsi="Times New Roman"/>
          <w:b/>
          <w:i/>
          <w:color w:val="000000"/>
          <w:sz w:val="22"/>
        </w:rPr>
        <w:t>Committee</w:t>
      </w:r>
      <w:r>
        <w:rPr>
          <w:rFonts w:ascii="Times New Roman" w:hAnsi="Times New Roman"/>
          <w:color w:val="000000"/>
          <w:sz w:val="22"/>
        </w:rPr>
        <w:t>” means the Compensation Committee of the Board.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(n)</w:t>
      </w:r>
    </w:p>
    <w:p>
      <w:pPr>
        <w:pStyle w:val="TextBody"/>
        <w:bidi w:val="0"/>
        <w:spacing w:before="0" w:after="240"/>
        <w:jc w:val="both"/>
        <w:rPr/>
      </w:pPr>
      <w:r>
        <w:rPr>
          <w:color w:val="000000"/>
        </w:rPr>
        <w:t>“</w:t>
      </w:r>
      <w:r>
        <w:rPr>
          <w:rFonts w:ascii="Times New Roman" w:hAnsi="Times New Roman"/>
          <w:b/>
          <w:i/>
          <w:color w:val="000000"/>
          <w:sz w:val="22"/>
        </w:rPr>
        <w:t>Common Stock</w:t>
      </w:r>
      <w:r>
        <w:rPr>
          <w:rFonts w:ascii="Times New Roman" w:hAnsi="Times New Roman"/>
          <w:color w:val="000000"/>
          <w:sz w:val="22"/>
        </w:rPr>
        <w:t>” means the common stock of the Company.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(o)</w:t>
      </w:r>
    </w:p>
    <w:p>
      <w:pPr>
        <w:pStyle w:val="TextBody"/>
        <w:bidi w:val="0"/>
        <w:spacing w:before="0" w:after="240"/>
        <w:jc w:val="both"/>
        <w:rPr/>
      </w:pPr>
      <w:r>
        <w:rPr>
          <w:color w:val="000000"/>
        </w:rPr>
        <w:t>“</w:t>
      </w:r>
      <w:r>
        <w:rPr>
          <w:rFonts w:ascii="Times New Roman" w:hAnsi="Times New Roman"/>
          <w:b/>
          <w:i/>
          <w:color w:val="000000"/>
          <w:sz w:val="22"/>
        </w:rPr>
        <w:t>Company</w:t>
      </w:r>
      <w:r>
        <w:rPr>
          <w:rFonts w:ascii="Times New Roman" w:hAnsi="Times New Roman"/>
          <w:color w:val="000000"/>
          <w:sz w:val="22"/>
        </w:rPr>
        <w:t>” means AN2 Therapeutics, Inc., a Delaware corporation, and any successor corporation thereto.</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(p)</w:t>
      </w:r>
    </w:p>
    <w:p>
      <w:pPr>
        <w:pStyle w:val="TextBody"/>
        <w:bidi w:val="0"/>
        <w:spacing w:before="0" w:after="240"/>
        <w:jc w:val="both"/>
        <w:rPr/>
      </w:pPr>
      <w:r>
        <w:rPr>
          <w:color w:val="000000"/>
        </w:rPr>
        <w:t>“</w:t>
      </w:r>
      <w:r>
        <w:rPr>
          <w:rFonts w:ascii="Times New Roman" w:hAnsi="Times New Roman"/>
          <w:b/>
          <w:i/>
          <w:color w:val="000000"/>
          <w:sz w:val="22"/>
        </w:rPr>
        <w:t>Consultant</w:t>
      </w:r>
      <w:r>
        <w:rPr>
          <w:rFonts w:ascii="Times New Roman" w:hAnsi="Times New Roman"/>
          <w:color w:val="000000"/>
          <w:sz w:val="22"/>
        </w:rPr>
        <w:t>” means any person, including an advisor, who is engaged by the Company or an Affiliate to render services to such entity.</w:t>
      </w:r>
    </w:p>
    <w:p>
      <w:pPr>
        <w:pStyle w:val="TextBody"/>
        <w:bidi w:val="0"/>
        <w:jc w:val="center"/>
        <w:rPr>
          <w:rFonts w:ascii="Times New Roman" w:hAnsi="Times New Roman"/>
          <w:color w:val="000000"/>
          <w:sz w:val="22"/>
        </w:rPr>
      </w:pPr>
      <w:r>
        <w:rPr>
          <w:rFonts w:ascii="Times New Roman" w:hAnsi="Times New Roman"/>
          <w:color w:val="000000"/>
          <w:sz w:val="22"/>
        </w:rPr>
        <w:t>19</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w:t>
      </w:r>
    </w:p>
    <w:p>
      <w:pPr>
        <w:pStyle w:val="TextBody"/>
        <w:bidi w:val="0"/>
        <w:spacing w:before="0" w:after="240"/>
        <w:jc w:val="both"/>
        <w:rPr/>
      </w:pPr>
      <w:r>
        <w:rPr>
          <w:color w:val="000000"/>
        </w:rPr>
        <w:t>“</w:t>
      </w:r>
      <w:r>
        <w:rPr>
          <w:rFonts w:ascii="Times New Roman" w:hAnsi="Times New Roman"/>
          <w:b/>
          <w:i/>
          <w:color w:val="000000"/>
          <w:sz w:val="22"/>
        </w:rPr>
        <w:t>Continuous Service</w:t>
      </w:r>
      <w:r>
        <w:rPr>
          <w:rFonts w:ascii="Times New Roman" w:hAnsi="Times New Roman"/>
          <w:color w:val="000000"/>
          <w:sz w:val="22"/>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 that if the Entity for which a Participant is rendering services ceases to qualify as an Affiliate, as determined by the Plan Administrator,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Applicable Law, the Plan Administrator or the chief executive officer of the Company, in that party’s sole discretion, may determine whether Continuous Service will be considered interrupted in the case of (i) any leave of absence approved by the Company,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Applicable Law and, subject to Applicable Law, a leave of absence will be treated as Continuous Service for no longer than six months.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U.S. Treasury Regulation Section 1.409A-1(h) (without regard to any alternative definition thereunder).</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(r)</w:t>
      </w:r>
    </w:p>
    <w:p>
      <w:pPr>
        <w:pStyle w:val="TextBody"/>
        <w:bidi w:val="0"/>
        <w:spacing w:before="0" w:after="240"/>
        <w:jc w:val="both"/>
        <w:rPr/>
      </w:pPr>
      <w:r>
        <w:rPr>
          <w:color w:val="000000"/>
        </w:rPr>
        <w:t>“</w:t>
      </w:r>
      <w:r>
        <w:rPr>
          <w:rFonts w:ascii="Times New Roman" w:hAnsi="Times New Roman"/>
          <w:b/>
          <w:i/>
          <w:color w:val="000000"/>
          <w:sz w:val="22"/>
        </w:rPr>
        <w:t>Corporate Transaction</w:t>
      </w:r>
      <w:r>
        <w:rPr>
          <w:rFonts w:ascii="Times New Roman" w:hAnsi="Times New Roman"/>
          <w:color w:val="000000"/>
          <w:sz w:val="22"/>
        </w:rPr>
        <w:t>” means the consummation, in a single transaction or in a series of related transactions, of any one or more of the following events: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a sale or other disposition of all or substantially all, as determined by the Board, of the consolidated assets of the Company and its Subsidiaries;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a sale or other disposition of at least 50% of the outstanding securities of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a merger, consolidation or similar transaction following which the Company is not the surviving corporation;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 a merger, consolidation or similar transaction following which the Company is the surviving corporation but the shares of Capital Stock outstanding immediately preceding the merger, consolidation or similar transaction are converted or exchanged by virtue of the merger, consolidation or similar transaction into other property, whether in the form of securities, cash or otherwise.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w:t>
      </w:r>
    </w:p>
    <w:p>
      <w:pPr>
        <w:pStyle w:val="TextBody"/>
        <w:bidi w:val="0"/>
        <w:spacing w:before="0" w:after="240"/>
        <w:jc w:val="both"/>
        <w:rPr/>
      </w:pPr>
      <w:r>
        <w:rPr>
          <w:color w:val="000000"/>
        </w:rPr>
        <w:t>“</w:t>
      </w:r>
      <w:r>
        <w:rPr>
          <w:rFonts w:ascii="Times New Roman" w:hAnsi="Times New Roman"/>
          <w:b/>
          <w:i/>
          <w:color w:val="000000"/>
          <w:sz w:val="22"/>
        </w:rPr>
        <w:t>determine</w:t>
      </w:r>
      <w:r>
        <w:rPr>
          <w:rFonts w:ascii="Times New Roman" w:hAnsi="Times New Roman"/>
          <w:color w:val="000000"/>
          <w:sz w:val="22"/>
        </w:rPr>
        <w:t>” or “</w:t>
      </w:r>
      <w:r>
        <w:rPr>
          <w:rFonts w:ascii="Times New Roman" w:hAnsi="Times New Roman"/>
          <w:b/>
          <w:i/>
          <w:color w:val="000000"/>
          <w:sz w:val="22"/>
        </w:rPr>
        <w:t>determined</w:t>
      </w:r>
      <w:r>
        <w:rPr>
          <w:rFonts w:ascii="Times New Roman" w:hAnsi="Times New Roman"/>
          <w:color w:val="000000"/>
          <w:sz w:val="22"/>
        </w:rPr>
        <w:t>” means as determined by the Plan Administrator in its sole discretion.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(t)</w:t>
      </w:r>
    </w:p>
    <w:p>
      <w:pPr>
        <w:pStyle w:val="TextBody"/>
        <w:bidi w:val="0"/>
        <w:spacing w:before="0" w:after="240"/>
        <w:jc w:val="both"/>
        <w:rPr/>
      </w:pPr>
      <w:r>
        <w:rPr>
          <w:color w:val="000000"/>
        </w:rPr>
        <w:t>“</w:t>
      </w:r>
      <w:r>
        <w:rPr>
          <w:rFonts w:ascii="Times New Roman" w:hAnsi="Times New Roman"/>
          <w:b/>
          <w:i/>
          <w:color w:val="000000"/>
          <w:sz w:val="22"/>
        </w:rPr>
        <w:t>Director</w:t>
      </w:r>
      <w:r>
        <w:rPr>
          <w:rFonts w:ascii="Times New Roman" w:hAnsi="Times New Roman"/>
          <w:color w:val="000000"/>
          <w:sz w:val="22"/>
        </w:rPr>
        <w:t>” means a member of the Board.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(u)</w:t>
      </w:r>
    </w:p>
    <w:p>
      <w:pPr>
        <w:pStyle w:val="TextBody"/>
        <w:bidi w:val="0"/>
        <w:spacing w:before="0" w:after="240"/>
        <w:jc w:val="both"/>
        <w:rPr/>
      </w:pPr>
      <w:r>
        <w:rPr>
          <w:color w:val="000000"/>
        </w:rPr>
        <w:t>“</w:t>
      </w:r>
      <w:r>
        <w:rPr>
          <w:rFonts w:ascii="Times New Roman" w:hAnsi="Times New Roman"/>
          <w:b/>
          <w:i/>
          <w:color w:val="000000"/>
          <w:sz w:val="22"/>
        </w:rPr>
        <w:t>Disability</w:t>
      </w:r>
      <w:r>
        <w:rPr>
          <w:rFonts w:ascii="Times New Roman" w:hAnsi="Times New Roman"/>
          <w:color w:val="000000"/>
          <w:sz w:val="22"/>
        </w:rPr>
        <w:t xml:space="preserve">”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w:t>
      </w:r>
    </w:p>
    <w:p>
      <w:pPr>
        <w:pStyle w:val="TextBody"/>
        <w:bidi w:val="0"/>
        <w:jc w:val="center"/>
        <w:rPr>
          <w:rFonts w:ascii="Times New Roman" w:hAnsi="Times New Roman"/>
          <w:color w:val="000000"/>
          <w:sz w:val="22"/>
        </w:rPr>
      </w:pPr>
      <w:r>
        <w:rPr>
          <w:rFonts w:ascii="Times New Roman" w:hAnsi="Times New Roman"/>
          <w:color w:val="000000"/>
          <w:sz w:val="22"/>
        </w:rPr>
        <w:t>20</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Plan Administrator on the basis of such medical evidence as the Plan Administrator deems warranted under the circumstances.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(v)</w:t>
      </w:r>
    </w:p>
    <w:p>
      <w:pPr>
        <w:pStyle w:val="TextBody"/>
        <w:bidi w:val="0"/>
        <w:spacing w:before="0" w:after="240"/>
        <w:jc w:val="both"/>
        <w:rPr/>
      </w:pPr>
      <w:r>
        <w:rPr>
          <w:color w:val="000000"/>
        </w:rPr>
        <w:t>“</w:t>
      </w:r>
      <w:r>
        <w:rPr>
          <w:rFonts w:ascii="Times New Roman" w:hAnsi="Times New Roman"/>
          <w:b/>
          <w:i/>
          <w:color w:val="000000"/>
          <w:sz w:val="22"/>
        </w:rPr>
        <w:t>Eligible Employee</w:t>
      </w:r>
      <w:r>
        <w:rPr>
          <w:rFonts w:ascii="Times New Roman" w:hAnsi="Times New Roman"/>
          <w:color w:val="000000"/>
          <w:sz w:val="22"/>
        </w:rPr>
        <w:t xml:space="preserve">” means an Employee who has not previously been an employee or director of the Company or an Affiliate, or is commencing employment with the Company or an Affiliate following a bona fide period of non-employment by the Company or an Affiliate, if such Employee is granted an Award in connection with such Employee’s commencement of employment with the Company or an Affiliate and such grant is an inducement material to such Employee entering into employment with the Company or an Affiliate. The Plan Administrator may in its discretion adopt procedures from time to time to ensure that an Employee is eligible to participate in the Plan prior to the granting of any Awards to such Employee under the Plan (including, without limitation, a requirement, that each such Employee certify to the Company prior to the receipt of an Award under the Plan that such Employee has not been previously employed by the Company or an Affiliate, or if previously employed, has had a bona fide period of non-employment, and that the grant of an Award under the Plan is an inducement material to such Employee’s agreement to enter into employment with the Company or an Affiliate).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(w)</w:t>
      </w:r>
    </w:p>
    <w:p>
      <w:pPr>
        <w:pStyle w:val="TextBody"/>
        <w:bidi w:val="0"/>
        <w:spacing w:before="0" w:after="240"/>
        <w:jc w:val="both"/>
        <w:rPr/>
      </w:pPr>
      <w:r>
        <w:rPr>
          <w:color w:val="000000"/>
        </w:rPr>
        <w:t>“</w:t>
      </w:r>
      <w:r>
        <w:rPr>
          <w:rFonts w:ascii="Times New Roman" w:hAnsi="Times New Roman"/>
          <w:b/>
          <w:i/>
          <w:color w:val="000000"/>
          <w:sz w:val="22"/>
        </w:rPr>
        <w:t>Employee</w:t>
      </w:r>
      <w:r>
        <w:rPr>
          <w:rFonts w:ascii="Times New Roman" w:hAnsi="Times New Roman"/>
          <w:color w:val="000000"/>
          <w:sz w:val="22"/>
        </w:rPr>
        <w:t>” means any employee of the Company or any of its Affiliate.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(x)</w:t>
      </w:r>
    </w:p>
    <w:p>
      <w:pPr>
        <w:pStyle w:val="TextBody"/>
        <w:bidi w:val="0"/>
        <w:spacing w:before="0" w:after="240"/>
        <w:jc w:val="both"/>
        <w:rPr/>
      </w:pPr>
      <w:r>
        <w:rPr>
          <w:color w:val="000000"/>
        </w:rPr>
        <w:t>“</w:t>
      </w:r>
      <w:r>
        <w:rPr>
          <w:rFonts w:ascii="Times New Roman" w:hAnsi="Times New Roman"/>
          <w:b/>
          <w:i/>
          <w:color w:val="000000"/>
          <w:sz w:val="22"/>
        </w:rPr>
        <w:t>Entity</w:t>
      </w:r>
      <w:r>
        <w:rPr>
          <w:rFonts w:ascii="Times New Roman" w:hAnsi="Times New Roman"/>
          <w:color w:val="000000"/>
          <w:sz w:val="22"/>
        </w:rPr>
        <w:t>” means a corporation, partnership, limited liability company or other entity.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(y)</w:t>
      </w:r>
    </w:p>
    <w:p>
      <w:pPr>
        <w:pStyle w:val="TextBody"/>
        <w:bidi w:val="0"/>
        <w:spacing w:before="0" w:after="240"/>
        <w:jc w:val="both"/>
        <w:rPr/>
      </w:pPr>
      <w:r>
        <w:rPr>
          <w:color w:val="000000"/>
        </w:rPr>
        <w:t>“</w:t>
      </w:r>
      <w:r>
        <w:rPr>
          <w:rFonts w:ascii="Times New Roman" w:hAnsi="Times New Roman"/>
          <w:b/>
          <w:i/>
          <w:color w:val="000000"/>
          <w:sz w:val="22"/>
        </w:rPr>
        <w:t>Exchange Act</w:t>
      </w:r>
      <w:r>
        <w:rPr>
          <w:rFonts w:ascii="Times New Roman" w:hAnsi="Times New Roman"/>
          <w:color w:val="000000"/>
          <w:sz w:val="22"/>
        </w:rPr>
        <w:t>” means the U.S. Securities Exchange Act of 1934, as amended, and the rules and regulations promulgated thereunder.</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(z)</w:t>
      </w:r>
    </w:p>
    <w:p>
      <w:pPr>
        <w:pStyle w:val="TextBody"/>
        <w:bidi w:val="0"/>
        <w:spacing w:before="0" w:after="240"/>
        <w:jc w:val="both"/>
        <w:rPr/>
      </w:pPr>
      <w:r>
        <w:rPr>
          <w:color w:val="000000"/>
        </w:rPr>
        <w:t>“</w:t>
      </w:r>
      <w:r>
        <w:rPr>
          <w:rFonts w:ascii="Times New Roman" w:hAnsi="Times New Roman"/>
          <w:b/>
          <w:i/>
          <w:color w:val="000000"/>
          <w:sz w:val="22"/>
        </w:rPr>
        <w:t>Exchange Act Person</w:t>
      </w:r>
      <w:r>
        <w:rPr>
          <w:rFonts w:ascii="Times New Roman" w:hAnsi="Times New Roman"/>
          <w:color w:val="000000"/>
          <w:sz w:val="22"/>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Adoption Date, is the Owner, directly or indirectly, of securities of the Company representing more than 50% of the combined voting power of the Company’s then outstanding securities.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(aa)</w:t>
      </w:r>
    </w:p>
    <w:p>
      <w:pPr>
        <w:pStyle w:val="TextBody"/>
        <w:bidi w:val="0"/>
        <w:spacing w:before="0" w:after="240"/>
        <w:jc w:val="both"/>
        <w:rPr/>
      </w:pPr>
      <w:r>
        <w:rPr>
          <w:color w:val="000000"/>
        </w:rPr>
        <w:t>“</w:t>
      </w:r>
      <w:r>
        <w:rPr>
          <w:rFonts w:ascii="Times New Roman" w:hAnsi="Times New Roman"/>
          <w:b/>
          <w:i/>
          <w:color w:val="000000"/>
          <w:sz w:val="22"/>
        </w:rPr>
        <w:t>Fair Market Value</w:t>
      </w:r>
      <w:r>
        <w:rPr>
          <w:rFonts w:ascii="Times New Roman" w:hAnsi="Times New Roman"/>
          <w:color w:val="000000"/>
          <w:sz w:val="22"/>
        </w:rPr>
        <w:t>” means, as of any date, unless otherwise determined by the Plan Administrator, the value of the Common Stock (as determined on a per share or aggregate basis, as applicable) determined as follows: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Plan Administrator deems reliable.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there is no closing sales price for the Common Stock on the date of determination, then the Fair Market Value will be the closing selling price on the last preceding date for which such quotation exists.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the absence of such markets for the Common Stock, or if otherwise determined by the Plan Administrator, the Fair Market Value will be determined by the Plan Administrator in good faith and in a manner that complies with Sections 409A and 422 of the Code.</w:t>
      </w:r>
    </w:p>
    <w:p>
      <w:pPr>
        <w:pStyle w:val="TextBody"/>
        <w:bidi w:val="0"/>
        <w:jc w:val="center"/>
        <w:rPr>
          <w:rFonts w:ascii="Times New Roman" w:hAnsi="Times New Roman"/>
          <w:color w:val="000000"/>
          <w:sz w:val="22"/>
        </w:rPr>
      </w:pPr>
      <w:r>
        <w:rPr>
          <w:rFonts w:ascii="Times New Roman" w:hAnsi="Times New Roman"/>
          <w:color w:val="000000"/>
          <w:sz w:val="22"/>
        </w:rPr>
        <w:t>21</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(bb)</w:t>
      </w:r>
    </w:p>
    <w:p>
      <w:pPr>
        <w:pStyle w:val="TextBody"/>
        <w:bidi w:val="0"/>
        <w:spacing w:before="0" w:after="240"/>
        <w:jc w:val="both"/>
        <w:rPr/>
      </w:pPr>
      <w:r>
        <w:rPr>
          <w:color w:val="000000"/>
        </w:rPr>
        <w:t>“</w:t>
      </w:r>
      <w:r>
        <w:rPr>
          <w:rFonts w:ascii="Times New Roman" w:hAnsi="Times New Roman"/>
          <w:b/>
          <w:i/>
          <w:color w:val="000000"/>
          <w:sz w:val="22"/>
        </w:rPr>
        <w:t>Governmental Body</w:t>
      </w:r>
      <w:r>
        <w:rPr>
          <w:rFonts w:ascii="Times New Roman" w:hAnsi="Times New Roman"/>
          <w:color w:val="000000"/>
          <w:sz w:val="22"/>
        </w:rPr>
        <w:t>” means any: (a) nation, state, commonwealth, province, territory, county, municipality, district or other jurisdiction of any nature; (b) U.S. or non-U.S. federal, state, local, municipal,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Nasdaq Stock Market, New York Stock Exchange, and the Financial Industry Regulatory Authority).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(cc)</w:t>
      </w:r>
    </w:p>
    <w:p>
      <w:pPr>
        <w:pStyle w:val="TextBody"/>
        <w:bidi w:val="0"/>
        <w:spacing w:before="0" w:after="240"/>
        <w:jc w:val="both"/>
        <w:rPr/>
      </w:pPr>
      <w:r>
        <w:rPr>
          <w:color w:val="000000"/>
        </w:rPr>
        <w:t>“</w:t>
      </w:r>
      <w:r>
        <w:rPr>
          <w:rFonts w:ascii="Times New Roman" w:hAnsi="Times New Roman"/>
          <w:b/>
          <w:i/>
          <w:color w:val="000000"/>
          <w:sz w:val="22"/>
        </w:rPr>
        <w:t>Grant Notice</w:t>
      </w:r>
      <w:r>
        <w:rPr>
          <w:rFonts w:ascii="Times New Roman" w:hAnsi="Times New Roman"/>
          <w:color w:val="000000"/>
          <w:sz w:val="22"/>
        </w:rPr>
        <w:t>”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(dd)</w:t>
      </w:r>
    </w:p>
    <w:p>
      <w:pPr>
        <w:pStyle w:val="TextBody"/>
        <w:bidi w:val="0"/>
        <w:spacing w:before="0" w:after="240"/>
        <w:jc w:val="both"/>
        <w:rPr/>
      </w:pPr>
      <w:r>
        <w:rPr>
          <w:color w:val="000000"/>
        </w:rPr>
        <w:t>“</w:t>
      </w:r>
      <w:r>
        <w:rPr>
          <w:rFonts w:ascii="Times New Roman" w:hAnsi="Times New Roman"/>
          <w:b/>
          <w:i/>
          <w:color w:val="000000"/>
          <w:sz w:val="22"/>
        </w:rPr>
        <w:t>Incentive Stock Option</w:t>
      </w:r>
      <w:r>
        <w:rPr>
          <w:rFonts w:ascii="Times New Roman" w:hAnsi="Times New Roman"/>
          <w:color w:val="000000"/>
          <w:sz w:val="22"/>
        </w:rPr>
        <w:t>” means an option granted pursuant to Section 4 of the Plan that is intended to be, and qualifies as, an “incentive stock option” within the meaning of Section 422 of the Code. Incentive Stock Options may not be granted under the Plan.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(ee)</w:t>
      </w:r>
    </w:p>
    <w:p>
      <w:pPr>
        <w:pStyle w:val="TextBody"/>
        <w:bidi w:val="0"/>
        <w:spacing w:before="0" w:after="240"/>
        <w:jc w:val="both"/>
        <w:rPr/>
      </w:pPr>
      <w:r>
        <w:rPr>
          <w:color w:val="000000"/>
        </w:rPr>
        <w:t>“</w:t>
      </w:r>
      <w:r>
        <w:rPr>
          <w:rFonts w:ascii="Times New Roman" w:hAnsi="Times New Roman"/>
          <w:b/>
          <w:i/>
          <w:color w:val="000000"/>
          <w:sz w:val="22"/>
        </w:rPr>
        <w:t>Materially Impair</w:t>
      </w:r>
      <w:r>
        <w:rPr>
          <w:rFonts w:ascii="Times New Roman" w:hAnsi="Times New Roman"/>
          <w:color w:val="000000"/>
          <w:sz w:val="22"/>
        </w:rPr>
        <w:t>” means any amendment to the terms of the Award that materially adversely affects the Participant’s rights under the Award. A Participant's rights under an Award will not be deemed to have been Materially Impaired by any such amendment if the Plan Administrator,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that may be exercised; (ii) to clarify the manner of exemption from, or to bring the Award into compliance with or qualify it for an exemption from, Section 409A; or (iii) to comply with other Applicable Laws.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(ff)</w:t>
      </w:r>
    </w:p>
    <w:p>
      <w:pPr>
        <w:pStyle w:val="TextBody"/>
        <w:bidi w:val="0"/>
        <w:spacing w:before="0" w:after="240"/>
        <w:jc w:val="both"/>
        <w:rPr/>
      </w:pPr>
      <w:r>
        <w:rPr>
          <w:color w:val="000000"/>
        </w:rPr>
        <w:t>“</w:t>
      </w:r>
      <w:r>
        <w:rPr>
          <w:rFonts w:ascii="Times New Roman" w:hAnsi="Times New Roman"/>
          <w:b/>
          <w:i/>
          <w:color w:val="000000"/>
          <w:sz w:val="22"/>
        </w:rPr>
        <w:t>Non-Employee Director</w:t>
      </w:r>
      <w:r>
        <w:rPr>
          <w:rFonts w:ascii="Times New Roman" w:hAnsi="Times New Roman"/>
          <w:color w:val="000000"/>
          <w:sz w:val="22"/>
        </w:rPr>
        <w:t>” means a Director who is not an Employee and is independent under Nasdaq Stock Market Rule 5635.</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(gg)</w:t>
      </w:r>
    </w:p>
    <w:p>
      <w:pPr>
        <w:pStyle w:val="TextBody"/>
        <w:bidi w:val="0"/>
        <w:spacing w:before="0" w:after="240"/>
        <w:jc w:val="both"/>
        <w:rPr/>
      </w:pPr>
      <w:r>
        <w:rPr>
          <w:color w:val="000000"/>
        </w:rPr>
        <w:t>“</w:t>
      </w:r>
      <w:r>
        <w:rPr>
          <w:rFonts w:ascii="Times New Roman" w:hAnsi="Times New Roman"/>
          <w:b/>
          <w:i/>
          <w:color w:val="000000"/>
          <w:sz w:val="22"/>
        </w:rPr>
        <w:t>Non-Exempt Award</w:t>
      </w:r>
      <w:r>
        <w:rPr>
          <w:rFonts w:ascii="Times New Roman" w:hAnsi="Times New Roman"/>
          <w:color w:val="000000"/>
          <w:sz w:val="22"/>
        </w:rPr>
        <w:t>” means any Award that is subject to, and not exempt from, Section 409A, including as the result of (i) a deferral of the issuance of the shares subject to the Award which is elected by the Participant or imposed by the Company or (ii) the terms of any Non-Exempt Severance Arrangement.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(hh)</w:t>
      </w:r>
    </w:p>
    <w:p>
      <w:pPr>
        <w:pStyle w:val="TextBody"/>
        <w:bidi w:val="0"/>
        <w:spacing w:before="0" w:after="240"/>
        <w:jc w:val="both"/>
        <w:rPr/>
      </w:pPr>
      <w:r>
        <w:rPr>
          <w:color w:val="000000"/>
        </w:rPr>
        <w:t>“</w:t>
      </w:r>
      <w:r>
        <w:rPr>
          <w:rFonts w:ascii="Times New Roman" w:hAnsi="Times New Roman"/>
          <w:b/>
          <w:i/>
          <w:color w:val="000000"/>
          <w:sz w:val="22"/>
        </w:rPr>
        <w:t>Non-Exempt Severance Arrangement</w:t>
      </w:r>
      <w:r>
        <w:rPr>
          <w:rFonts w:ascii="Times New Roman" w:hAnsi="Times New Roman"/>
          <w:color w:val="000000"/>
          <w:sz w:val="22"/>
        </w:rPr>
        <w:t>” means a severance arrangement or other agreement between the Participant and the Company 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thereunder) (“</w:t>
      </w:r>
      <w:r>
        <w:rPr>
          <w:rFonts w:ascii="Times New Roman" w:hAnsi="Times New Roman"/>
          <w:b/>
          <w:i/>
          <w:color w:val="000000"/>
          <w:sz w:val="22"/>
        </w:rPr>
        <w:t>Separation from Service</w:t>
      </w:r>
      <w:r>
        <w:rPr>
          <w:rFonts w:ascii="Times New Roman" w:hAnsi="Times New Roman"/>
          <w:color w:val="000000"/>
          <w:sz w:val="22"/>
        </w:rPr>
        <w:t>”) and such severance benefit does not satisfy the requirements for an exemption from application of Section 409A provided under Treasury Regulations Section 1.409A-1(b)(4), 1.409A-1(b)(9) or otherwise.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(ii)</w:t>
      </w:r>
    </w:p>
    <w:p>
      <w:pPr>
        <w:pStyle w:val="TextBody"/>
        <w:bidi w:val="0"/>
        <w:spacing w:before="0" w:after="240"/>
        <w:jc w:val="both"/>
        <w:rPr/>
      </w:pPr>
      <w:r>
        <w:rPr>
          <w:color w:val="000000"/>
        </w:rPr>
        <w:t>“</w:t>
      </w:r>
      <w:r>
        <w:rPr>
          <w:rFonts w:ascii="Times New Roman" w:hAnsi="Times New Roman"/>
          <w:b/>
          <w:i/>
          <w:color w:val="000000"/>
          <w:sz w:val="22"/>
        </w:rPr>
        <w:t>Nonstatutory Stock Option</w:t>
      </w:r>
      <w:r>
        <w:rPr>
          <w:rFonts w:ascii="Times New Roman" w:hAnsi="Times New Roman"/>
          <w:color w:val="000000"/>
          <w:sz w:val="22"/>
        </w:rPr>
        <w:t>” means any option granted pursuant to Section 4 of the Plan that does not qualify as an Incentive Stock Option.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(jj)</w:t>
      </w:r>
    </w:p>
    <w:p>
      <w:pPr>
        <w:pStyle w:val="TextBody"/>
        <w:bidi w:val="0"/>
        <w:spacing w:before="0" w:after="240"/>
        <w:jc w:val="both"/>
        <w:rPr/>
      </w:pPr>
      <w:r>
        <w:rPr>
          <w:color w:val="000000"/>
        </w:rPr>
        <w:t>“</w:t>
      </w:r>
      <w:r>
        <w:rPr>
          <w:rFonts w:ascii="Times New Roman" w:hAnsi="Times New Roman"/>
          <w:b/>
          <w:i/>
          <w:color w:val="000000"/>
          <w:sz w:val="22"/>
        </w:rPr>
        <w:t>Officer</w:t>
      </w:r>
      <w:r>
        <w:rPr>
          <w:rFonts w:ascii="Times New Roman" w:hAnsi="Times New Roman"/>
          <w:color w:val="000000"/>
          <w:sz w:val="22"/>
        </w:rPr>
        <w:t>” means a person who is an officer of the Company within the meaning of Section 16 of the Exchange Act.</w:t>
      </w:r>
    </w:p>
    <w:p>
      <w:pPr>
        <w:pStyle w:val="TextBody"/>
        <w:bidi w:val="0"/>
        <w:jc w:val="center"/>
        <w:rPr>
          <w:rFonts w:ascii="Times New Roman" w:hAnsi="Times New Roman"/>
          <w:color w:val="000000"/>
          <w:sz w:val="22"/>
        </w:rPr>
      </w:pPr>
      <w:r>
        <w:rPr>
          <w:rFonts w:ascii="Times New Roman" w:hAnsi="Times New Roman"/>
          <w:color w:val="000000"/>
          <w:sz w:val="22"/>
        </w:rPr>
        <w:t>22</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(kk)</w:t>
      </w:r>
    </w:p>
    <w:p>
      <w:pPr>
        <w:pStyle w:val="TextBody"/>
        <w:bidi w:val="0"/>
        <w:spacing w:before="0" w:after="240"/>
        <w:jc w:val="both"/>
        <w:rPr/>
      </w:pPr>
      <w:r>
        <w:rPr>
          <w:color w:val="000000"/>
        </w:rPr>
        <w:t>“</w:t>
      </w:r>
      <w:r>
        <w:rPr>
          <w:rFonts w:ascii="Times New Roman" w:hAnsi="Times New Roman"/>
          <w:b/>
          <w:i/>
          <w:color w:val="000000"/>
          <w:sz w:val="22"/>
        </w:rPr>
        <w:t>Option</w:t>
      </w:r>
      <w:r>
        <w:rPr>
          <w:rFonts w:ascii="Times New Roman" w:hAnsi="Times New Roman"/>
          <w:color w:val="000000"/>
          <w:sz w:val="22"/>
        </w:rPr>
        <w:t>” means an option to purchase shares of Common Stock granted pursuant to the Plan. Each Option shall constitute a Nonstatutory Stock Option.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(ll)</w:t>
      </w:r>
    </w:p>
    <w:p>
      <w:pPr>
        <w:pStyle w:val="TextBody"/>
        <w:bidi w:val="0"/>
        <w:spacing w:before="0" w:after="240"/>
        <w:jc w:val="both"/>
        <w:rPr/>
      </w:pPr>
      <w:r>
        <w:rPr>
          <w:color w:val="000000"/>
        </w:rPr>
        <w:t>“</w:t>
      </w:r>
      <w:r>
        <w:rPr>
          <w:rFonts w:ascii="Times New Roman" w:hAnsi="Times New Roman"/>
          <w:b/>
          <w:i/>
          <w:color w:val="000000"/>
          <w:sz w:val="22"/>
        </w:rPr>
        <w:t>Option Agreement</w:t>
      </w:r>
      <w:r>
        <w:rPr>
          <w:rFonts w:ascii="Times New Roman" w:hAnsi="Times New Roman"/>
          <w:color w:val="000000"/>
          <w:sz w:val="22"/>
        </w:rPr>
        <w:t>” means a written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to a Participant along with the Grant Notice. Each Option Agreement will be subject to the terms and conditions of the Plan.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(mm)</w:t>
      </w:r>
    </w:p>
    <w:p>
      <w:pPr>
        <w:pStyle w:val="TextBody"/>
        <w:bidi w:val="0"/>
        <w:spacing w:before="0" w:after="240"/>
        <w:jc w:val="both"/>
        <w:rPr/>
      </w:pPr>
      <w:r>
        <w:rPr>
          <w:color w:val="000000"/>
        </w:rPr>
        <w:t>“</w:t>
      </w:r>
      <w:r>
        <w:rPr>
          <w:rFonts w:ascii="Times New Roman" w:hAnsi="Times New Roman"/>
          <w:b/>
          <w:i/>
          <w:color w:val="000000"/>
          <w:sz w:val="22"/>
        </w:rPr>
        <w:t>Optionholder</w:t>
      </w:r>
      <w:r>
        <w:rPr>
          <w:rFonts w:ascii="Times New Roman" w:hAnsi="Times New Roman"/>
          <w:color w:val="000000"/>
          <w:sz w:val="22"/>
        </w:rPr>
        <w:t>” means a person to whom an Option is granted pursuant to the Plan or, if applicable, such other person who holds an outstanding Option.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(nn)</w:t>
      </w:r>
    </w:p>
    <w:p>
      <w:pPr>
        <w:pStyle w:val="TextBody"/>
        <w:bidi w:val="0"/>
        <w:spacing w:before="0" w:after="240"/>
        <w:jc w:val="both"/>
        <w:rPr/>
      </w:pPr>
      <w:r>
        <w:rPr>
          <w:color w:val="000000"/>
        </w:rPr>
        <w:t>“</w:t>
      </w:r>
      <w:r>
        <w:rPr>
          <w:rFonts w:ascii="Times New Roman" w:hAnsi="Times New Roman"/>
          <w:b/>
          <w:i/>
          <w:color w:val="000000"/>
          <w:sz w:val="22"/>
        </w:rPr>
        <w:t>Other Award</w:t>
      </w:r>
      <w:r>
        <w:rPr>
          <w:rFonts w:ascii="Times New Roman" w:hAnsi="Times New Roman"/>
          <w:color w:val="000000"/>
          <w:sz w:val="22"/>
        </w:rPr>
        <w:t>” means an award valued in whole or in part by reference to, or otherwise based on, Common Stock, including the appreciation in value thereof (e.g., options or stock rights with an exercise price or strike price less than 100% of the Fair Market Value at the time of grant) that is not an Option, SAR, Restricted Stock Award, RSU Award or Performance Award.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(oo)</w:t>
      </w:r>
    </w:p>
    <w:p>
      <w:pPr>
        <w:pStyle w:val="TextBody"/>
        <w:bidi w:val="0"/>
        <w:spacing w:before="0" w:after="240"/>
        <w:jc w:val="both"/>
        <w:rPr/>
      </w:pPr>
      <w:r>
        <w:rPr>
          <w:color w:val="000000"/>
        </w:rPr>
        <w:t>“</w:t>
      </w:r>
      <w:r>
        <w:rPr>
          <w:rFonts w:ascii="Times New Roman" w:hAnsi="Times New Roman"/>
          <w:b/>
          <w:i/>
          <w:color w:val="000000"/>
          <w:sz w:val="22"/>
        </w:rPr>
        <w:t>Other Award Agreement</w:t>
      </w:r>
      <w:r>
        <w:rPr>
          <w:rFonts w:ascii="Times New Roman" w:hAnsi="Times New Roman"/>
          <w:color w:val="000000"/>
          <w:sz w:val="22"/>
        </w:rPr>
        <w:t>” means a written agreement between the Company and a holder of an Other Award evidencing the terms and conditions of an Other Award grant. Each Other Award Agreement will be subject to the terms and conditions of the Plan.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(pp)</w:t>
      </w:r>
    </w:p>
    <w:p>
      <w:pPr>
        <w:pStyle w:val="TextBody"/>
        <w:bidi w:val="0"/>
        <w:spacing w:before="0" w:after="240"/>
        <w:jc w:val="both"/>
        <w:rPr/>
      </w:pPr>
      <w:r>
        <w:rPr>
          <w:color w:val="000000"/>
        </w:rPr>
        <w:t>“</w:t>
      </w:r>
      <w:r>
        <w:rPr>
          <w:rFonts w:ascii="Times New Roman" w:hAnsi="Times New Roman"/>
          <w:b/>
          <w:i/>
          <w:color w:val="000000"/>
          <w:sz w:val="22"/>
        </w:rPr>
        <w:t>Own</w:t>
      </w:r>
      <w:r>
        <w:rPr>
          <w:rFonts w:ascii="Times New Roman" w:hAnsi="Times New Roman"/>
          <w:color w:val="000000"/>
          <w:sz w:val="22"/>
        </w:rPr>
        <w:t>,” “</w:t>
      </w:r>
      <w:r>
        <w:rPr>
          <w:rFonts w:ascii="Times New Roman" w:hAnsi="Times New Roman"/>
          <w:b/>
          <w:i/>
          <w:color w:val="000000"/>
          <w:sz w:val="22"/>
        </w:rPr>
        <w:t>Owned</w:t>
      </w:r>
      <w:r>
        <w:rPr>
          <w:rFonts w:ascii="Times New Roman" w:hAnsi="Times New Roman"/>
          <w:color w:val="000000"/>
          <w:sz w:val="22"/>
        </w:rPr>
        <w:t>,” “</w:t>
      </w:r>
      <w:r>
        <w:rPr>
          <w:rFonts w:ascii="Times New Roman" w:hAnsi="Times New Roman"/>
          <w:b/>
          <w:i/>
          <w:color w:val="000000"/>
          <w:sz w:val="22"/>
        </w:rPr>
        <w:t>Owner</w:t>
      </w:r>
      <w:r>
        <w:rPr>
          <w:rFonts w:ascii="Times New Roman" w:hAnsi="Times New Roman"/>
          <w:color w:val="000000"/>
          <w:sz w:val="22"/>
        </w:rPr>
        <w:t>,” “</w:t>
      </w:r>
      <w:r>
        <w:rPr>
          <w:rFonts w:ascii="Times New Roman" w:hAnsi="Times New Roman"/>
          <w:b/>
          <w:i/>
          <w:color w:val="000000"/>
          <w:sz w:val="22"/>
        </w:rPr>
        <w:t>Ownership</w:t>
      </w:r>
      <w:r>
        <w:rPr>
          <w:rFonts w:ascii="Times New Roman" w:hAnsi="Times New Roman"/>
          <w:color w:val="000000"/>
          <w:sz w:val="22"/>
        </w:rPr>
        <w:t>”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(qq)</w:t>
      </w:r>
    </w:p>
    <w:p>
      <w:pPr>
        <w:pStyle w:val="TextBody"/>
        <w:bidi w:val="0"/>
        <w:spacing w:before="0" w:after="240"/>
        <w:jc w:val="both"/>
        <w:rPr/>
      </w:pPr>
      <w:r>
        <w:rPr>
          <w:color w:val="000000"/>
        </w:rPr>
        <w:t>“</w:t>
      </w:r>
      <w:r>
        <w:rPr>
          <w:rFonts w:ascii="Times New Roman" w:hAnsi="Times New Roman"/>
          <w:b/>
          <w:i/>
          <w:color w:val="000000"/>
          <w:sz w:val="22"/>
        </w:rPr>
        <w:t>Participant</w:t>
      </w:r>
      <w:r>
        <w:rPr>
          <w:rFonts w:ascii="Times New Roman" w:hAnsi="Times New Roman"/>
          <w:color w:val="000000"/>
          <w:sz w:val="22"/>
        </w:rPr>
        <w:t>” means an Employee, Director or Consultant who has been granted an Award at a time when such person was an Eligible Employee.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(rr)</w:t>
      </w:r>
    </w:p>
    <w:p>
      <w:pPr>
        <w:pStyle w:val="TextBody"/>
        <w:bidi w:val="0"/>
        <w:spacing w:before="0" w:after="240"/>
        <w:jc w:val="both"/>
        <w:rPr/>
      </w:pPr>
      <w:r>
        <w:rPr>
          <w:color w:val="000000"/>
        </w:rPr>
        <w:t>“</w:t>
      </w:r>
      <w:r>
        <w:rPr>
          <w:rFonts w:ascii="Times New Roman" w:hAnsi="Times New Roman"/>
          <w:b/>
          <w:i/>
          <w:color w:val="000000"/>
          <w:sz w:val="22"/>
        </w:rPr>
        <w:t>Performance Award</w:t>
      </w:r>
      <w:r>
        <w:rPr>
          <w:rFonts w:ascii="Times New Roman" w:hAnsi="Times New Roman"/>
          <w:color w:val="000000"/>
          <w:sz w:val="22"/>
        </w:rPr>
        <w:t>”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Plan Administrator. In addition, to the extent permitted by Applicable Law and set forth in the applicable Award Agreement, the Plan Administrator may determine that cash or other property may be used in payment of Performance Awards. Performance Awards that are settled in cash or other property are not required to be valued in whole or in part by reference to, or otherwise based on, the Common Stock.</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(ss)</w:t>
      </w:r>
    </w:p>
    <w:p>
      <w:pPr>
        <w:pStyle w:val="TextBody"/>
        <w:bidi w:val="0"/>
        <w:spacing w:before="0" w:after="240"/>
        <w:jc w:val="both"/>
        <w:rPr/>
      </w:pPr>
      <w:r>
        <w:rPr>
          <w:color w:val="000000"/>
        </w:rPr>
        <w:t>“</w:t>
      </w:r>
      <w:r>
        <w:rPr>
          <w:rFonts w:ascii="Times New Roman" w:hAnsi="Times New Roman"/>
          <w:b/>
          <w:i/>
          <w:color w:val="000000"/>
          <w:sz w:val="22"/>
        </w:rPr>
        <w:t>Performance Criteria</w:t>
      </w:r>
      <w:r>
        <w:rPr>
          <w:rFonts w:ascii="Times New Roman" w:hAnsi="Times New Roman"/>
          <w:color w:val="000000"/>
          <w:sz w:val="22"/>
        </w:rPr>
        <w:t xml:space="preserve">” means the one or more criteria that the Plan Administrator will select for purposes of establishing the Performance Goals for a Performance Period. The Performance Criteria that will be used to establish such Performance Goals may be based on any one of, or combination of, the following as determined by the Plan Administrator: earnings (including earnings per share and net earnings); earnings before interest, taxes and depreciation; earnings before interest, taxes, depreciation and amortization; total stockholder return; return on equity or average stockholder’s equity; return on assets, investment, or capital employed; stock price; margin (including gross margin); income (before or after taxes); operating income; operating income after taxes; pre-tax profit; operating cash flow; sales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w:t>
      </w:r>
    </w:p>
    <w:p>
      <w:pPr>
        <w:pStyle w:val="TextBody"/>
        <w:bidi w:val="0"/>
        <w:jc w:val="center"/>
        <w:rPr>
          <w:rFonts w:ascii="Times New Roman" w:hAnsi="Times New Roman"/>
          <w:color w:val="000000"/>
          <w:sz w:val="22"/>
        </w:rPr>
      </w:pPr>
      <w:r>
        <w:rPr>
          <w:rFonts w:ascii="Times New Roman" w:hAnsi="Times New Roman"/>
          <w:color w:val="000000"/>
          <w:sz w:val="22"/>
        </w:rPr>
        <w:t>23</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growth of net income or operating income; billings; pre-clinical development related compound goals; financing; regulatory milestones, including approval of a compound; stockholder liquidity; corporate governance and compliance; product commercialization; intellectual property; personnel matters; progress of internal research or clinical programs; progress of partnered programs; partner satisfaction; budget management; clinical achievements; completing phases of a clinical study (including the treatment phase); announcing or presenting preliminary or final data from clinical studies; in each case, whether on particular timelines or generally; timely completion of clinical trials; submission of INDs and NDAs and other regulatory achievements; partner or collaborator achievements; internal controls, including those related to the Sarbanes-Oxley Act of 2002; research progress, including the development of programs; investor relations, analysts and communication; manufacturing achievements (including obtaining particular yields from manufacturing runs and other measurable objectives related to process development activities); strategic partnerships or transactions (including in-licensing and out-licensing of intellectual property; establishing relationships with commercial entities with respect to the marketing, distribution and sale of the Company’s products (including with group purchasing organizations, distributors and other vendors); supply chain achievements (including establishing relationships with manufacturers or suppliers of active pharmaceutical ingredients and other component materials and manufacturers of the Company’s products); co-development, co-marketing, profit sharing, joint venture or other similar arrangements; individual performance goals; corporate development and planning goals; and other measures of performance selected by the Plan Administrator.</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(tt)</w:t>
      </w:r>
    </w:p>
    <w:p>
      <w:pPr>
        <w:pStyle w:val="TextBody"/>
        <w:bidi w:val="0"/>
        <w:spacing w:before="0" w:after="240"/>
        <w:jc w:val="both"/>
        <w:rPr/>
      </w:pPr>
      <w:r>
        <w:rPr>
          <w:color w:val="000000"/>
        </w:rPr>
        <w:t>“</w:t>
      </w:r>
      <w:r>
        <w:rPr>
          <w:rFonts w:ascii="Times New Roman" w:hAnsi="Times New Roman"/>
          <w:b/>
          <w:i/>
          <w:color w:val="000000"/>
          <w:sz w:val="22"/>
        </w:rPr>
        <w:t>Performance Goals</w:t>
      </w:r>
      <w:r>
        <w:rPr>
          <w:rFonts w:ascii="Times New Roman" w:hAnsi="Times New Roman"/>
          <w:color w:val="000000"/>
          <w:sz w:val="22"/>
        </w:rPr>
        <w:t>” means, for a Performance Period, the one or more goals established by the Plan Administrator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Plan Administrator (i) in the Award Agreement at the time the Award is granted or (ii) in such other document setting forth the Performance Goals at the time the Performance Goals are established, the Plan Administrator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Capital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expensed under generally accepted accounting principles; and (11) to exclude the goodwill and intangible asset impairment charges that are required to be recorded under generally accepted accounting principles. In addition, the Plan Administrator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Award.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(uu)</w:t>
      </w:r>
    </w:p>
    <w:p>
      <w:pPr>
        <w:pStyle w:val="TextBody"/>
        <w:bidi w:val="0"/>
        <w:spacing w:before="0" w:after="240"/>
        <w:jc w:val="both"/>
        <w:rPr/>
      </w:pPr>
      <w:r>
        <w:rPr>
          <w:color w:val="000000"/>
        </w:rPr>
        <w:t>“</w:t>
      </w:r>
      <w:r>
        <w:rPr>
          <w:rFonts w:ascii="Times New Roman" w:hAnsi="Times New Roman"/>
          <w:b/>
          <w:i/>
          <w:color w:val="000000"/>
          <w:sz w:val="22"/>
        </w:rPr>
        <w:t>Performance Period</w:t>
      </w:r>
      <w:r>
        <w:rPr>
          <w:rFonts w:ascii="Times New Roman" w:hAnsi="Times New Roman"/>
          <w:color w:val="000000"/>
          <w:sz w:val="22"/>
        </w:rPr>
        <w:t xml:space="preserve">” means the period of time selected by the Plan Administrator over which the attainment of one or more Performance Goals will be measured for the purpose of determining a </w:t>
      </w:r>
    </w:p>
    <w:p>
      <w:pPr>
        <w:pStyle w:val="TextBody"/>
        <w:bidi w:val="0"/>
        <w:jc w:val="center"/>
        <w:rPr>
          <w:rFonts w:ascii="Times New Roman" w:hAnsi="Times New Roman"/>
          <w:color w:val="000000"/>
          <w:sz w:val="22"/>
        </w:rPr>
      </w:pPr>
      <w:r>
        <w:rPr>
          <w:rFonts w:ascii="Times New Roman" w:hAnsi="Times New Roman"/>
          <w:color w:val="000000"/>
          <w:sz w:val="22"/>
        </w:rPr>
        <w:t>24</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Participant’s right to vesting or exercise of an Award. Performance Periods may be of varying and overlapping duration, at the sole discretion of the Plan Administrator.</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(vv)</w:t>
      </w:r>
    </w:p>
    <w:p>
      <w:pPr>
        <w:pStyle w:val="TextBody"/>
        <w:bidi w:val="0"/>
        <w:spacing w:before="0" w:after="240"/>
        <w:jc w:val="both"/>
        <w:rPr/>
      </w:pPr>
      <w:r>
        <w:rPr>
          <w:color w:val="000000"/>
        </w:rPr>
        <w:t>“</w:t>
      </w:r>
      <w:r>
        <w:rPr>
          <w:rFonts w:ascii="Times New Roman" w:hAnsi="Times New Roman"/>
          <w:b/>
          <w:i/>
          <w:color w:val="000000"/>
          <w:sz w:val="22"/>
        </w:rPr>
        <w:t>Plan</w:t>
      </w:r>
      <w:r>
        <w:rPr>
          <w:rFonts w:ascii="Times New Roman" w:hAnsi="Times New Roman"/>
          <w:color w:val="000000"/>
          <w:sz w:val="22"/>
        </w:rPr>
        <w:t>” means this AN2 Therapeutics, Inc. 2026 Employment Inducement Award Plan.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(ww)</w:t>
      </w:r>
    </w:p>
    <w:p>
      <w:pPr>
        <w:pStyle w:val="TextBody"/>
        <w:bidi w:val="0"/>
        <w:spacing w:before="0" w:after="240"/>
        <w:jc w:val="both"/>
        <w:rPr/>
      </w:pPr>
      <w:r>
        <w:rPr>
          <w:color w:val="000000"/>
        </w:rPr>
        <w:t>“</w:t>
      </w:r>
      <w:r>
        <w:rPr>
          <w:rFonts w:ascii="Times New Roman" w:hAnsi="Times New Roman"/>
          <w:b/>
          <w:i/>
          <w:color w:val="000000"/>
          <w:sz w:val="22"/>
        </w:rPr>
        <w:t>Plan Administrator</w:t>
      </w:r>
      <w:r>
        <w:rPr>
          <w:rFonts w:ascii="Times New Roman" w:hAnsi="Times New Roman"/>
          <w:color w:val="000000"/>
          <w:sz w:val="22"/>
        </w:rPr>
        <w:t>” means the Board or the Committee to the extent that the Board’s powers or authority under the Plan have been delegated to the Committee. Any action taken by the Board as the Plan Administrator in connection with the administration of the Plan shall not be deemed approved by the Board unless such actions are approved by a majority of the Non-Employee Directors. Any decision or determination made by the Plan Administrator shall be a decision or determination that is made in the sole discretion of the Plan Administrator, and such decision or determination shall be final and binding on all Participants.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(xx)</w:t>
      </w:r>
    </w:p>
    <w:p>
      <w:pPr>
        <w:pStyle w:val="TextBody"/>
        <w:bidi w:val="0"/>
        <w:spacing w:before="0" w:after="240"/>
        <w:jc w:val="both"/>
        <w:rPr/>
      </w:pPr>
      <w:r>
        <w:rPr>
          <w:color w:val="000000"/>
        </w:rPr>
        <w:t>“</w:t>
      </w:r>
      <w:r>
        <w:rPr>
          <w:rFonts w:ascii="Times New Roman" w:hAnsi="Times New Roman"/>
          <w:b/>
          <w:i/>
          <w:color w:val="000000"/>
          <w:sz w:val="22"/>
        </w:rPr>
        <w:t>Post-Termination Exercise Period</w:t>
      </w:r>
      <w:r>
        <w:rPr>
          <w:rFonts w:ascii="Times New Roman" w:hAnsi="Times New Roman"/>
          <w:color w:val="000000"/>
          <w:sz w:val="22"/>
        </w:rPr>
        <w:t>” means the period following termination of a Participant’s Continuous Service within which an Option or SAR is exercisable, as specified in Section 4(h).</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(yy)</w:t>
      </w:r>
    </w:p>
    <w:p>
      <w:pPr>
        <w:pStyle w:val="TextBody"/>
        <w:bidi w:val="0"/>
        <w:spacing w:before="0" w:after="240"/>
        <w:jc w:val="both"/>
        <w:rPr/>
      </w:pPr>
      <w:r>
        <w:rPr>
          <w:color w:val="000000"/>
        </w:rPr>
        <w:t>“</w:t>
      </w:r>
      <w:r>
        <w:rPr>
          <w:rFonts w:ascii="Times New Roman" w:hAnsi="Times New Roman"/>
          <w:b/>
          <w:i/>
          <w:color w:val="000000"/>
          <w:sz w:val="22"/>
        </w:rPr>
        <w:t>Restricted Stock Award</w:t>
      </w:r>
      <w:r>
        <w:rPr>
          <w:rFonts w:ascii="Times New Roman" w:hAnsi="Times New Roman"/>
          <w:color w:val="000000"/>
          <w:sz w:val="22"/>
        </w:rPr>
        <w:t>” means an Award of shares of Common Stock which is granted pursuant to the terms and conditions of Section 5(a).</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(zz)</w:t>
      </w:r>
    </w:p>
    <w:p>
      <w:pPr>
        <w:pStyle w:val="TextBody"/>
        <w:bidi w:val="0"/>
        <w:spacing w:before="0" w:after="240"/>
        <w:jc w:val="both"/>
        <w:rPr/>
      </w:pPr>
      <w:r>
        <w:rPr>
          <w:color w:val="000000"/>
        </w:rPr>
        <w:t>“</w:t>
      </w:r>
      <w:r>
        <w:rPr>
          <w:rFonts w:ascii="Times New Roman" w:hAnsi="Times New Roman"/>
          <w:b/>
          <w:i/>
          <w:color w:val="000000"/>
          <w:sz w:val="22"/>
        </w:rPr>
        <w:t>Restricted Stock Award Agreement</w:t>
      </w:r>
      <w:r>
        <w:rPr>
          <w:rFonts w:ascii="Times New Roman" w:hAnsi="Times New Roman"/>
          <w:color w:val="000000"/>
          <w:sz w:val="22"/>
        </w:rPr>
        <w:t>” means a written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to a Participant along with the Grant Notice. Each Restricted Stock Award Agreement will be subject to the terms and conditions of the Plan.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(aaa)</w:t>
      </w:r>
    </w:p>
    <w:p>
      <w:pPr>
        <w:pStyle w:val="TextBody"/>
        <w:bidi w:val="0"/>
        <w:spacing w:before="0" w:after="240"/>
        <w:jc w:val="both"/>
        <w:rPr/>
      </w:pPr>
      <w:r>
        <w:rPr>
          <w:color w:val="000000"/>
        </w:rPr>
        <w:t>“</w:t>
      </w:r>
      <w:r>
        <w:rPr>
          <w:rFonts w:ascii="Times New Roman" w:hAnsi="Times New Roman"/>
          <w:b/>
          <w:i/>
          <w:color w:val="000000"/>
          <w:sz w:val="22"/>
        </w:rPr>
        <w:t>RSU Award</w:t>
      </w:r>
      <w:r>
        <w:rPr>
          <w:rFonts w:ascii="Times New Roman" w:hAnsi="Times New Roman"/>
          <w:color w:val="000000"/>
          <w:sz w:val="22"/>
        </w:rPr>
        <w:t>” or “</w:t>
      </w:r>
      <w:r>
        <w:rPr>
          <w:rFonts w:ascii="Times New Roman" w:hAnsi="Times New Roman"/>
          <w:b/>
          <w:i/>
          <w:color w:val="000000"/>
          <w:sz w:val="22"/>
        </w:rPr>
        <w:t>RSU</w:t>
      </w:r>
      <w:r>
        <w:rPr>
          <w:rFonts w:ascii="Times New Roman" w:hAnsi="Times New Roman"/>
          <w:color w:val="000000"/>
          <w:sz w:val="22"/>
        </w:rPr>
        <w:t>” means an Award of restricted stock units representing the right to receive an issuance of shares of Common Stock which is granted pursuant to the terms and conditions of Section 5(a).</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(bbb)</w:t>
      </w:r>
    </w:p>
    <w:p>
      <w:pPr>
        <w:pStyle w:val="TextBody"/>
        <w:bidi w:val="0"/>
        <w:spacing w:before="0" w:after="240"/>
        <w:jc w:val="both"/>
        <w:rPr/>
      </w:pPr>
      <w:r>
        <w:rPr>
          <w:color w:val="000000"/>
        </w:rPr>
        <w:t>“</w:t>
      </w:r>
      <w:r>
        <w:rPr>
          <w:rFonts w:ascii="Times New Roman" w:hAnsi="Times New Roman"/>
          <w:b/>
          <w:i/>
          <w:color w:val="000000"/>
          <w:sz w:val="22"/>
        </w:rPr>
        <w:t>RSU Award Agreement</w:t>
      </w:r>
      <w:r>
        <w:rPr>
          <w:rFonts w:ascii="Times New Roman" w:hAnsi="Times New Roman"/>
          <w:color w:val="000000"/>
          <w:sz w:val="22"/>
        </w:rPr>
        <w:t>” means a written agreement between the Company and a holder of a RSU Award evidencing the terms and conditions of a RSU Award. The RSU Award Agreement includes the Grant Notice for the RSU Award and the agreement containing the written summary of the general terms and conditions applicable to the RSU Award and which is provided to a Participant along with the Grant Notice. Each RSU Award Agreement will be subject to the terms and conditions of the Plan.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(ccc)</w:t>
      </w:r>
    </w:p>
    <w:p>
      <w:pPr>
        <w:pStyle w:val="TextBody"/>
        <w:bidi w:val="0"/>
        <w:spacing w:before="0" w:after="240"/>
        <w:jc w:val="both"/>
        <w:rPr/>
      </w:pPr>
      <w:r>
        <w:rPr>
          <w:color w:val="000000"/>
        </w:rPr>
        <w:t>“</w:t>
      </w:r>
      <w:r>
        <w:rPr>
          <w:rFonts w:ascii="Times New Roman" w:hAnsi="Times New Roman"/>
          <w:b/>
          <w:i/>
          <w:color w:val="000000"/>
          <w:sz w:val="22"/>
        </w:rPr>
        <w:t>Rule 16b-3</w:t>
      </w:r>
      <w:r>
        <w:rPr>
          <w:rFonts w:ascii="Times New Roman" w:hAnsi="Times New Roman"/>
          <w:color w:val="000000"/>
          <w:sz w:val="22"/>
        </w:rPr>
        <w:t>” means Rule 16b-3 promulgated under the Exchange Act or any successor to Rule 16b-3, as in effect from time to time.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(ddd)</w:t>
      </w:r>
    </w:p>
    <w:p>
      <w:pPr>
        <w:pStyle w:val="TextBody"/>
        <w:bidi w:val="0"/>
        <w:spacing w:before="0" w:after="240"/>
        <w:jc w:val="both"/>
        <w:rPr/>
      </w:pPr>
      <w:r>
        <w:rPr>
          <w:color w:val="000000"/>
        </w:rPr>
        <w:t>“</w:t>
      </w:r>
      <w:r>
        <w:rPr>
          <w:rFonts w:ascii="Times New Roman" w:hAnsi="Times New Roman"/>
          <w:b/>
          <w:i/>
          <w:color w:val="000000"/>
          <w:sz w:val="22"/>
        </w:rPr>
        <w:t>Rule 405</w:t>
      </w:r>
      <w:r>
        <w:rPr>
          <w:rFonts w:ascii="Times New Roman" w:hAnsi="Times New Roman"/>
          <w:color w:val="000000"/>
          <w:sz w:val="22"/>
        </w:rPr>
        <w:t>” means Rule 405 promulgated under the Securities Act.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(eee)</w:t>
      </w:r>
    </w:p>
    <w:p>
      <w:pPr>
        <w:pStyle w:val="TextBody"/>
        <w:bidi w:val="0"/>
        <w:spacing w:before="0" w:after="240"/>
        <w:jc w:val="both"/>
        <w:rPr/>
      </w:pPr>
      <w:r>
        <w:rPr>
          <w:color w:val="000000"/>
        </w:rPr>
        <w:t>“</w:t>
      </w:r>
      <w:r>
        <w:rPr>
          <w:rFonts w:ascii="Times New Roman" w:hAnsi="Times New Roman"/>
          <w:b/>
          <w:i/>
          <w:color w:val="000000"/>
          <w:sz w:val="22"/>
        </w:rPr>
        <w:t>SAR Agreement</w:t>
      </w:r>
      <w:r>
        <w:rPr>
          <w:rFonts w:ascii="Times New Roman" w:hAnsi="Times New Roman"/>
          <w:color w:val="000000"/>
          <w:sz w:val="22"/>
        </w:rPr>
        <w:t>” means a written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to a Participant along with the Grant Notice. Each SAR Agreement will be subject to the terms and conditions of the Plan.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(fff)</w:t>
      </w:r>
    </w:p>
    <w:p>
      <w:pPr>
        <w:pStyle w:val="TextBody"/>
        <w:bidi w:val="0"/>
        <w:spacing w:before="0" w:after="240"/>
        <w:jc w:val="both"/>
        <w:rPr/>
      </w:pPr>
      <w:r>
        <w:rPr>
          <w:color w:val="000000"/>
        </w:rPr>
        <w:t>“</w:t>
      </w:r>
      <w:r>
        <w:rPr>
          <w:rFonts w:ascii="Times New Roman" w:hAnsi="Times New Roman"/>
          <w:b/>
          <w:i/>
          <w:color w:val="000000"/>
          <w:sz w:val="22"/>
        </w:rPr>
        <w:t>Section 409A</w:t>
      </w:r>
      <w:r>
        <w:rPr>
          <w:rFonts w:ascii="Times New Roman" w:hAnsi="Times New Roman"/>
          <w:color w:val="000000"/>
          <w:sz w:val="22"/>
        </w:rPr>
        <w:t>” means Section 409A of the Code and the regulations and other guidance thereunder.</w:t>
      </w:r>
    </w:p>
    <w:p>
      <w:pPr>
        <w:pStyle w:val="TextBody"/>
        <w:bidi w:val="0"/>
        <w:jc w:val="center"/>
        <w:rPr>
          <w:rFonts w:ascii="Times New Roman" w:hAnsi="Times New Roman"/>
          <w:color w:val="000000"/>
          <w:sz w:val="22"/>
        </w:rPr>
      </w:pPr>
      <w:r>
        <w:rPr>
          <w:rFonts w:ascii="Times New Roman" w:hAnsi="Times New Roman"/>
          <w:color w:val="000000"/>
          <w:sz w:val="22"/>
        </w:rPr>
        <w:t>25</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(ggg)</w:t>
      </w:r>
    </w:p>
    <w:p>
      <w:pPr>
        <w:pStyle w:val="TextBody"/>
        <w:bidi w:val="0"/>
        <w:spacing w:before="0" w:after="240"/>
        <w:jc w:val="both"/>
        <w:rPr/>
      </w:pPr>
      <w:r>
        <w:rPr>
          <w:color w:val="000000"/>
        </w:rPr>
        <w:t>“</w:t>
      </w:r>
      <w:r>
        <w:rPr>
          <w:rFonts w:ascii="Times New Roman" w:hAnsi="Times New Roman"/>
          <w:b/>
          <w:i/>
          <w:color w:val="000000"/>
          <w:sz w:val="22"/>
        </w:rPr>
        <w:t>Section 409A Change in Control</w:t>
      </w:r>
      <w:r>
        <w:rPr>
          <w:rFonts w:ascii="Times New Roman" w:hAnsi="Times New Roman"/>
          <w:color w:val="000000"/>
          <w:sz w:val="22"/>
        </w:rPr>
        <w:t>” means a change in the ownership or effective control of the Company, or in the ownership of a substantial portion of the Company’s assets, as provided in Section 409A(a)(2)(A)(v) of the Code and Treasury Regulations Section 1.409A-3(i)(5) (without regard to any alternative definition thereunder).</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(hhh)</w:t>
      </w:r>
    </w:p>
    <w:p>
      <w:pPr>
        <w:pStyle w:val="TextBody"/>
        <w:bidi w:val="0"/>
        <w:spacing w:before="0" w:after="240"/>
        <w:jc w:val="both"/>
        <w:rPr/>
      </w:pPr>
      <w:r>
        <w:rPr>
          <w:color w:val="000000"/>
        </w:rPr>
        <w:t>“</w:t>
      </w:r>
      <w:r>
        <w:rPr>
          <w:rFonts w:ascii="Times New Roman" w:hAnsi="Times New Roman"/>
          <w:b/>
          <w:i/>
          <w:color w:val="000000"/>
          <w:sz w:val="22"/>
        </w:rPr>
        <w:t>Securities Act</w:t>
      </w:r>
      <w:r>
        <w:rPr>
          <w:rFonts w:ascii="Times New Roman" w:hAnsi="Times New Roman"/>
          <w:color w:val="000000"/>
          <w:sz w:val="22"/>
        </w:rPr>
        <w:t>” means the U.S. Securities Act of 1933, as amended.</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(iii)</w:t>
      </w:r>
    </w:p>
    <w:p>
      <w:pPr>
        <w:pStyle w:val="TextBody"/>
        <w:bidi w:val="0"/>
        <w:spacing w:before="0" w:after="240"/>
        <w:jc w:val="both"/>
        <w:rPr/>
      </w:pPr>
      <w:r>
        <w:rPr>
          <w:color w:val="000000"/>
        </w:rPr>
        <w:t>“</w:t>
      </w:r>
      <w:r>
        <w:rPr>
          <w:rFonts w:ascii="Times New Roman" w:hAnsi="Times New Roman"/>
          <w:b/>
          <w:i/>
          <w:color w:val="000000"/>
          <w:sz w:val="22"/>
        </w:rPr>
        <w:t>Share Reserve</w:t>
      </w:r>
      <w:r>
        <w:rPr>
          <w:rFonts w:ascii="Times New Roman" w:hAnsi="Times New Roman"/>
          <w:color w:val="000000"/>
          <w:sz w:val="22"/>
        </w:rPr>
        <w:t>” means the number of shares available for issuance under the Plan as set forth in Section 2(a).</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(jjj)</w:t>
      </w:r>
    </w:p>
    <w:p>
      <w:pPr>
        <w:pStyle w:val="TextBody"/>
        <w:bidi w:val="0"/>
        <w:spacing w:before="0" w:after="240"/>
        <w:jc w:val="both"/>
        <w:rPr/>
      </w:pPr>
      <w:r>
        <w:rPr>
          <w:color w:val="000000"/>
        </w:rPr>
        <w:t>“</w:t>
      </w:r>
      <w:r>
        <w:rPr>
          <w:rFonts w:ascii="Times New Roman" w:hAnsi="Times New Roman"/>
          <w:b/>
          <w:i/>
          <w:color w:val="000000"/>
          <w:sz w:val="22"/>
        </w:rPr>
        <w:t>Stock Appreciation Right</w:t>
      </w:r>
      <w:r>
        <w:rPr>
          <w:rFonts w:ascii="Times New Roman" w:hAnsi="Times New Roman"/>
          <w:color w:val="000000"/>
          <w:sz w:val="22"/>
        </w:rPr>
        <w:t>” or “</w:t>
      </w:r>
      <w:r>
        <w:rPr>
          <w:rFonts w:ascii="Times New Roman" w:hAnsi="Times New Roman"/>
          <w:b/>
          <w:i/>
          <w:color w:val="000000"/>
          <w:sz w:val="22"/>
        </w:rPr>
        <w:t>SAR</w:t>
      </w:r>
      <w:r>
        <w:rPr>
          <w:rFonts w:ascii="Times New Roman" w:hAnsi="Times New Roman"/>
          <w:color w:val="000000"/>
          <w:sz w:val="22"/>
        </w:rPr>
        <w:t>” means a right to receive the appreciation on Common Stock that is granted pursuant to the terms and conditions of Section 4.</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(kkk)</w:t>
      </w:r>
    </w:p>
    <w:p>
      <w:pPr>
        <w:pStyle w:val="TextBody"/>
        <w:bidi w:val="0"/>
        <w:spacing w:before="0" w:after="240"/>
        <w:jc w:val="both"/>
        <w:rPr/>
      </w:pPr>
      <w:r>
        <w:rPr>
          <w:color w:val="000000"/>
        </w:rPr>
        <w:t>“</w:t>
      </w:r>
      <w:r>
        <w:rPr>
          <w:rFonts w:ascii="Times New Roman" w:hAnsi="Times New Roman"/>
          <w:b/>
          <w:i/>
          <w:color w:val="000000"/>
          <w:sz w:val="22"/>
        </w:rPr>
        <w:t>Subsidiary</w:t>
      </w:r>
      <w:r>
        <w:rPr>
          <w:rFonts w:ascii="Times New Roman" w:hAnsi="Times New Roman"/>
          <w:color w:val="000000"/>
          <w:sz w:val="22"/>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(lll)</w:t>
      </w:r>
    </w:p>
    <w:p>
      <w:pPr>
        <w:pStyle w:val="TextBody"/>
        <w:bidi w:val="0"/>
        <w:spacing w:before="0" w:after="240"/>
        <w:jc w:val="both"/>
        <w:rPr/>
      </w:pPr>
      <w:r>
        <w:rPr>
          <w:color w:val="000000"/>
        </w:rPr>
        <w:t>“</w:t>
      </w:r>
      <w:r>
        <w:rPr>
          <w:rFonts w:ascii="Times New Roman" w:hAnsi="Times New Roman"/>
          <w:b/>
          <w:i/>
          <w:color w:val="000000"/>
          <w:sz w:val="22"/>
        </w:rPr>
        <w:t>Trading Policy</w:t>
      </w:r>
      <w:r>
        <w:rPr>
          <w:rFonts w:ascii="Times New Roman" w:hAnsi="Times New Roman"/>
          <w:color w:val="000000"/>
          <w:sz w:val="22"/>
        </w:rPr>
        <w:t>” means the Company’s policy permitting certain individuals to sell Company shares only during certain "window" periods and/or otherwise restricts the ability of certain individuals to transfer or encumber Company shares, as in effect from time to time.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(mmm)</w:t>
      </w:r>
    </w:p>
    <w:p>
      <w:pPr>
        <w:pStyle w:val="TextBody"/>
        <w:bidi w:val="0"/>
        <w:spacing w:before="0" w:after="240"/>
        <w:jc w:val="both"/>
        <w:rPr/>
      </w:pPr>
      <w:r>
        <w:rPr>
          <w:color w:val="000000"/>
        </w:rPr>
        <w:t>“</w:t>
      </w:r>
      <w:r>
        <w:rPr>
          <w:rFonts w:ascii="Times New Roman" w:hAnsi="Times New Roman"/>
          <w:b/>
          <w:i/>
          <w:color w:val="000000"/>
          <w:sz w:val="22"/>
        </w:rPr>
        <w:t>Unvested Non-Exempt Award</w:t>
      </w:r>
      <w:r>
        <w:rPr>
          <w:rFonts w:ascii="Times New Roman" w:hAnsi="Times New Roman"/>
          <w:color w:val="000000"/>
          <w:sz w:val="22"/>
        </w:rPr>
        <w:t>” means the portion of any Non-Exempt Award that had not vested in accordance with its terms upon or prior to the date of any Corporate Transaction.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(nnn)</w:t>
      </w:r>
    </w:p>
    <w:p>
      <w:pPr>
        <w:pStyle w:val="TextBody"/>
        <w:bidi w:val="0"/>
        <w:spacing w:before="0" w:after="240"/>
        <w:jc w:val="both"/>
        <w:rPr/>
      </w:pPr>
      <w:r>
        <w:rPr>
          <w:color w:val="000000"/>
        </w:rPr>
        <w:t>“</w:t>
      </w:r>
      <w:r>
        <w:rPr>
          <w:rFonts w:ascii="Times New Roman" w:hAnsi="Times New Roman"/>
          <w:b/>
          <w:i/>
          <w:color w:val="000000"/>
          <w:sz w:val="22"/>
        </w:rPr>
        <w:t>Vested Non-Exempt Award</w:t>
      </w:r>
      <w:r>
        <w:rPr>
          <w:rFonts w:ascii="Times New Roman" w:hAnsi="Times New Roman"/>
          <w:color w:val="000000"/>
          <w:sz w:val="22"/>
        </w:rPr>
        <w:t>” means the portion of any Non-Exempt Award that had vested in accordance with its terms upon or prior to the date of a Corporate Transaction.</w:t>
      </w:r>
    </w:p>
    <w:p>
      <w:pPr>
        <w:pStyle w:val="TextBody"/>
        <w:bidi w:val="0"/>
        <w:jc w:val="center"/>
        <w:rPr>
          <w:rFonts w:ascii="Times New Roman" w:hAnsi="Times New Roman"/>
          <w:color w:val="000000"/>
          <w:sz w:val="22"/>
        </w:rPr>
      </w:pPr>
      <w:r>
        <w:rPr>
          <w:rFonts w:ascii="Times New Roman" w:hAnsi="Times New Roman"/>
          <w:color w:val="000000"/>
          <w:sz w:val="22"/>
        </w:rPr>
        <w:t>26</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120" w:after="283"/>
        <w:jc w:val="right"/>
        <w:rPr>
          <w:rFonts w:ascii="Arial" w:hAnsi="Arial"/>
          <w:b/>
          <w:color w:val="000000"/>
          <w:sz w:val="20"/>
        </w:rPr>
      </w:pPr>
      <w:bookmarkStart w:id="9" w:name="antx_exfilingfees.htm"/>
      <w:bookmarkStart w:id="10" w:name="ksantx_exfilingfees"/>
      <w:bookmarkEnd w:id="9"/>
      <w:bookmarkEnd w:id="10"/>
      <w:r>
        <w:rPr>
          <w:rFonts w:ascii="Arial" w:hAnsi="Arial"/>
          <w:b/>
          <w:color w:val="000000"/>
          <w:sz w:val="20"/>
        </w:rPr>
        <w:t>Exhibit 107.1</w:t>
      </w:r>
      <w:r>
        <w:br w:type="page"/>
      </w:r>
    </w:p>
    <w:p>
      <w:pPr>
        <w:pStyle w:val="TextBody"/>
        <w:bidi w:val="0"/>
        <w:spacing w:before="240" w:after="283"/>
        <w:jc w:val="center"/>
        <w:rPr>
          <w:rFonts w:ascii="Arial" w:hAnsi="Arial"/>
          <w:b/>
          <w:color w:val="000000"/>
          <w:sz w:val="20"/>
        </w:rPr>
      </w:pPr>
      <w:r>
        <w:rPr>
          <w:rFonts w:ascii="Arial" w:hAnsi="Arial"/>
          <w:b/>
          <w:color w:val="000000"/>
          <w:sz w:val="20"/>
        </w:rPr>
        <w:t>CALCULATION OF FILING FEE TABLE</w:t>
      </w:r>
    </w:p>
    <w:p>
      <w:pPr>
        <w:pStyle w:val="TextBody"/>
        <w:bidi w:val="0"/>
        <w:spacing w:before="240" w:after="283"/>
        <w:jc w:val="center"/>
        <w:rPr>
          <w:rFonts w:ascii="Arial" w:hAnsi="Arial"/>
          <w:b/>
          <w:color w:val="000000"/>
          <w:sz w:val="20"/>
        </w:rPr>
      </w:pPr>
      <w:r>
        <w:rPr>
          <w:rFonts w:ascii="Arial" w:hAnsi="Arial"/>
          <w:b/>
          <w:color w:val="000000"/>
          <w:sz w:val="20"/>
        </w:rPr>
        <w:t>Form S-8</w:t>
      </w:r>
    </w:p>
    <w:p>
      <w:pPr>
        <w:pStyle w:val="TextBody"/>
        <w:bidi w:val="0"/>
        <w:spacing w:before="240" w:after="283"/>
        <w:jc w:val="center"/>
        <w:rPr>
          <w:rFonts w:ascii="Arial" w:hAnsi="Arial"/>
          <w:b/>
          <w:color w:val="000000"/>
          <w:sz w:val="20"/>
        </w:rPr>
      </w:pPr>
      <w:r>
        <w:rPr>
          <w:rFonts w:ascii="Arial" w:hAnsi="Arial"/>
          <w:b/>
          <w:color w:val="000000"/>
          <w:sz w:val="20"/>
        </w:rPr>
        <w:t>AN2 Therapeutics, Inc.</w:t>
      </w:r>
    </w:p>
    <w:p>
      <w:pPr>
        <w:pStyle w:val="TextBody"/>
        <w:bidi w:val="0"/>
        <w:spacing w:before="240" w:after="283"/>
        <w:jc w:val="center"/>
        <w:rPr>
          <w:rFonts w:ascii="Arial" w:hAnsi="Arial"/>
          <w:b/>
          <w:color w:val="000000"/>
          <w:sz w:val="20"/>
          <w:u w:val="single"/>
        </w:rPr>
      </w:pPr>
      <w:r>
        <w:rPr>
          <w:rFonts w:ascii="Arial" w:hAnsi="Arial"/>
          <w:b/>
          <w:color w:val="000000"/>
          <w:sz w:val="20"/>
          <w:u w:val="single"/>
        </w:rPr>
        <w:t>Table 1: Newly Registered Securities</w:t>
      </w:r>
    </w:p>
    <w:tbl>
      <w:tblPr>
        <w:tblW w:w="10205" w:type="dxa"/>
        <w:jc w:val="left"/>
        <w:tblInd w:w="0" w:type="dxa"/>
        <w:tblLayout w:type="fixed"/>
        <w:tblCellMar>
          <w:top w:w="28" w:type="dxa"/>
          <w:left w:w="28" w:type="dxa"/>
          <w:bottom w:w="28" w:type="dxa"/>
          <w:right w:w="28" w:type="dxa"/>
        </w:tblCellMar>
      </w:tblPr>
      <w:tblGrid>
        <w:gridCol w:w="861"/>
        <w:gridCol w:w="146"/>
        <w:gridCol w:w="1678"/>
        <w:gridCol w:w="146"/>
        <w:gridCol w:w="1092"/>
        <w:gridCol w:w="146"/>
        <w:gridCol w:w="1059"/>
        <w:gridCol w:w="146"/>
        <w:gridCol w:w="946"/>
        <w:gridCol w:w="146"/>
        <w:gridCol w:w="1336"/>
        <w:gridCol w:w="146"/>
        <w:gridCol w:w="1008"/>
        <w:gridCol w:w="146"/>
        <w:gridCol w:w="1203"/>
      </w:tblGrid>
      <w:tr>
        <w:trPr/>
        <w:tc>
          <w:tcPr>
            <w:tcW w:w="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r>
      <w:tr>
        <w:trPr/>
        <w:tc>
          <w:tcPr>
            <w:tcW w:w="8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1" w:type="dxa"/>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1824"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1238"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1205"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1092"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1482"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1154"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1349" w:type="dxa"/>
            <w:gridSpan w:val="2"/>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pPr>
            <w:r>
              <w:rPr/>
              <w:t> </w:t>
            </w:r>
          </w:p>
        </w:tc>
      </w:tr>
      <w:tr>
        <w:trPr/>
        <w:tc>
          <w:tcPr>
            <w:tcW w:w="861" w:type="dxa"/>
            <w:tcBorders>
              <w:left w:val="single" w:sz="6" w:space="0" w:color="000000"/>
            </w:tcBorders>
            <w:tcMar>
              <w:top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Security Type</w:t>
            </w:r>
          </w:p>
        </w:tc>
        <w:tc>
          <w:tcPr>
            <w:tcW w:w="146" w:type="dxa"/>
            <w:tcBorders>
              <w:left w:val="single" w:sz="6" w:space="0" w:color="000000"/>
            </w:tcBorders>
            <w:tcMar>
              <w:top w:w="0" w:type="dxa"/>
              <w:bottom w:w="0" w:type="dxa"/>
              <w:right w:w="0" w:type="dxa"/>
            </w:tcMar>
            <w:vAlign w:val="center"/>
          </w:tcPr>
          <w:p>
            <w:pPr>
              <w:pStyle w:val="TableContents"/>
              <w:bidi w:val="0"/>
              <w:spacing w:before="0" w:after="283"/>
              <w:jc w:val="center"/>
              <w:rPr/>
            </w:pPr>
            <w:r>
              <w:rPr/>
              <w:t> </w:t>
            </w:r>
          </w:p>
        </w:tc>
        <w:tc>
          <w:tcPr>
            <w:tcW w:w="1678" w:type="dxa"/>
            <w:tcBorders/>
            <w:tcMar>
              <w:top w:w="0" w:type="dxa"/>
              <w:left w:w="0" w:type="dxa"/>
              <w:bottom w:w="0" w:type="dxa"/>
              <w:right w:w="0" w:type="dxa"/>
            </w:tcMar>
            <w:vAlign w:val="center"/>
          </w:tcPr>
          <w:p>
            <w:pPr>
              <w:pStyle w:val="TableContents"/>
              <w:bidi w:val="0"/>
              <w:jc w:val="center"/>
              <w:rPr>
                <w:rFonts w:ascii="Arial" w:hAnsi="Arial"/>
                <w:b/>
                <w:color w:val="000000"/>
                <w:sz w:val="18"/>
              </w:rPr>
            </w:pPr>
            <w:r>
              <w:rPr>
                <w:rFonts w:ascii="Arial" w:hAnsi="Arial"/>
                <w:b/>
                <w:color w:val="000000"/>
                <w:sz w:val="18"/>
              </w:rPr>
              <w:t>Security</w:t>
            </w:r>
          </w:p>
          <w:p>
            <w:pPr>
              <w:pStyle w:val="TableContents"/>
              <w:bidi w:val="0"/>
              <w:spacing w:before="0" w:after="283"/>
              <w:jc w:val="center"/>
              <w:rPr>
                <w:rFonts w:ascii="Arial" w:hAnsi="Arial"/>
                <w:b/>
                <w:color w:val="000000"/>
                <w:sz w:val="18"/>
              </w:rPr>
            </w:pPr>
            <w:r>
              <w:rPr>
                <w:rFonts w:ascii="Arial" w:hAnsi="Arial"/>
                <w:b/>
                <w:color w:val="000000"/>
                <w:sz w:val="18"/>
              </w:rPr>
              <w:t>Title</w:t>
            </w:r>
          </w:p>
        </w:tc>
        <w:tc>
          <w:tcPr>
            <w:tcW w:w="146" w:type="dxa"/>
            <w:tcBorders>
              <w:left w:val="single" w:sz="6" w:space="0" w:color="000000"/>
            </w:tcBorders>
            <w:tcMar>
              <w:top w:w="0" w:type="dxa"/>
              <w:bottom w:w="0" w:type="dxa"/>
              <w:right w:w="0" w:type="dxa"/>
            </w:tcMar>
            <w:vAlign w:val="center"/>
          </w:tcPr>
          <w:p>
            <w:pPr>
              <w:pStyle w:val="TableContents"/>
              <w:bidi w:val="0"/>
              <w:spacing w:before="0" w:after="283"/>
              <w:jc w:val="center"/>
              <w:rPr/>
            </w:pPr>
            <w:r>
              <w:rPr/>
              <w:t> </w:t>
            </w:r>
          </w:p>
        </w:tc>
        <w:tc>
          <w:tcPr>
            <w:tcW w:w="1092"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Fee</w:t>
              <w:br/>
              <w:t>Calculation</w:t>
              <w:br/>
              <w:t>Rule</w:t>
            </w:r>
          </w:p>
        </w:tc>
        <w:tc>
          <w:tcPr>
            <w:tcW w:w="146" w:type="dxa"/>
            <w:tcBorders>
              <w:left w:val="single" w:sz="6" w:space="0" w:color="000000"/>
            </w:tcBorders>
            <w:tcMar>
              <w:top w:w="0" w:type="dxa"/>
              <w:bottom w:w="0" w:type="dxa"/>
              <w:right w:w="0" w:type="dxa"/>
            </w:tcMar>
            <w:vAlign w:val="center"/>
          </w:tcPr>
          <w:p>
            <w:pPr>
              <w:pStyle w:val="TableContents"/>
              <w:bidi w:val="0"/>
              <w:spacing w:before="0" w:after="283"/>
              <w:jc w:val="center"/>
              <w:rPr/>
            </w:pPr>
            <w:r>
              <w:rPr/>
              <w:t> </w:t>
            </w:r>
          </w:p>
        </w:tc>
        <w:tc>
          <w:tcPr>
            <w:tcW w:w="1059" w:type="dxa"/>
            <w:tcBorders/>
            <w:tcMar>
              <w:top w:w="0" w:type="dxa"/>
              <w:left w:w="0" w:type="dxa"/>
              <w:bottom w:w="0" w:type="dxa"/>
              <w:right w:w="0" w:type="dxa"/>
            </w:tcMar>
            <w:vAlign w:val="center"/>
          </w:tcPr>
          <w:p>
            <w:pPr>
              <w:pStyle w:val="TableContents"/>
              <w:bidi w:val="0"/>
              <w:spacing w:lineRule="auto" w:line="360" w:before="0" w:after="283"/>
              <w:jc w:val="center"/>
              <w:rPr>
                <w:rFonts w:ascii="Arial" w:hAnsi="Arial"/>
                <w:sz w:val="18"/>
              </w:rPr>
            </w:pPr>
            <w:r>
              <w:rPr>
                <w:rFonts w:ascii="Arial" w:hAnsi="Arial"/>
                <w:b/>
                <w:color w:val="000000"/>
                <w:sz w:val="18"/>
              </w:rPr>
              <w:t>Amount to be</w:t>
              <w:br/>
              <w:t xml:space="preserve">Registered </w:t>
            </w:r>
            <w:r>
              <w:rPr>
                <w:rFonts w:ascii="Arial" w:hAnsi="Arial"/>
                <w:b/>
                <w:color w:val="000000"/>
                <w:sz w:val="12"/>
              </w:rPr>
              <w:t>(1)</w:t>
            </w:r>
          </w:p>
        </w:tc>
        <w:tc>
          <w:tcPr>
            <w:tcW w:w="146" w:type="dxa"/>
            <w:tcBorders>
              <w:left w:val="single" w:sz="6" w:space="0" w:color="000000"/>
            </w:tcBorders>
            <w:tcMar>
              <w:top w:w="0" w:type="dxa"/>
              <w:bottom w:w="0" w:type="dxa"/>
              <w:right w:w="0" w:type="dxa"/>
            </w:tcMar>
            <w:vAlign w:val="center"/>
          </w:tcPr>
          <w:p>
            <w:pPr>
              <w:pStyle w:val="TableContents"/>
              <w:bidi w:val="0"/>
              <w:spacing w:before="0" w:after="283"/>
              <w:jc w:val="center"/>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Proposed</w:t>
              <w:br/>
              <w:t>Maximum</w:t>
              <w:br/>
              <w:t>Offering</w:t>
              <w:br/>
              <w:t>Price Per</w:t>
              <w:br/>
              <w:t>Share</w:t>
            </w:r>
          </w:p>
        </w:tc>
        <w:tc>
          <w:tcPr>
            <w:tcW w:w="146" w:type="dxa"/>
            <w:tcBorders>
              <w:left w:val="single" w:sz="6" w:space="0" w:color="000000"/>
            </w:tcBorders>
            <w:tcMar>
              <w:top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Proposed</w:t>
              <w:br/>
              <w:t>Maximum</w:t>
              <w:br/>
              <w:t>Aggregate</w:t>
              <w:br/>
              <w:t>Offering</w:t>
              <w:br/>
              <w:t>Price</w:t>
            </w:r>
          </w:p>
        </w:tc>
        <w:tc>
          <w:tcPr>
            <w:tcW w:w="146" w:type="dxa"/>
            <w:tcBorders>
              <w:left w:val="single" w:sz="6" w:space="0" w:color="000000"/>
            </w:tcBorders>
            <w:tcMar>
              <w:top w:w="0" w:type="dxa"/>
              <w:bottom w:w="0" w:type="dxa"/>
              <w:right w:w="0" w:type="dxa"/>
            </w:tcMar>
            <w:vAlign w:val="center"/>
          </w:tcPr>
          <w:p>
            <w:pPr>
              <w:pStyle w:val="TableContents"/>
              <w:bidi w:val="0"/>
              <w:spacing w:before="0" w:after="283"/>
              <w:jc w:val="center"/>
              <w:rPr/>
            </w:pPr>
            <w:r>
              <w:rPr/>
              <w:t> </w:t>
            </w:r>
          </w:p>
        </w:tc>
        <w:tc>
          <w:tcPr>
            <w:tcW w:w="1008"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Fee</w:t>
              <w:br/>
              <w:t>Rate</w:t>
            </w:r>
          </w:p>
        </w:tc>
        <w:tc>
          <w:tcPr>
            <w:tcW w:w="146" w:type="dxa"/>
            <w:tcBorders>
              <w:left w:val="single" w:sz="6" w:space="0" w:color="000000"/>
            </w:tcBorders>
            <w:tcMar>
              <w:top w:w="0" w:type="dxa"/>
              <w:bottom w:w="0" w:type="dxa"/>
              <w:right w:w="0" w:type="dxa"/>
            </w:tcMar>
            <w:vAlign w:val="center"/>
          </w:tcPr>
          <w:p>
            <w:pPr>
              <w:pStyle w:val="TableContents"/>
              <w:bidi w:val="0"/>
              <w:spacing w:before="0" w:after="283"/>
              <w:jc w:val="center"/>
              <w:rPr/>
            </w:pPr>
            <w:r>
              <w:rPr/>
              <w:t> </w:t>
            </w:r>
          </w:p>
        </w:tc>
        <w:tc>
          <w:tcPr>
            <w:tcW w:w="1203" w:type="dxa"/>
            <w:tcBorders>
              <w:right w:val="single" w:sz="6" w:space="0" w:color="000000"/>
            </w:tcBorders>
            <w:tcMar>
              <w:top w:w="0" w:type="dxa"/>
              <w:left w:w="0" w:type="dxa"/>
              <w:bottom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Amount of</w:t>
              <w:br/>
              <w:t>Registration</w:t>
              <w:br/>
              <w:t>Fee</w:t>
            </w:r>
          </w:p>
        </w:tc>
      </w:tr>
      <w:tr>
        <w:trPr/>
        <w:tc>
          <w:tcPr>
            <w:tcW w:w="861" w:type="dxa"/>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1824"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1238"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1205"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1092"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1482"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1154"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pPr>
            <w:r>
              <w:rPr/>
              <w:t> </w:t>
            </w:r>
          </w:p>
        </w:tc>
        <w:tc>
          <w:tcPr>
            <w:tcW w:w="1349" w:type="dxa"/>
            <w:gridSpan w:val="2"/>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pPr>
            <w:r>
              <w:rPr/>
              <w:t> </w:t>
            </w:r>
          </w:p>
        </w:tc>
      </w:tr>
      <w:tr>
        <w:trPr/>
        <w:tc>
          <w:tcPr>
            <w:tcW w:w="861" w:type="dxa"/>
            <w:tcBorders>
              <w:left w:val="single" w:sz="6" w:space="0" w:color="000000"/>
            </w:tcBorders>
            <w:tcMar>
              <w:top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Equity</w:t>
            </w:r>
          </w:p>
        </w:tc>
        <w:tc>
          <w:tcPr>
            <w:tcW w:w="146" w:type="dxa"/>
            <w:tcBorders>
              <w:left w:val="single" w:sz="6" w:space="0" w:color="000000"/>
            </w:tcBorders>
            <w:tcMar>
              <w:top w:w="0" w:type="dxa"/>
              <w:bottom w:w="0" w:type="dxa"/>
              <w:right w:w="0" w:type="dxa"/>
            </w:tcMar>
            <w:vAlign w:val="center"/>
          </w:tcPr>
          <w:p>
            <w:pPr>
              <w:pStyle w:val="TableContents"/>
              <w:bidi w:val="0"/>
              <w:spacing w:before="0" w:after="283"/>
              <w:jc w:val="center"/>
              <w:rPr/>
            </w:pPr>
            <w:r>
              <w:rPr/>
              <w:t> </w:t>
            </w:r>
          </w:p>
        </w:tc>
        <w:tc>
          <w:tcPr>
            <w:tcW w:w="1678"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Common Stock, $0.00001 par value per share, reserved for issuance pursuant to the Registrant's 2026 Employment Inducement Award Plan</w:t>
            </w:r>
          </w:p>
        </w:tc>
        <w:tc>
          <w:tcPr>
            <w:tcW w:w="146" w:type="dxa"/>
            <w:tcBorders>
              <w:left w:val="single" w:sz="6" w:space="0" w:color="000000"/>
            </w:tcBorders>
            <w:tcMar>
              <w:top w:w="0" w:type="dxa"/>
              <w:bottom w:w="0" w:type="dxa"/>
              <w:right w:w="0" w:type="dxa"/>
            </w:tcMar>
            <w:vAlign w:val="center"/>
          </w:tcPr>
          <w:p>
            <w:pPr>
              <w:pStyle w:val="TableContents"/>
              <w:bidi w:val="0"/>
              <w:spacing w:before="0" w:after="283"/>
              <w:jc w:val="center"/>
              <w:rPr/>
            </w:pPr>
            <w:r>
              <w:rPr/>
              <w:t> </w:t>
            </w:r>
          </w:p>
        </w:tc>
        <w:tc>
          <w:tcPr>
            <w:tcW w:w="109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 xml:space="preserve">457(c) and 457(h) </w:t>
            </w:r>
          </w:p>
        </w:tc>
        <w:tc>
          <w:tcPr>
            <w:tcW w:w="146" w:type="dxa"/>
            <w:tcBorders>
              <w:left w:val="single" w:sz="6" w:space="0" w:color="000000"/>
            </w:tcBorders>
            <w:tcMar>
              <w:top w:w="0" w:type="dxa"/>
              <w:bottom w:w="0" w:type="dxa"/>
              <w:right w:w="0" w:type="dxa"/>
            </w:tcMar>
            <w:vAlign w:val="center"/>
          </w:tcPr>
          <w:p>
            <w:pPr>
              <w:pStyle w:val="TableContents"/>
              <w:bidi w:val="0"/>
              <w:spacing w:before="0" w:after="283"/>
              <w:jc w:val="center"/>
              <w:rPr/>
            </w:pPr>
            <w:r>
              <w:rPr/>
              <w:t> </w:t>
            </w:r>
          </w:p>
        </w:tc>
        <w:tc>
          <w:tcPr>
            <w:tcW w:w="105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1,250,000</w:t>
            </w:r>
          </w:p>
        </w:tc>
        <w:tc>
          <w:tcPr>
            <w:tcW w:w="146" w:type="dxa"/>
            <w:tcBorders>
              <w:left w:val="single" w:sz="6" w:space="0" w:color="000000"/>
            </w:tcBorders>
            <w:tcMar>
              <w:top w:w="0" w:type="dxa"/>
              <w:bottom w:w="0" w:type="dxa"/>
              <w:right w:w="0" w:type="dxa"/>
            </w:tcMar>
            <w:vAlign w:val="center"/>
          </w:tcPr>
          <w:p>
            <w:pPr>
              <w:pStyle w:val="TableContents"/>
              <w:bidi w:val="0"/>
              <w:spacing w:before="0" w:after="283"/>
              <w:jc w:val="center"/>
              <w:rPr/>
            </w:pPr>
            <w:r>
              <w:rPr/>
              <w:t> </w:t>
            </w:r>
          </w:p>
        </w:tc>
        <w:tc>
          <w:tcPr>
            <w:tcW w:w="946" w:type="dxa"/>
            <w:tcBorders/>
            <w:tcMar>
              <w:top w:w="0" w:type="dxa"/>
              <w:left w:w="0" w:type="dxa"/>
              <w:bottom w:w="0" w:type="dxa"/>
              <w:right w:w="0" w:type="dxa"/>
            </w:tcMar>
            <w:vAlign w:val="center"/>
          </w:tcPr>
          <w:p>
            <w:pPr>
              <w:pStyle w:val="TableContents"/>
              <w:bidi w:val="0"/>
              <w:spacing w:lineRule="auto" w:line="360" w:before="0" w:after="283"/>
              <w:jc w:val="center"/>
              <w:rPr>
                <w:rFonts w:ascii="Arial" w:hAnsi="Arial"/>
                <w:sz w:val="20"/>
              </w:rPr>
            </w:pPr>
            <w:r>
              <w:rPr>
                <w:rFonts w:ascii="Arial" w:hAnsi="Arial"/>
                <w:color w:val="000000"/>
                <w:sz w:val="20"/>
              </w:rPr>
              <w:t>$5.59</w:t>
            </w:r>
            <w:r>
              <w:rPr>
                <w:rFonts w:ascii="Arial" w:hAnsi="Arial"/>
                <w:color w:val="000000"/>
                <w:sz w:val="13"/>
              </w:rPr>
              <w:t>(2)</w:t>
            </w:r>
          </w:p>
        </w:tc>
        <w:tc>
          <w:tcPr>
            <w:tcW w:w="146" w:type="dxa"/>
            <w:tcBorders>
              <w:left w:val="single" w:sz="6" w:space="0" w:color="000000"/>
            </w:tcBorders>
            <w:tcMar>
              <w:top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$6,987,500.00</w:t>
            </w:r>
          </w:p>
        </w:tc>
        <w:tc>
          <w:tcPr>
            <w:tcW w:w="146" w:type="dxa"/>
            <w:tcBorders>
              <w:left w:val="single" w:sz="6" w:space="0" w:color="000000"/>
            </w:tcBorders>
            <w:tcMar>
              <w:top w:w="0" w:type="dxa"/>
              <w:bottom w:w="0" w:type="dxa"/>
              <w:right w:w="0" w:type="dxa"/>
            </w:tcMar>
            <w:vAlign w:val="center"/>
          </w:tcPr>
          <w:p>
            <w:pPr>
              <w:pStyle w:val="TableContents"/>
              <w:bidi w:val="0"/>
              <w:spacing w:before="0" w:after="283"/>
              <w:jc w:val="center"/>
              <w:rPr/>
            </w:pPr>
            <w:r>
              <w:rPr/>
              <w:t> </w:t>
            </w:r>
          </w:p>
        </w:tc>
        <w:tc>
          <w:tcPr>
            <w:tcW w:w="1008"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 xml:space="preserve">0.0001381 </w:t>
            </w:r>
          </w:p>
        </w:tc>
        <w:tc>
          <w:tcPr>
            <w:tcW w:w="146" w:type="dxa"/>
            <w:tcBorders>
              <w:left w:val="single" w:sz="6" w:space="0" w:color="000000"/>
            </w:tcBorders>
            <w:tcMar>
              <w:top w:w="0" w:type="dxa"/>
              <w:bottom w:w="0" w:type="dxa"/>
              <w:right w:w="0" w:type="dxa"/>
            </w:tcMar>
            <w:vAlign w:val="center"/>
          </w:tcPr>
          <w:p>
            <w:pPr>
              <w:pStyle w:val="TableContents"/>
              <w:bidi w:val="0"/>
              <w:spacing w:before="0" w:after="283"/>
              <w:jc w:val="center"/>
              <w:rPr/>
            </w:pPr>
            <w:r>
              <w:rPr/>
              <w:t> </w:t>
            </w:r>
          </w:p>
        </w:tc>
        <w:tc>
          <w:tcPr>
            <w:tcW w:w="1203" w:type="dxa"/>
            <w:tcBorders>
              <w:right w:val="single" w:sz="6" w:space="0" w:color="000000"/>
            </w:tcBorders>
            <w:tcMar>
              <w:top w:w="0" w:type="dxa"/>
              <w:left w:w="0" w:type="dxa"/>
              <w:bottom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$964.97</w:t>
            </w:r>
          </w:p>
        </w:tc>
      </w:tr>
      <w:tr>
        <w:trPr/>
        <w:tc>
          <w:tcPr>
            <w:tcW w:w="5128" w:type="dxa"/>
            <w:gridSpan w:val="7"/>
            <w:tcBorders>
              <w:top w:val="single" w:sz="6" w:space="0" w:color="000000"/>
              <w:left w:val="single" w:sz="6" w:space="0" w:color="000000"/>
            </w:tcBorders>
            <w:tcMar>
              <w:bottom w:w="0" w:type="dxa"/>
              <w:right w:w="0" w:type="dxa"/>
            </w:tcMar>
            <w:vAlign w:val="center"/>
          </w:tcPr>
          <w:p>
            <w:pPr>
              <w:pStyle w:val="TableContents"/>
              <w:bidi w:val="0"/>
              <w:spacing w:before="0" w:after="283"/>
              <w:jc w:val="center"/>
              <w:rPr/>
            </w:pPr>
            <w:r>
              <w:rPr/>
              <w:t> </w:t>
            </w:r>
          </w:p>
        </w:tc>
        <w:tc>
          <w:tcPr>
            <w:tcW w:w="1092"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283"/>
              <w:jc w:val="center"/>
              <w:rPr/>
            </w:pPr>
            <w:r>
              <w:rPr/>
              <w:t> </w:t>
            </w:r>
          </w:p>
        </w:tc>
        <w:tc>
          <w:tcPr>
            <w:tcW w:w="1482"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283"/>
              <w:jc w:val="center"/>
              <w:rPr/>
            </w:pPr>
            <w:r>
              <w:rPr/>
              <w:t> </w:t>
            </w:r>
          </w:p>
        </w:tc>
        <w:tc>
          <w:tcPr>
            <w:tcW w:w="1154"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283"/>
              <w:jc w:val="center"/>
              <w:rPr/>
            </w:pPr>
            <w:r>
              <w:rPr/>
              <w:t> </w:t>
            </w:r>
          </w:p>
        </w:tc>
        <w:tc>
          <w:tcPr>
            <w:tcW w:w="1349" w:type="dxa"/>
            <w:gridSpan w:val="2"/>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center"/>
              <w:rPr/>
            </w:pPr>
            <w:r>
              <w:rPr/>
              <w:t> </w:t>
            </w:r>
          </w:p>
        </w:tc>
      </w:tr>
      <w:tr>
        <w:trPr/>
        <w:tc>
          <w:tcPr>
            <w:tcW w:w="5128" w:type="dxa"/>
            <w:gridSpan w:val="7"/>
            <w:tcBorders>
              <w:left w:val="single" w:sz="6" w:space="0" w:color="000000"/>
            </w:tcBorders>
            <w:tcMar>
              <w:top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Total Offering Amounts</w:t>
            </w:r>
          </w:p>
        </w:tc>
        <w:tc>
          <w:tcPr>
            <w:tcW w:w="146" w:type="dxa"/>
            <w:tcBorders>
              <w:left w:val="single" w:sz="6" w:space="0" w:color="000000"/>
            </w:tcBorders>
            <w:tcMar>
              <w:top w:w="0" w:type="dxa"/>
              <w:bottom w:w="0" w:type="dxa"/>
              <w:right w:w="0" w:type="dxa"/>
            </w:tcMar>
            <w:vAlign w:val="center"/>
          </w:tcPr>
          <w:p>
            <w:pPr>
              <w:pStyle w:val="TableContents"/>
              <w:bidi w:val="0"/>
              <w:spacing w:before="0" w:after="283"/>
              <w:jc w:val="center"/>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left w:val="single" w:sz="6" w:space="0" w:color="000000"/>
            </w:tcBorders>
            <w:tcMar>
              <w:top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$6,987,500.00</w:t>
            </w:r>
          </w:p>
        </w:tc>
        <w:tc>
          <w:tcPr>
            <w:tcW w:w="146" w:type="dxa"/>
            <w:tcBorders>
              <w:left w:val="single" w:sz="6" w:space="0" w:color="000000"/>
            </w:tcBorders>
            <w:tcMar>
              <w:top w:w="0" w:type="dxa"/>
              <w:bottom w:w="0" w:type="dxa"/>
              <w:right w:w="0" w:type="dxa"/>
            </w:tcMar>
            <w:vAlign w:val="center"/>
          </w:tcPr>
          <w:p>
            <w:pPr>
              <w:pStyle w:val="TableContents"/>
              <w:bidi w:val="0"/>
              <w:spacing w:before="0" w:after="283"/>
              <w:jc w:val="center"/>
              <w:rPr/>
            </w:pPr>
            <w:r>
              <w:rPr/>
              <w:t> </w:t>
            </w:r>
          </w:p>
        </w:tc>
        <w:tc>
          <w:tcPr>
            <w:tcW w:w="100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left w:val="single" w:sz="6" w:space="0" w:color="000000"/>
            </w:tcBorders>
            <w:tcMar>
              <w:top w:w="0" w:type="dxa"/>
              <w:bottom w:w="0" w:type="dxa"/>
              <w:right w:w="0" w:type="dxa"/>
            </w:tcMar>
            <w:vAlign w:val="center"/>
          </w:tcPr>
          <w:p>
            <w:pPr>
              <w:pStyle w:val="TableContents"/>
              <w:bidi w:val="0"/>
              <w:spacing w:before="0" w:after="283"/>
              <w:jc w:val="center"/>
              <w:rPr/>
            </w:pPr>
            <w:r>
              <w:rPr/>
              <w:t> </w:t>
            </w:r>
          </w:p>
        </w:tc>
        <w:tc>
          <w:tcPr>
            <w:tcW w:w="1203" w:type="dxa"/>
            <w:tcBorders>
              <w:right w:val="single" w:sz="6" w:space="0" w:color="000000"/>
            </w:tcBorders>
            <w:tcMar>
              <w:top w:w="0" w:type="dxa"/>
              <w:left w:w="0" w:type="dxa"/>
              <w:bottom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$964.97</w:t>
            </w:r>
          </w:p>
        </w:tc>
      </w:tr>
      <w:tr>
        <w:trPr/>
        <w:tc>
          <w:tcPr>
            <w:tcW w:w="5128" w:type="dxa"/>
            <w:gridSpan w:val="7"/>
            <w:tcBorders>
              <w:top w:val="single" w:sz="6" w:space="0" w:color="000000"/>
              <w:left w:val="single" w:sz="6" w:space="0" w:color="000000"/>
            </w:tcBorders>
            <w:tcMar>
              <w:bottom w:w="0" w:type="dxa"/>
              <w:right w:w="0" w:type="dxa"/>
            </w:tcMar>
            <w:vAlign w:val="center"/>
          </w:tcPr>
          <w:p>
            <w:pPr>
              <w:pStyle w:val="TableContents"/>
              <w:bidi w:val="0"/>
              <w:spacing w:before="0" w:after="283"/>
              <w:jc w:val="center"/>
              <w:rPr/>
            </w:pPr>
            <w:r>
              <w:rPr/>
              <w:t> </w:t>
            </w:r>
          </w:p>
        </w:tc>
        <w:tc>
          <w:tcPr>
            <w:tcW w:w="1092"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283"/>
              <w:jc w:val="center"/>
              <w:rPr/>
            </w:pPr>
            <w:r>
              <w:rPr/>
              <w:t> </w:t>
            </w:r>
          </w:p>
        </w:tc>
        <w:tc>
          <w:tcPr>
            <w:tcW w:w="1482"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283"/>
              <w:jc w:val="center"/>
              <w:rPr/>
            </w:pPr>
            <w:r>
              <w:rPr/>
              <w:t> </w:t>
            </w:r>
          </w:p>
        </w:tc>
        <w:tc>
          <w:tcPr>
            <w:tcW w:w="1154"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283"/>
              <w:jc w:val="center"/>
              <w:rPr/>
            </w:pPr>
            <w:r>
              <w:rPr/>
              <w:t> </w:t>
            </w:r>
          </w:p>
        </w:tc>
        <w:tc>
          <w:tcPr>
            <w:tcW w:w="1349" w:type="dxa"/>
            <w:gridSpan w:val="2"/>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center"/>
              <w:rPr/>
            </w:pPr>
            <w:r>
              <w:rPr/>
              <w:t> </w:t>
            </w:r>
          </w:p>
        </w:tc>
      </w:tr>
      <w:tr>
        <w:trPr/>
        <w:tc>
          <w:tcPr>
            <w:tcW w:w="5128" w:type="dxa"/>
            <w:gridSpan w:val="7"/>
            <w:tcBorders>
              <w:left w:val="single" w:sz="6" w:space="0" w:color="000000"/>
            </w:tcBorders>
            <w:tcMar>
              <w:top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Total Fee Offsets</w:t>
            </w:r>
          </w:p>
        </w:tc>
        <w:tc>
          <w:tcPr>
            <w:tcW w:w="146" w:type="dxa"/>
            <w:tcBorders>
              <w:left w:val="single" w:sz="6" w:space="0" w:color="000000"/>
            </w:tcBorders>
            <w:tcMar>
              <w:top w:w="0" w:type="dxa"/>
              <w:bottom w:w="0" w:type="dxa"/>
              <w:right w:w="0" w:type="dxa"/>
            </w:tcMar>
            <w:vAlign w:val="center"/>
          </w:tcPr>
          <w:p>
            <w:pPr>
              <w:pStyle w:val="TableContents"/>
              <w:bidi w:val="0"/>
              <w:spacing w:before="0" w:after="283"/>
              <w:jc w:val="center"/>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left w:val="single" w:sz="6" w:space="0" w:color="000000"/>
            </w:tcBorders>
            <w:tcMar>
              <w:top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left w:val="single" w:sz="6" w:space="0" w:color="000000"/>
            </w:tcBorders>
            <w:tcMar>
              <w:top w:w="0" w:type="dxa"/>
              <w:bottom w:w="0" w:type="dxa"/>
              <w:right w:w="0" w:type="dxa"/>
            </w:tcMar>
            <w:vAlign w:val="center"/>
          </w:tcPr>
          <w:p>
            <w:pPr>
              <w:pStyle w:val="TableContents"/>
              <w:bidi w:val="0"/>
              <w:spacing w:before="0" w:after="283"/>
              <w:jc w:val="center"/>
              <w:rPr/>
            </w:pPr>
            <w:r>
              <w:rPr/>
              <w:t> </w:t>
            </w:r>
          </w:p>
        </w:tc>
        <w:tc>
          <w:tcPr>
            <w:tcW w:w="100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left w:val="single" w:sz="6" w:space="0" w:color="000000"/>
            </w:tcBorders>
            <w:tcMar>
              <w:top w:w="0" w:type="dxa"/>
              <w:bottom w:w="0" w:type="dxa"/>
              <w:right w:w="0" w:type="dxa"/>
            </w:tcMar>
            <w:vAlign w:val="center"/>
          </w:tcPr>
          <w:p>
            <w:pPr>
              <w:pStyle w:val="TableContents"/>
              <w:bidi w:val="0"/>
              <w:spacing w:before="0" w:after="283"/>
              <w:jc w:val="center"/>
              <w:rPr/>
            </w:pPr>
            <w:r>
              <w:rPr/>
              <w:t> </w:t>
            </w:r>
          </w:p>
        </w:tc>
        <w:tc>
          <w:tcPr>
            <w:tcW w:w="1203" w:type="dxa"/>
            <w:tcBorders>
              <w:right w:val="single" w:sz="6" w:space="0" w:color="000000"/>
            </w:tcBorders>
            <w:tcMar>
              <w:top w:w="0" w:type="dxa"/>
              <w:left w:w="0" w:type="dxa"/>
              <w:bottom w:w="0" w:type="dxa"/>
            </w:tcMar>
            <w:vAlign w:val="center"/>
          </w:tcPr>
          <w:p>
            <w:pPr>
              <w:pStyle w:val="TableContents"/>
              <w:bidi w:val="0"/>
              <w:spacing w:lineRule="auto" w:line="360" w:before="0" w:after="283"/>
              <w:jc w:val="center"/>
              <w:rPr>
                <w:rFonts w:ascii="Arial" w:hAnsi="Arial"/>
                <w:sz w:val="20"/>
              </w:rPr>
            </w:pPr>
            <w:r>
              <w:rPr>
                <w:rFonts w:ascii="Arial" w:hAnsi="Arial"/>
                <w:color w:val="000000"/>
                <w:sz w:val="20"/>
              </w:rPr>
              <w:t>N/A</w:t>
            </w:r>
            <w:r>
              <w:rPr>
                <w:rFonts w:ascii="Arial" w:hAnsi="Arial"/>
                <w:color w:val="000000"/>
                <w:sz w:val="13"/>
              </w:rPr>
              <w:t>(3)</w:t>
            </w:r>
          </w:p>
        </w:tc>
      </w:tr>
      <w:tr>
        <w:trPr/>
        <w:tc>
          <w:tcPr>
            <w:tcW w:w="5128" w:type="dxa"/>
            <w:gridSpan w:val="7"/>
            <w:tcBorders>
              <w:top w:val="single" w:sz="6" w:space="0" w:color="000000"/>
              <w:left w:val="single" w:sz="6" w:space="0" w:color="000000"/>
            </w:tcBorders>
            <w:tcMar>
              <w:bottom w:w="0" w:type="dxa"/>
              <w:right w:w="0" w:type="dxa"/>
            </w:tcMar>
            <w:vAlign w:val="center"/>
          </w:tcPr>
          <w:p>
            <w:pPr>
              <w:pStyle w:val="TableContents"/>
              <w:bidi w:val="0"/>
              <w:spacing w:before="0" w:after="283"/>
              <w:jc w:val="center"/>
              <w:rPr/>
            </w:pPr>
            <w:r>
              <w:rPr/>
              <w:t> </w:t>
            </w:r>
          </w:p>
        </w:tc>
        <w:tc>
          <w:tcPr>
            <w:tcW w:w="1092"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283"/>
              <w:jc w:val="center"/>
              <w:rPr/>
            </w:pPr>
            <w:r>
              <w:rPr/>
              <w:t> </w:t>
            </w:r>
          </w:p>
        </w:tc>
        <w:tc>
          <w:tcPr>
            <w:tcW w:w="1482"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283"/>
              <w:jc w:val="center"/>
              <w:rPr/>
            </w:pPr>
            <w:r>
              <w:rPr/>
              <w:t> </w:t>
            </w:r>
          </w:p>
        </w:tc>
        <w:tc>
          <w:tcPr>
            <w:tcW w:w="1154" w:type="dxa"/>
            <w:gridSpan w:val="2"/>
            <w:tcBorders>
              <w:top w:val="single" w:sz="6" w:space="0" w:color="000000"/>
              <w:left w:val="single" w:sz="6" w:space="0" w:color="000000"/>
            </w:tcBorders>
            <w:tcMar>
              <w:bottom w:w="0" w:type="dxa"/>
              <w:right w:w="0" w:type="dxa"/>
            </w:tcMar>
            <w:vAlign w:val="center"/>
          </w:tcPr>
          <w:p>
            <w:pPr>
              <w:pStyle w:val="TableContents"/>
              <w:bidi w:val="0"/>
              <w:spacing w:before="0" w:after="283"/>
              <w:jc w:val="center"/>
              <w:rPr/>
            </w:pPr>
            <w:r>
              <w:rPr/>
              <w:t> </w:t>
            </w:r>
          </w:p>
        </w:tc>
        <w:tc>
          <w:tcPr>
            <w:tcW w:w="1349" w:type="dxa"/>
            <w:gridSpan w:val="2"/>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center"/>
              <w:rPr/>
            </w:pPr>
            <w:r>
              <w:rPr/>
              <w:t> </w:t>
            </w:r>
          </w:p>
        </w:tc>
      </w:tr>
      <w:tr>
        <w:trPr/>
        <w:tc>
          <w:tcPr>
            <w:tcW w:w="5128" w:type="dxa"/>
            <w:gridSpan w:val="7"/>
            <w:tcBorders>
              <w:left w:val="single" w:sz="6" w:space="0" w:color="000000"/>
              <w:bottom w:val="single" w:sz="6" w:space="0" w:color="000000"/>
            </w:tcBorders>
            <w:tcMar>
              <w:top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Net Fee Due</w:t>
            </w:r>
          </w:p>
        </w:tc>
        <w:tc>
          <w:tcPr>
            <w:tcW w:w="146" w:type="dxa"/>
            <w:tcBorders>
              <w:left w:val="single" w:sz="6" w:space="0" w:color="000000"/>
              <w:bottom w:val="single" w:sz="6" w:space="0" w:color="000000"/>
            </w:tcBorders>
            <w:tcMar>
              <w:top w:w="0" w:type="dxa"/>
              <w:right w:w="0" w:type="dxa"/>
            </w:tcMar>
            <w:vAlign w:val="center"/>
          </w:tcPr>
          <w:p>
            <w:pPr>
              <w:pStyle w:val="TableContents"/>
              <w:bidi w:val="0"/>
              <w:spacing w:before="0" w:after="283"/>
              <w:jc w:val="center"/>
              <w:rPr/>
            </w:pPr>
            <w:r>
              <w:rPr/>
              <w:t> </w:t>
            </w:r>
          </w:p>
        </w:tc>
        <w:tc>
          <w:tcPr>
            <w:tcW w:w="946"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left w:val="single" w:sz="6" w:space="0" w:color="000000"/>
              <w:bottom w:val="single" w:sz="6" w:space="0" w:color="000000"/>
            </w:tcBorders>
            <w:tcMar>
              <w:top w:w="0" w:type="dxa"/>
              <w:right w:w="0" w:type="dxa"/>
            </w:tcMar>
            <w:vAlign w:val="center"/>
          </w:tcPr>
          <w:p>
            <w:pPr>
              <w:pStyle w:val="TableContents"/>
              <w:bidi w:val="0"/>
              <w:spacing w:before="0" w:after="283"/>
              <w:jc w:val="center"/>
              <w:rPr/>
            </w:pPr>
            <w:r>
              <w:rPr/>
              <w:t> </w:t>
            </w:r>
          </w:p>
        </w:tc>
        <w:tc>
          <w:tcPr>
            <w:tcW w:w="1336"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left w:val="single" w:sz="6" w:space="0" w:color="000000"/>
              <w:bottom w:val="single" w:sz="6" w:space="0" w:color="000000"/>
            </w:tcBorders>
            <w:tcMar>
              <w:top w:w="0" w:type="dxa"/>
              <w:right w:w="0" w:type="dxa"/>
            </w:tcMar>
            <w:vAlign w:val="center"/>
          </w:tcPr>
          <w:p>
            <w:pPr>
              <w:pStyle w:val="TableContents"/>
              <w:bidi w:val="0"/>
              <w:spacing w:before="0" w:after="283"/>
              <w:jc w:val="center"/>
              <w:rPr/>
            </w:pPr>
            <w:r>
              <w:rPr/>
              <w:t> </w:t>
            </w:r>
          </w:p>
        </w:tc>
        <w:tc>
          <w:tcPr>
            <w:tcW w:w="1008"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left w:val="single" w:sz="6" w:space="0" w:color="000000"/>
              <w:bottom w:val="single" w:sz="6" w:space="0" w:color="000000"/>
            </w:tcBorders>
            <w:tcMar>
              <w:top w:w="0" w:type="dxa"/>
              <w:right w:w="0" w:type="dxa"/>
            </w:tcMar>
            <w:vAlign w:val="center"/>
          </w:tcPr>
          <w:p>
            <w:pPr>
              <w:pStyle w:val="TableContents"/>
              <w:bidi w:val="0"/>
              <w:spacing w:before="0" w:after="283"/>
              <w:jc w:val="center"/>
              <w:rPr/>
            </w:pPr>
            <w:r>
              <w:rPr/>
              <w:t> </w:t>
            </w:r>
          </w:p>
        </w:tc>
        <w:tc>
          <w:tcPr>
            <w:tcW w:w="1203"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$964.97</w:t>
            </w:r>
          </w:p>
        </w:tc>
      </w:tr>
    </w:tbl>
    <w:p>
      <w:pPr>
        <w:pStyle w:val="TextBody"/>
        <w:bidi w:val="0"/>
        <w:jc w:val="left"/>
        <w:rPr>
          <w:rFonts w:ascii="Arial" w:hAnsi="Arial"/>
          <w:color w:val="000000"/>
          <w:sz w:val="20"/>
        </w:rPr>
      </w:pPr>
      <w:r>
        <w:rPr>
          <w:rFonts w:ascii="Arial" w:hAnsi="Arial"/>
          <w:color w:val="000000"/>
          <w:sz w:val="20"/>
        </w:rPr>
        <w:br/>
        <w:t> </w:t>
      </w:r>
    </w:p>
    <w:p>
      <w:pPr>
        <w:pStyle w:val="TextBody"/>
        <w:bidi w:val="0"/>
        <w:spacing w:before="120" w:after="283"/>
        <w:jc w:val="left"/>
        <w:rPr>
          <w:rFonts w:ascii="Arial" w:hAnsi="Arial"/>
          <w:color w:val="000000"/>
          <w:sz w:val="20"/>
        </w:rPr>
      </w:pPr>
      <w:r>
        <w:rPr>
          <w:rFonts w:ascii="Arial" w:hAnsi="Arial"/>
          <w:color w:val="000000"/>
          <w:sz w:val="20"/>
        </w:rPr>
        <w:t>(1)</w:t>
      </w:r>
    </w:p>
    <w:p>
      <w:pPr>
        <w:pStyle w:val="TextBody"/>
        <w:bidi w:val="0"/>
        <w:spacing w:before="120" w:after="283"/>
        <w:jc w:val="left"/>
        <w:rPr>
          <w:rFonts w:ascii="Arial" w:hAnsi="Arial"/>
          <w:color w:val="000000"/>
          <w:sz w:val="20"/>
        </w:rPr>
      </w:pPr>
      <w:r>
        <w:rPr>
          <w:rFonts w:ascii="Arial" w:hAnsi="Arial"/>
          <w:color w:val="000000"/>
          <w:sz w:val="20"/>
        </w:rPr>
        <w:t>Pursuant to Rule 416(a) promulgated under the Securities Act of 1933, as amended (the “Securities Act”), this registration statement shall also cover any additional shares of the Registrant’s common stock that become issuable under the AN2 Therapeutics, Inc. 2026 Employment Inducement Award Plan (the “Inducement Plan”) by reason of any stock dividend, stock split, recapitalization or other similar transaction effected without the receipt of consideration that increases the number of the Registrant’s outstanding shares of common stock.</w:t>
      </w:r>
    </w:p>
    <w:p>
      <w:pPr>
        <w:pStyle w:val="TextBody"/>
        <w:bidi w:val="0"/>
        <w:spacing w:before="120" w:after="283"/>
        <w:jc w:val="left"/>
        <w:rPr>
          <w:rFonts w:ascii="Arial" w:hAnsi="Arial"/>
          <w:color w:val="000000"/>
          <w:sz w:val="20"/>
        </w:rPr>
      </w:pPr>
      <w:r>
        <w:rPr>
          <w:rFonts w:ascii="Arial" w:hAnsi="Arial"/>
          <w:color w:val="000000"/>
          <w:sz w:val="20"/>
        </w:rPr>
        <w:t>(2)</w:t>
      </w:r>
    </w:p>
    <w:p>
      <w:pPr>
        <w:pStyle w:val="TextBody"/>
        <w:bidi w:val="0"/>
        <w:spacing w:before="120" w:after="283"/>
        <w:jc w:val="left"/>
        <w:rPr>
          <w:rFonts w:ascii="Arial" w:hAnsi="Arial"/>
          <w:color w:val="000000"/>
          <w:sz w:val="20"/>
        </w:rPr>
      </w:pPr>
      <w:r>
        <w:rPr>
          <w:rFonts w:ascii="Arial" w:hAnsi="Arial"/>
          <w:color w:val="000000"/>
          <w:sz w:val="20"/>
        </w:rPr>
        <w:t>Pursuant to Rules 457(c) and 457(h) of the Securities Act, the proposed maximum offering price per share is estimated solely for the purpose of calculating the registration fee and is based upon the average of the high and low prices of the Registrant’s common stock as reported on the Nasdaq Global Select Market on September 11, 2026, which date is within five business days prior to filing this Registration Statement.</w:t>
      </w:r>
    </w:p>
    <w:p>
      <w:pPr>
        <w:pStyle w:val="TextBody"/>
        <w:bidi w:val="0"/>
        <w:spacing w:before="120" w:after="283"/>
        <w:jc w:val="left"/>
        <w:rPr>
          <w:rFonts w:ascii="Arial" w:hAnsi="Arial"/>
          <w:color w:val="000000"/>
          <w:sz w:val="20"/>
        </w:rPr>
      </w:pPr>
      <w:r>
        <w:rPr>
          <w:rFonts w:ascii="Arial" w:hAnsi="Arial"/>
          <w:color w:val="000000"/>
          <w:sz w:val="20"/>
        </w:rPr>
        <w:t>(3)</w:t>
      </w:r>
    </w:p>
    <w:p>
      <w:pPr>
        <w:pStyle w:val="TextBody"/>
        <w:bidi w:val="0"/>
        <w:spacing w:before="120" w:after="283"/>
        <w:jc w:val="left"/>
        <w:rPr>
          <w:rFonts w:ascii="Arial" w:hAnsi="Arial"/>
          <w:color w:val="000000"/>
          <w:sz w:val="20"/>
        </w:rPr>
      </w:pPr>
      <w:r>
        <w:rPr>
          <w:rFonts w:ascii="Arial" w:hAnsi="Arial"/>
          <w:color w:val="000000"/>
          <w:sz w:val="20"/>
        </w:rPr>
        <w:t>The Registrant does not have any fee offsets.</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880438/000119312526110693/antx-20251231.htm" TargetMode="External"/><Relationship Id="rId3" Type="http://schemas.openxmlformats.org/officeDocument/2006/relationships/hyperlink" Target="https://www.sec.gov/ix?doc=/Archives/edgar/data/1880438/000119312526170314/antx-20260422.htm" TargetMode="External"/><Relationship Id="rId4" Type="http://schemas.openxmlformats.org/officeDocument/2006/relationships/hyperlink" Target="https://www.sec.gov/ix?doc=/Archives/edgar/data/1880438/000119312526216755/antx-20260331.htm" TargetMode="External"/><Relationship Id="rId5" Type="http://schemas.openxmlformats.org/officeDocument/2006/relationships/hyperlink" Target="https://www.sec.gov/ix?doc=/Archives/edgar/data/1880438/000119312526344569/antx-20260630.htm" TargetMode="External"/><Relationship Id="rId6" Type="http://schemas.openxmlformats.org/officeDocument/2006/relationships/hyperlink" Target="https://www.sec.gov/ix?doc=/Archives/edgar/data/0001880438/000119312526029540/d84725d8k.htm" TargetMode="External"/><Relationship Id="rId7" Type="http://schemas.openxmlformats.org/officeDocument/2006/relationships/hyperlink" Target="https://www.sec.gov/ix?doc=/Archives/edgar/data/1880438/000119312526099169/d14366d8k.htm" TargetMode="External"/><Relationship Id="rId8" Type="http://schemas.openxmlformats.org/officeDocument/2006/relationships/hyperlink" Target="https://www.sec.gov/ix?doc=/Archives/edgar/data/1880438/000119312526117765/d107794d8k.htm" TargetMode="External"/><Relationship Id="rId9" Type="http://schemas.openxmlformats.org/officeDocument/2006/relationships/hyperlink" Target="https://www.sec.gov/ix?doc=/Archives/edgar/data/1880438/000119312526149822/d127053d8k.htm" TargetMode="External"/><Relationship Id="rId10" Type="http://schemas.openxmlformats.org/officeDocument/2006/relationships/hyperlink" Target="https://www.sec.gov/ix?doc=/Archives/edgar/data/1880438/000119312526257430/d247428d8k.htm" TargetMode="External"/><Relationship Id="rId11" Type="http://schemas.openxmlformats.org/officeDocument/2006/relationships/hyperlink" Target="https://www.sec.gov/ix?doc=/Archives/edgar/data/1880438/000119312526262264/antx-20260603.htm" TargetMode="External"/><Relationship Id="rId12" Type="http://schemas.openxmlformats.org/officeDocument/2006/relationships/hyperlink" Target="https://www.sec.gov/Archives/edgar/data/1880438/000119312522081697/d338356d8a12b.htm" TargetMode="External"/><Relationship Id="rId13" Type="http://schemas.openxmlformats.org/officeDocument/2006/relationships/hyperlink" Target="https://www.sec.gov/Archives/edgar/data/1880438/000119312526110693/antx-ex4_3.htm" TargetMode="External"/><Relationship Id="rId14" Type="http://schemas.openxmlformats.org/officeDocument/2006/relationships/hyperlink" Target="https://www.sec.gov/Archives/edgar/data/1880438/000119312524166938/d860451dex31.htm" TargetMode="External"/><Relationship Id="rId15" Type="http://schemas.openxmlformats.org/officeDocument/2006/relationships/hyperlink" Target="https://www.sec.gov/Archives/edgar/data/1880438/000119312522066048/d211954dex34.htm" TargetMode="External"/><Relationship Id="rId16" Type="http://schemas.openxmlformats.org/officeDocument/2006/relationships/hyperlink" Target="https://www.sec.gov/Archives/edgar/data/1880438/000119312522080012/d211954dex41.htm" TargetMode="External"/><Relationship Id="rId17" Type="http://schemas.openxmlformats.org/officeDocument/2006/relationships/hyperlink" Target="https://www.sec.gov/Archives/edgar/data/1880438/000119312524202430/d879523dex31.htm" TargetMode="External"/><Relationship Id="rId18" Type="http://schemas.openxmlformats.org/officeDocument/2006/relationships/image" Target="media/image1.jpeg"/><Relationship Id="rId19" Type="http://schemas.openxmlformats.org/officeDocument/2006/relationships/image" Target="media/image2.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19460</Words>
  <Characters>103955</Characters>
  <CharactersWithSpaces>123157</CharactersWithSpaces>
  <Paragraphs>1121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