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50165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3920" w:right="2760" w:hanging="3899"/>
        <w:spacing w:after="0" w:line="248" w:lineRule="auto"/>
        <w:tabs>
          <w:tab w:leader="none" w:pos="48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001-41331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53340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AN2 Therapeutics, Inc.</w:t>
      </w:r>
    </w:p>
    <w:p>
      <w:pPr>
        <w:sectPr>
          <w:pgSz w:w="11900" w:h="16838" w:orient="portrait"/>
          <w:cols w:equalWidth="0" w:num="1">
            <w:col w:w="11240"/>
          </w:cols>
          <w:pgMar w:left="320" w:top="1131"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5"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Delaware</w:t>
      </w:r>
    </w:p>
    <w:p>
      <w:pPr>
        <w:ind w:left="1960"/>
        <w:spacing w:after="0" w:line="237" w:lineRule="auto"/>
        <w:rPr>
          <w:sz w:val="20"/>
          <w:szCs w:val="20"/>
          <w:color w:val="auto"/>
        </w:rPr>
      </w:pPr>
      <w:r>
        <w:rPr>
          <w:rFonts w:ascii="Arial" w:cs="Arial" w:eastAsia="Arial" w:hAnsi="Arial"/>
          <w:sz w:val="13"/>
          <w:szCs w:val="13"/>
          <w:b w:val="1"/>
          <w:bCs w:val="1"/>
          <w:color w:val="auto"/>
        </w:rPr>
        <w:t>(State or other jurisdiction of</w:t>
      </w:r>
    </w:p>
    <w:p>
      <w:pPr>
        <w:spacing w:after="0" w:line="1"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7"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1800 El Camino Real, Suite D</w:t>
      </w:r>
    </w:p>
    <w:p>
      <w:pPr>
        <w:spacing w:after="0" w:line="2"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Menlo Park, California</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82-0606654</w:t>
      </w:r>
    </w:p>
    <w:p>
      <w:pPr>
        <w:spacing w:after="0" w:line="12"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178" w:lineRule="exact"/>
        <w:rPr>
          <w:sz w:val="24"/>
          <w:szCs w:val="24"/>
          <w:color w:val="auto"/>
        </w:rPr>
      </w:pPr>
    </w:p>
    <w:p>
      <w:pPr>
        <w:ind w:left="300"/>
        <w:spacing w:after="0"/>
        <w:rPr>
          <w:sz w:val="20"/>
          <w:szCs w:val="20"/>
          <w:color w:val="auto"/>
        </w:rPr>
      </w:pPr>
      <w:r>
        <w:rPr>
          <w:rFonts w:ascii="Arial" w:cs="Arial" w:eastAsia="Arial" w:hAnsi="Arial"/>
          <w:sz w:val="16"/>
          <w:szCs w:val="16"/>
          <w:b w:val="1"/>
          <w:bCs w:val="1"/>
          <w:color w:val="auto"/>
        </w:rPr>
        <w:t>94027</w:t>
      </w:r>
    </w:p>
    <w:p>
      <w:pPr>
        <w:spacing w:after="0" w:line="14" w:lineRule="exact"/>
        <w:rPr>
          <w:sz w:val="24"/>
          <w:szCs w:val="24"/>
          <w:color w:val="auto"/>
        </w:rPr>
      </w:pPr>
    </w:p>
    <w:p>
      <w:pPr>
        <w:sectPr>
          <w:pgSz w:w="11900" w:h="16838" w:orient="portrait"/>
          <w:cols w:equalWidth="0" w:num="2">
            <w:col w:w="7660" w:space="240"/>
            <w:col w:w="3340"/>
          </w:cols>
          <w:pgMar w:left="320" w:top="1131" w:right="339" w:bottom="1440" w:gutter="0" w:footer="0" w:header="0"/>
          <w:type w:val="continuous"/>
        </w:sect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85" w:lineRule="exact"/>
        <w:rPr>
          <w:sz w:val="24"/>
          <w:szCs w:val="24"/>
          <w:color w:val="auto"/>
        </w:rPr>
      </w:pPr>
    </w:p>
    <w:p>
      <w:pPr>
        <w:ind w:left="3000"/>
        <w:spacing w:after="0"/>
        <w:rPr>
          <w:sz w:val="20"/>
          <w:szCs w:val="20"/>
          <w:color w:val="auto"/>
        </w:rPr>
      </w:pPr>
      <w:r>
        <w:rPr>
          <w:rFonts w:ascii="Arial" w:cs="Arial" w:eastAsia="Arial" w:hAnsi="Arial"/>
          <w:sz w:val="16"/>
          <w:szCs w:val="16"/>
          <w:b w:val="1"/>
          <w:bCs w:val="1"/>
          <w:color w:val="auto"/>
        </w:rPr>
        <w:t>Registrant’s telephone number, including area code: (650) 331-9090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120" w:type="dxa"/>
            <w:vAlign w:val="bottom"/>
          </w:tcPr>
          <w:p>
            <w:pPr>
              <w:spacing w:after="0"/>
              <w:rPr>
                <w:sz w:val="12"/>
                <w:szCs w:val="12"/>
                <w:color w:val="auto"/>
              </w:rPr>
            </w:pPr>
          </w:p>
        </w:tc>
        <w:tc>
          <w:tcPr>
            <w:tcW w:w="5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42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Symbol(s)</w:t>
            </w:r>
          </w:p>
        </w:tc>
        <w:tc>
          <w:tcPr>
            <w:tcW w:w="120" w:type="dxa"/>
            <w:vAlign w:val="bottom"/>
          </w:tcPr>
          <w:p>
            <w:pPr>
              <w:spacing w:after="0"/>
              <w:rPr>
                <w:sz w:val="13"/>
                <w:szCs w:val="13"/>
                <w:color w:val="auto"/>
              </w:rPr>
            </w:pPr>
          </w:p>
        </w:tc>
        <w:tc>
          <w:tcPr>
            <w:tcW w:w="5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80" w:type="dxa"/>
            <w:vAlign w:val="bottom"/>
          </w:tcPr>
          <w:p>
            <w:pPr>
              <w:jc w:val="center"/>
              <w:spacing w:after="0"/>
              <w:rPr>
                <w:sz w:val="20"/>
                <w:szCs w:val="20"/>
                <w:color w:val="auto"/>
              </w:rPr>
            </w:pPr>
            <w:r>
              <w:rPr>
                <w:rFonts w:ascii="Arial" w:cs="Arial" w:eastAsia="Arial" w:hAnsi="Arial"/>
                <w:sz w:val="14"/>
                <w:szCs w:val="14"/>
                <w:color w:val="auto"/>
              </w:rPr>
              <w:t>Common Stock, par value $0.00001 per share</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ANTX</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bl>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5" w:lineRule="exact"/>
        <w:rPr>
          <w:sz w:val="24"/>
          <w:szCs w:val="24"/>
          <w:color w:val="auto"/>
        </w:rPr>
      </w:pPr>
    </w:p>
    <w:p>
      <w:pPr>
        <w:ind w:right="2880"/>
        <w:spacing w:after="0" w:line="194"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6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9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4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3100"/>
              <w:spacing w:after="0"/>
              <w:rPr>
                <w:sz w:val="20"/>
                <w:szCs w:val="20"/>
                <w:color w:val="auto"/>
              </w:rPr>
            </w:pPr>
            <w:r>
              <w:rPr>
                <w:rFonts w:ascii="Arial" w:cs="Arial" w:eastAsia="Arial" w:hAnsi="Arial"/>
                <w:sz w:val="15"/>
                <w:szCs w:val="15"/>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900" w:type="dxa"/>
            <w:vAlign w:val="bottom"/>
          </w:tcPr>
          <w:p>
            <w:pPr>
              <w:spacing w:after="0"/>
              <w:rPr>
                <w:sz w:val="20"/>
                <w:szCs w:val="20"/>
                <w:color w:val="auto"/>
              </w:rPr>
            </w:pPr>
            <w:r>
              <w:rPr>
                <w:rFonts w:ascii="Arial" w:cs="Arial" w:eastAsia="Arial" w:hAnsi="Arial"/>
                <w:sz w:val="15"/>
                <w:szCs w:val="15"/>
                <w:color w:val="auto"/>
              </w:rPr>
              <w:t>Non-accelerated filer</w:t>
            </w:r>
          </w:p>
        </w:tc>
        <w:tc>
          <w:tcPr>
            <w:tcW w:w="36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00"/>
              <w:spacing w:after="0"/>
              <w:rPr>
                <w:sz w:val="20"/>
                <w:szCs w:val="20"/>
                <w:color w:val="auto"/>
              </w:rPr>
            </w:pPr>
            <w:r>
              <w:rPr>
                <w:rFonts w:ascii="Arial" w:cs="Arial" w:eastAsia="Arial" w:hAnsi="Arial"/>
                <w:sz w:val="15"/>
                <w:szCs w:val="15"/>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9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5220" w:type="dxa"/>
            <w:vAlign w:val="bottom"/>
          </w:tcPr>
          <w:p>
            <w:pPr>
              <w:ind w:left="3100"/>
              <w:spacing w:after="0"/>
              <w:rPr>
                <w:sz w:val="20"/>
                <w:szCs w:val="20"/>
                <w:color w:val="auto"/>
              </w:rPr>
            </w:pPr>
            <w:r>
              <w:rPr>
                <w:rFonts w:ascii="Arial" w:cs="Arial" w:eastAsia="Arial" w:hAnsi="Arial"/>
                <w:sz w:val="15"/>
                <w:szCs w:val="15"/>
                <w:color w:val="auto"/>
              </w:rPr>
              <w:t>Emerging growth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0"/>
        <w:spacing w:after="0" w:line="18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62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28" w:lineRule="exact"/>
        <w:rPr>
          <w:sz w:val="24"/>
          <w:szCs w:val="24"/>
          <w:color w:val="auto"/>
        </w:rPr>
      </w:pPr>
    </w:p>
    <w:p>
      <w:pPr>
        <w:ind w:right="460"/>
        <w:spacing w:after="0" w:line="181"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200"/>
        <w:spacing w:after="0" w:line="252"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Select Market on June 28, 2024, was $41,131,046.</w:t>
      </w:r>
    </w:p>
    <w:p>
      <w:pPr>
        <w:jc w:val="center"/>
        <w:ind w:right="180"/>
        <w:spacing w:after="0" w:line="271" w:lineRule="auto"/>
        <w:rPr>
          <w:sz w:val="20"/>
          <w:szCs w:val="20"/>
          <w:color w:val="auto"/>
        </w:rPr>
      </w:pPr>
      <w:r>
        <w:rPr>
          <w:rFonts w:ascii="Arial" w:cs="Arial" w:eastAsia="Arial" w:hAnsi="Arial"/>
          <w:sz w:val="14"/>
          <w:szCs w:val="14"/>
          <w:color w:val="auto"/>
        </w:rPr>
        <w:t xml:space="preserve">The number of shares of Registrant’s Common Stock outstanding as of March 20, 2025 was 30,098,720 shares of common stock, par value $0.00001 per share, outstanding. </w:t>
      </w:r>
      <w:r>
        <w:rPr>
          <w:rFonts w:ascii="Arial" w:cs="Arial" w:eastAsia="Arial" w:hAnsi="Arial"/>
          <w:sz w:val="14"/>
          <w:szCs w:val="14"/>
          <w:b w:val="1"/>
          <w:bCs w:val="1"/>
          <w:color w:val="auto"/>
        </w:rPr>
        <w:t>DOCUMENTS INCORPORATED BY REFERENCE</w:t>
      </w:r>
    </w:p>
    <w:p>
      <w:pPr>
        <w:ind w:right="180"/>
        <w:spacing w:after="0" w:line="264" w:lineRule="auto"/>
        <w:rPr>
          <w:sz w:val="20"/>
          <w:szCs w:val="20"/>
          <w:color w:val="auto"/>
        </w:rPr>
      </w:pPr>
      <w:r>
        <w:rPr>
          <w:rFonts w:ascii="Arial" w:cs="Arial" w:eastAsia="Arial" w:hAnsi="Arial"/>
          <w:sz w:val="14"/>
          <w:szCs w:val="14"/>
          <w:color w:val="auto"/>
        </w:rPr>
        <w:t>Portions of the Registrant’s definitive proxy statement for its 2025 annual meeting of stockholders is incorporated by reference in Item 5 of Part II and Items 10, 11, 12, 13 and 14 of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80" w:type="dxa"/>
            <w:vAlign w:val="bottom"/>
            <w:gridSpan w:val="11"/>
          </w:tcPr>
          <w:p>
            <w:pPr>
              <w:ind w:left="4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7"/>
        </w:trPr>
        <w:tc>
          <w:tcPr>
            <w:tcW w:w="11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Business</w:t>
            </w:r>
          </w:p>
        </w:tc>
        <w:tc>
          <w:tcPr>
            <w:tcW w:w="8560" w:type="dxa"/>
            <w:vAlign w:val="bottom"/>
            <w:gridSpan w:val="25"/>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1A.</w:t>
            </w:r>
          </w:p>
        </w:tc>
        <w:tc>
          <w:tcPr>
            <w:tcW w:w="9300" w:type="dxa"/>
            <w:vAlign w:val="bottom"/>
            <w:gridSpan w:val="26"/>
          </w:tcPr>
          <w:p>
            <w:pPr>
              <w:spacing w:after="0" w:line="182"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Unresolved</w:t>
            </w:r>
          </w:p>
        </w:tc>
        <w:tc>
          <w:tcPr>
            <w:tcW w:w="20" w:type="dxa"/>
            <w:vAlign w:val="bottom"/>
            <w:tcBorders>
              <w:top w:val="single" w:sz="8" w:color="0000EE"/>
            </w:tcBorders>
          </w:tcPr>
          <w:p>
            <w:pPr>
              <w:spacing w:after="0"/>
              <w:rPr>
                <w:sz w:val="15"/>
                <w:szCs w:val="15"/>
                <w:color w:val="auto"/>
              </w:rPr>
            </w:pPr>
          </w:p>
        </w:tc>
        <w:tc>
          <w:tcPr>
            <w:tcW w:w="8280" w:type="dxa"/>
            <w:vAlign w:val="bottom"/>
            <w:gridSpan w:val="22"/>
          </w:tcPr>
          <w:p>
            <w:pPr>
              <w:spacing w:after="0" w:line="182" w:lineRule="exact"/>
              <w:rPr>
                <w:sz w:val="20"/>
                <w:szCs w:val="20"/>
                <w:color w:val="auto"/>
              </w:rPr>
            </w:pPr>
            <w:r>
              <w:rPr>
                <w:rFonts w:ascii="Arial" w:cs="Arial" w:eastAsia="Arial" w:hAnsi="Arial"/>
                <w:sz w:val="18"/>
                <w:szCs w:val="18"/>
                <w:color w:val="0000FF"/>
              </w:rPr>
              <w:t>Staff Comments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1C.</w:t>
            </w:r>
          </w:p>
        </w:tc>
        <w:tc>
          <w:tcPr>
            <w:tcW w:w="226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2.</w:t>
            </w:r>
          </w:p>
        </w:tc>
        <w:tc>
          <w:tcPr>
            <w:tcW w:w="11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3.</w:t>
            </w: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50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Legal Proceedings</w:t>
            </w:r>
          </w:p>
        </w:tc>
        <w:tc>
          <w:tcPr>
            <w:tcW w:w="20" w:type="dxa"/>
            <w:vAlign w:val="bottom"/>
            <w:tcBorders>
              <w:bottom w:val="single" w:sz="8" w:color="0000EE"/>
            </w:tcBorders>
          </w:tcPr>
          <w:p>
            <w:pPr>
              <w:spacing w:after="0"/>
              <w:rPr>
                <w:sz w:val="15"/>
                <w:szCs w:val="15"/>
                <w:color w:val="auto"/>
              </w:rPr>
            </w:pPr>
          </w:p>
        </w:tc>
        <w:tc>
          <w:tcPr>
            <w:tcW w:w="7780" w:type="dxa"/>
            <w:vAlign w:val="bottom"/>
            <w:gridSpan w:val="18"/>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4.</w:t>
            </w:r>
          </w:p>
        </w:tc>
        <w:tc>
          <w:tcPr>
            <w:tcW w:w="9300" w:type="dxa"/>
            <w:vAlign w:val="bottom"/>
            <w:gridSpan w:val="26"/>
          </w:tcPr>
          <w:p>
            <w:pPr>
              <w:spacing w:after="0" w:line="182" w:lineRule="exact"/>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5.</w:t>
            </w:r>
          </w:p>
        </w:tc>
        <w:tc>
          <w:tcPr>
            <w:tcW w:w="9300" w:type="dxa"/>
            <w:vAlign w:val="bottom"/>
            <w:gridSpan w:val="26"/>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6.</w:t>
            </w:r>
          </w:p>
        </w:tc>
        <w:tc>
          <w:tcPr>
            <w:tcW w:w="890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[Reserved]</w:t>
            </w: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7.</w:t>
            </w: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300" w:type="dxa"/>
            <w:vAlign w:val="bottom"/>
            <w:gridSpan w:val="26"/>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7A.</w:t>
            </w:r>
          </w:p>
        </w:tc>
        <w:tc>
          <w:tcPr>
            <w:tcW w:w="708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8.</w:t>
            </w:r>
          </w:p>
        </w:tc>
        <w:tc>
          <w:tcPr>
            <w:tcW w:w="472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9.</w:t>
            </w:r>
          </w:p>
        </w:tc>
        <w:tc>
          <w:tcPr>
            <w:tcW w:w="372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4"/>
              </w:rPr>
              <w:t>Changes in and Disagreements with Accountants</w:t>
            </w:r>
          </w:p>
        </w:tc>
        <w:tc>
          <w:tcPr>
            <w:tcW w:w="20" w:type="dxa"/>
            <w:vAlign w:val="bottom"/>
            <w:tcBorders>
              <w:top w:val="single" w:sz="8" w:color="0000EE"/>
            </w:tcBorders>
          </w:tcPr>
          <w:p>
            <w:pPr>
              <w:spacing w:after="0"/>
              <w:rPr>
                <w:sz w:val="15"/>
                <w:szCs w:val="15"/>
                <w:color w:val="auto"/>
              </w:rPr>
            </w:pPr>
          </w:p>
        </w:tc>
        <w:tc>
          <w:tcPr>
            <w:tcW w:w="5560" w:type="dxa"/>
            <w:vAlign w:val="bottom"/>
            <w:gridSpan w:val="9"/>
          </w:tcPr>
          <w:p>
            <w:pPr>
              <w:ind w:left="240"/>
              <w:spacing w:after="0" w:line="182" w:lineRule="exact"/>
              <w:rPr>
                <w:sz w:val="20"/>
                <w:szCs w:val="20"/>
                <w:color w:val="auto"/>
              </w:rPr>
            </w:pPr>
            <w:r>
              <w:rPr>
                <w:rFonts w:ascii="Arial" w:cs="Arial" w:eastAsia="Arial" w:hAnsi="Arial"/>
                <w:sz w:val="18"/>
                <w:szCs w:val="18"/>
                <w:color w:val="0000FF"/>
              </w:rPr>
              <w:t>on Accounting and Financial Disclosure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9A.</w:t>
            </w:r>
          </w:p>
        </w:tc>
        <w:tc>
          <w:tcPr>
            <w:tcW w:w="714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Controls and Procedures</w:t>
            </w:r>
          </w:p>
        </w:tc>
        <w:tc>
          <w:tcPr>
            <w:tcW w:w="88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9B.</w:t>
            </w:r>
          </w:p>
        </w:tc>
        <w:tc>
          <w:tcPr>
            <w:tcW w:w="200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Other Information</w:t>
            </w:r>
          </w:p>
        </w:tc>
        <w:tc>
          <w:tcPr>
            <w:tcW w:w="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3"/>
          </w:tcPr>
          <w:p>
            <w:pPr>
              <w:spacing w:after="0"/>
              <w:rPr>
                <w:sz w:val="15"/>
                <w:szCs w:val="15"/>
                <w:color w:val="auto"/>
              </w:rPr>
            </w:pPr>
          </w:p>
        </w:tc>
        <w:tc>
          <w:tcPr>
            <w:tcW w:w="9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9C.</w:t>
            </w: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300" w:type="dxa"/>
            <w:vAlign w:val="bottom"/>
            <w:gridSpan w:val="26"/>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10.</w:t>
            </w:r>
          </w:p>
        </w:tc>
        <w:tc>
          <w:tcPr>
            <w:tcW w:w="9300" w:type="dxa"/>
            <w:vAlign w:val="bottom"/>
            <w:gridSpan w:val="26"/>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11.</w:t>
            </w:r>
          </w:p>
        </w:tc>
        <w:tc>
          <w:tcPr>
            <w:tcW w:w="200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5"/>
                <w:szCs w:val="15"/>
                <w:color w:val="auto"/>
              </w:rPr>
            </w:pPr>
          </w:p>
        </w:tc>
        <w:tc>
          <w:tcPr>
            <w:tcW w:w="2480" w:type="dxa"/>
            <w:vAlign w:val="bottom"/>
            <w:tcBorders>
              <w:top w:val="single" w:sz="8" w:color="0000FF"/>
            </w:tcBorders>
            <w:gridSpan w:val="6"/>
          </w:tcPr>
          <w:p>
            <w:pPr>
              <w:spacing w:after="0"/>
              <w:rPr>
                <w:sz w:val="15"/>
                <w:szCs w:val="15"/>
                <w:color w:val="auto"/>
              </w:rPr>
            </w:pPr>
          </w:p>
        </w:tc>
        <w:tc>
          <w:tcPr>
            <w:tcW w:w="1600" w:type="dxa"/>
            <w:vAlign w:val="bottom"/>
            <w:gridSpan w:val="3"/>
          </w:tcPr>
          <w:p>
            <w:pPr>
              <w:spacing w:after="0"/>
              <w:rPr>
                <w:sz w:val="15"/>
                <w:szCs w:val="15"/>
                <w:color w:val="auto"/>
              </w:rPr>
            </w:pPr>
          </w:p>
        </w:tc>
        <w:tc>
          <w:tcPr>
            <w:tcW w:w="1920" w:type="dxa"/>
            <w:vAlign w:val="bottom"/>
            <w:gridSpan w:val="3"/>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12.</w:t>
            </w:r>
          </w:p>
        </w:tc>
        <w:tc>
          <w:tcPr>
            <w:tcW w:w="9300" w:type="dxa"/>
            <w:vAlign w:val="bottom"/>
            <w:gridSpan w:val="26"/>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13.</w:t>
            </w:r>
          </w:p>
        </w:tc>
        <w:tc>
          <w:tcPr>
            <w:tcW w:w="802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14.</w:t>
            </w:r>
          </w:p>
        </w:tc>
        <w:tc>
          <w:tcPr>
            <w:tcW w:w="610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Principal Accounting Fees and Services</w:t>
            </w:r>
          </w:p>
        </w:tc>
        <w:tc>
          <w:tcPr>
            <w:tcW w:w="320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15.</w:t>
            </w:r>
          </w:p>
        </w:tc>
        <w:tc>
          <w:tcPr>
            <w:tcW w:w="9300" w:type="dxa"/>
            <w:vAlign w:val="bottom"/>
            <w:gridSpan w:val="26"/>
          </w:tcPr>
          <w:p>
            <w:pPr>
              <w:spacing w:after="0" w:line="195" w:lineRule="exact"/>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16</w:t>
            </w:r>
          </w:p>
        </w:tc>
        <w:tc>
          <w:tcPr>
            <w:tcW w:w="322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Form 10-K Summary</w:t>
            </w:r>
          </w:p>
        </w:tc>
        <w:tc>
          <w:tcPr>
            <w:tcW w:w="608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68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Signatures</w:t>
            </w:r>
          </w:p>
        </w:tc>
        <w:tc>
          <w:tcPr>
            <w:tcW w:w="762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01"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product candidates, planned preclinical and nonclinical studies and clinical trials, results of preclinical and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0"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Form 10-K include, but are not limited to, statements about:</w:t>
      </w:r>
    </w:p>
    <w:p>
      <w:pPr>
        <w:spacing w:after="0" w:line="61" w:lineRule="exact"/>
        <w:rPr>
          <w:sz w:val="20"/>
          <w:szCs w:val="20"/>
          <w:color w:val="auto"/>
        </w:rPr>
      </w:pPr>
    </w:p>
    <w:p>
      <w:pPr>
        <w:ind w:left="1020" w:right="4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and results of our preclinical and nonclinical studies and clinical trials, and our research and development programs, including the manufacture of clinical trial material and drug product for launch;</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estimates regarding expenses,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use of the net proceeds from financing activities;</w:t>
      </w:r>
    </w:p>
    <w:p>
      <w:pPr>
        <w:spacing w:after="0" w:line="11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ability of our Phase 2/3 clinical trial in treatment-refractory </w:t>
      </w:r>
      <w:r>
        <w:rPr>
          <w:rFonts w:ascii="Arial" w:cs="Arial" w:eastAsia="Arial" w:hAnsi="Arial"/>
          <w:sz w:val="18"/>
          <w:szCs w:val="18"/>
          <w:i w:val="1"/>
          <w:iCs w:val="1"/>
          <w:color w:val="auto"/>
        </w:rPr>
        <w:t>Mycobacterium avium</w:t>
      </w:r>
      <w:r>
        <w:rPr>
          <w:rFonts w:ascii="Arial" w:cs="Arial" w:eastAsia="Arial" w:hAnsi="Arial"/>
          <w:sz w:val="18"/>
          <w:szCs w:val="18"/>
          <w:color w:val="auto"/>
        </w:rPr>
        <w:t xml:space="preserve"> complex (“MAC”) lung disease or future trials to be sufficient for regulatory approval in the United States and Japan and potentially other territories;</w:t>
      </w:r>
    </w:p>
    <w:p>
      <w:pPr>
        <w:spacing w:after="0" w:line="4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the blinded Phase 3 data from the truncated EBO-301 trial and the outcome of potential interactions with the FDA regarding future development in NTM, if any;</w:t>
      </w:r>
    </w:p>
    <w:p>
      <w:pPr>
        <w:spacing w:after="0" w:line="46" w:lineRule="exact"/>
        <w:rPr>
          <w:rFonts w:ascii="Times New Roman" w:cs="Times New Roman" w:eastAsia="Times New Roman" w:hAnsi="Times New Roman"/>
          <w:sz w:val="18"/>
          <w:szCs w:val="18"/>
          <w:color w:val="auto"/>
        </w:rPr>
      </w:pPr>
    </w:p>
    <w:p>
      <w:pPr>
        <w:ind w:left="1020" w:right="58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commence studies of epetraborole in new patient populations, which regulatory authorities may not allow or authorize or may delay allowing or authorizing;</w:t>
      </w:r>
    </w:p>
    <w:p>
      <w:pPr>
        <w:spacing w:after="0" w:line="46" w:lineRule="exact"/>
        <w:rPr>
          <w:rFonts w:ascii="Times New Roman" w:cs="Times New Roman" w:eastAsia="Times New Roman" w:hAnsi="Times New Roman"/>
          <w:sz w:val="18"/>
          <w:szCs w:val="18"/>
          <w:color w:val="auto"/>
        </w:rPr>
      </w:pPr>
    </w:p>
    <w:p>
      <w:pPr>
        <w:ind w:left="1020" w:right="5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 results;</w:t>
      </w:r>
    </w:p>
    <w:p>
      <w:pPr>
        <w:spacing w:after="0" w:line="46" w:lineRule="exact"/>
        <w:rPr>
          <w:rFonts w:ascii="Times New Roman" w:cs="Times New Roman" w:eastAsia="Times New Roman" w:hAnsi="Times New Roman"/>
          <w:sz w:val="18"/>
          <w:szCs w:val="18"/>
          <w:color w:val="auto"/>
        </w:rPr>
      </w:pPr>
    </w:p>
    <w:p>
      <w:pPr>
        <w:ind w:left="1020" w:right="9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46"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advance our initial product candidate and any other product candidates we may develop into, and successfully complete, clinical trials;</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and maintain regulatory approvals for our initial product candidate and any other product candidates we may develop;</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commercialization of our initial product candidate and any other product candidates we may develop, if approved;</w:t>
      </w:r>
    </w:p>
    <w:p>
      <w:pPr>
        <w:spacing w:after="0" w:line="116" w:lineRule="exact"/>
        <w:rPr>
          <w:rFonts w:ascii="Times New Roman" w:cs="Times New Roman" w:eastAsia="Times New Roman" w:hAnsi="Times New Roman"/>
          <w:sz w:val="18"/>
          <w:szCs w:val="18"/>
          <w:color w:val="auto"/>
        </w:rPr>
      </w:pPr>
    </w:p>
    <w:p>
      <w:pPr>
        <w:ind w:left="1020" w:right="9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epetraborole, if approved, to successfully compete with other therapies, including therapies currently in development;</w:t>
      </w:r>
    </w:p>
    <w:p>
      <w:pPr>
        <w:spacing w:after="0" w:line="4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the market opportunity for epetraborole or any other product candidates we may develop in each of the diseases we target;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coverage, and reimbursement of epetraborole, if approved;</w:t>
      </w:r>
    </w:p>
    <w:p>
      <w:pPr>
        <w:spacing w:after="0" w:line="11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strategic plans for our business, and our initial product candidate and any other product candidates we may develop;</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epetraborole and any other product candidates;</w:t>
      </w:r>
    </w:p>
    <w:p>
      <w:pPr>
        <w:spacing w:after="0" w:line="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 w:name="page4"/>
    <w:bookmarkEnd w:id="3"/>
    <w:p>
      <w:pPr>
        <w:ind w:left="1020" w:right="8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post-approval marketing exclusivities that may be granted to epetraborole and any other product candidates based upon certain regulatory designations, and other non-patent exclusivities in the United States and Japan;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additional product candidates and advance them into clinical development;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impact of inflation, macroeconomic conditions and geopolitical conflicts on our business and operations, including on our manufacturing suppliers, collaborators, contract research organizations (“CROs”) and employees; and</w:t>
      </w:r>
    </w:p>
    <w:p>
      <w:pPr>
        <w:spacing w:after="0" w:line="62"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(the “JOBS Act”).</w:t>
      </w:r>
    </w:p>
    <w:p>
      <w:pPr>
        <w:spacing w:after="0" w:line="15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in Part I, Item 1A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whether as a result of any new information, future events, or otherwise.</w:t>
      </w:r>
    </w:p>
    <w:p>
      <w:pPr>
        <w:spacing w:after="0" w:line="180"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left="500"/>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AN2 Therapeutics, Inc. (also referred to in this document as “AN2,” “we,” the “Company” or the “Registrant”) is a biopharmaceutical company focused on discovering and developing novel small molecule therapeutics derived from our boron chemistry platform. AN2 has a pipeline of boron-based compounds in development for Chagas disease, non-tuberculous mycobacterial (“NTM”) and melioidosis, along with early-stage programs focused on targets in infectious diseases and oncology.</w:t>
      </w:r>
    </w:p>
    <w:p>
      <w:pPr>
        <w:spacing w:after="0" w:line="174"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Our initial candidate is epetraborole, which we are studying as a potential once-daily, oral treatment with a novel mechanism of action for patients with non-tuberculous mycobacterial (“NTM”) lung disease, a rare, chronic and progressive infectious disease caused by bacteria known as mycobacteria, which leads to irreversible lung damage and can be fatal. Epetraborole is designed to produce broad-spectrum antimycobacterial activity through inhibition of an essential and universal step in bacterial protein synthesis. Its novel mechanism of action is enabled by boron chemistry, our core technology approach. We in-licensed the exclusive worldwide development and commercialization rights for epetraborole from Pfizer Inc. in 2019.</w:t>
      </w:r>
    </w:p>
    <w:p>
      <w:pPr>
        <w:spacing w:after="0" w:line="17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FDA granted us Fast Track designation to investigate epetraborole for treatment-refractory MAC lung disease, Qualified Infectious Disease Product (“QIDP”) designation for treatment-refractory MAC lung disease, and orphan drug designation for the treatment of infections caused by NTM. We have also received orphan medicinal product designation from the European Commission for the treatment of NTM lung disease using epetraborole. Based on clinical and preclinical data generated with epetraborole, its novel mechanism of action, and the convenience associated with once-daily, oral dosing, we believe that epetraborole, if approved, has the potential to become an important component of a multi-drug treatment regimen for patients suffering from NTM lung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Epetraborole in NTM</w:t>
      </w:r>
    </w:p>
    <w:p>
      <w:pPr>
        <w:spacing w:after="0" w:line="102"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Our lead development target in NTM is treatment-refractory MAC lung disease, a condition with high unmet need where the mycobacterial infection persists despite standard front-line therapies. These patients represent complex cases for treatment, often presenting with structural lung damage, high levels of resistance to background therapies, and persistent symptoms that can significantly degrade quality of life. In 2023, the FDA issued a Guidance for Industry entitled, “</w:t>
      </w:r>
      <w:r>
        <w:rPr>
          <w:rFonts w:ascii="Arial" w:cs="Arial" w:eastAsia="Arial" w:hAnsi="Arial"/>
          <w:sz w:val="18"/>
          <w:szCs w:val="18"/>
          <w:i w:val="1"/>
          <w:iCs w:val="1"/>
          <w:color w:val="auto"/>
        </w:rPr>
        <w:t>Nontuberculous Mycobacterial Pulmonary Disease Caused</w:t>
      </w:r>
      <w:r>
        <w:rPr>
          <w:rFonts w:ascii="Arial" w:cs="Arial" w:eastAsia="Arial" w:hAnsi="Arial"/>
          <w:sz w:val="18"/>
          <w:szCs w:val="18"/>
          <w:color w:val="auto"/>
        </w:rPr>
        <w:t xml:space="preserve"> </w:t>
      </w:r>
      <w:r>
        <w:rPr>
          <w:rFonts w:ascii="Arial" w:cs="Arial" w:eastAsia="Arial" w:hAnsi="Arial"/>
          <w:sz w:val="18"/>
          <w:szCs w:val="18"/>
          <w:i w:val="1"/>
          <w:iCs w:val="1"/>
          <w:color w:val="auto"/>
        </w:rPr>
        <w:t>by Mycobacterium Avium Complex: Developing Drugs for Treatment Guidance for Industry</w:t>
      </w:r>
      <w:r>
        <w:rPr>
          <w:rFonts w:ascii="Arial" w:cs="Arial" w:eastAsia="Arial" w:hAnsi="Arial"/>
          <w:sz w:val="18"/>
          <w:szCs w:val="18"/>
          <w:color w:val="auto"/>
        </w:rPr>
        <w:t>,” which among other things, recommended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new potential therapies intended for the treatment of NTM caused by MAC utilize clinical outcome assessments, such as patient-reported outcome ("PRO") measures that assess symptomatic improvement, as primary efficacy endpoints in registrational trials intended to support applications for traditional approval. To date, no drugs have been approved by FDA based on achievement of an endpoint demonstrating symptom improvement in a treatment refractory population. The only FDA-approved therapy for treatment-refractory MAC lung disease received accelerated approval based on the surrogate endpoint of sputum culture conversion without having demonstrated symptom improvement.</w:t>
      </w:r>
    </w:p>
    <w:p>
      <w:pPr>
        <w:spacing w:after="0" w:line="18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August 8, 2024, we announced topline results from the Phase 2 part of EBO-301, a Phase 2/3 study evaluating epetraborole on top of optimized background regimen (“OBR”) in treatment-refractory MAC lung disease ("TR-MAC"), and terminated the Phase 3 portion of the trial early with 97 patients enrolled. The Phase 2 part of the study met its primary objective of demonstrating the potential validation of a novel PRO tool and a numerically higher PRO-based clinical response rate in the epetraborole + OBR arm (39.5%) vs. placebo + OBR (25.0%; treatment difference 13.9%, p=0.19). However, sputum culture conversion at Month 6, a key secondary endpoint, was similar between treatment arms (13.2% in epetraborole + OBR vs. 10.0% placebo + OBR; treatment difference 3.4%, p=0.64). Epetraborole was generally well tolerated in the Phase 2 portion of the trial.</w:t>
      </w:r>
    </w:p>
    <w:p>
      <w:pPr>
        <w:spacing w:after="0" w:line="18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primary purpose of the Phase 2 part of the EBO-301 study was to test the validity of multiple patient-reported outcome tools in a treatment refractory population, with the goal of identifying a PRO-based primary endpoint for the Phase 3 portion of the trial. To that end, we recently submitted an amended statistical analysis plan to the FDA selecting the Quality of Life – Bronchiectasis ("QOL-B") respiratory domain patient reported outcome instrument as the primary efficacy endpoint for the Phase 3 part of the EBO-301 trial.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ind w:right="140" w:firstLine="509"/>
        <w:spacing w:after="0" w:line="226" w:lineRule="auto"/>
        <w:rPr>
          <w:sz w:val="20"/>
          <w:szCs w:val="20"/>
          <w:color w:val="auto"/>
        </w:rPr>
      </w:pPr>
      <w:r>
        <w:rPr>
          <w:rFonts w:ascii="Arial" w:cs="Arial" w:eastAsia="Arial" w:hAnsi="Arial"/>
          <w:sz w:val="18"/>
          <w:szCs w:val="18"/>
          <w:color w:val="auto"/>
        </w:rPr>
        <w:t>Using QOL-B as a continuous measure of clinical improvement, epetraborole showed nominal statistical superiority versus placebo in change from baseline to month 6 in the Phase 2 portion of the trial (prespecified secondary endpoint, difference in least squares mean change from baseline: 6.90, p=0.0365). Furthermore, a post-hoc analysis of the MACrO</w:t>
      </w:r>
      <w:r>
        <w:rPr>
          <w:rFonts w:ascii="Arial" w:cs="Arial" w:eastAsia="Arial" w:hAnsi="Arial"/>
          <w:sz w:val="24"/>
          <w:szCs w:val="24"/>
          <w:color w:val="auto"/>
          <w:vertAlign w:val="subscript"/>
        </w:rPr>
        <w:t>2</w:t>
      </w:r>
      <w:r>
        <w:rPr>
          <w:rFonts w:ascii="Arial" w:cs="Arial" w:eastAsia="Arial" w:hAnsi="Arial"/>
          <w:sz w:val="18"/>
          <w:szCs w:val="18"/>
          <w:color w:val="auto"/>
        </w:rPr>
        <w:t xml:space="preserve"> PRO using a 100-point continuous scale similar to</w:t>
      </w:r>
    </w:p>
    <w:p>
      <w:pPr>
        <w:spacing w:after="0" w:line="3"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QOL-B showed a comparable nominally statistically superior result for the epetraborole arm versus the placebo arm (difference in least squares mean change from baseline: 5.81, p=0.0433). Blinded psychometric analyses incorporating the data from both treatment arms of the Phase 2 study demonstrated strong evidence for the reliability, validity, ability to detect change (responsiveness), and clinically meaningful within-patient changes in both the QOL-B respiratory domain score and the post-hoc MACrO</w:t>
      </w:r>
      <w:r>
        <w:rPr>
          <w:rFonts w:ascii="Arial" w:cs="Arial" w:eastAsia="Arial" w:hAnsi="Arial"/>
          <w:sz w:val="24"/>
          <w:szCs w:val="24"/>
          <w:color w:val="auto"/>
          <w:vertAlign w:val="subscript"/>
        </w:rPr>
        <w:t>2</w:t>
      </w:r>
      <w:r>
        <w:rPr>
          <w:rFonts w:ascii="Arial" w:cs="Arial" w:eastAsia="Arial" w:hAnsi="Arial"/>
          <w:sz w:val="18"/>
          <w:szCs w:val="18"/>
          <w:color w:val="auto"/>
        </w:rPr>
        <w:t xml:space="preserve"> total scaled score, suggesting that the scores</w:t>
      </w:r>
    </w:p>
    <w:p>
      <w:pPr>
        <w:spacing w:after="0" w:line="4"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measured from either PRO may be fit-for-purpose in evaluating response to treatment in patients with treatment-refractory NTM lung disease.</w:t>
      </w:r>
    </w:p>
    <w:p>
      <w:pPr>
        <w:spacing w:after="0" w:line="17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Based on the Phase 2 results and subsequent analyses, we believe epetraborole is the first drug candidate to show statistically favorable patient reported outcome-based improvement in a treatment-refractory MAC lung disease population. We anticipate releasing top-line Phase 3 data from the 97 Phase 3 patients in the second quarter of 2025. If the Phase 3 data are consistent with</w:t>
      </w:r>
      <w:r>
        <w:rPr>
          <w:rFonts w:ascii="Times New Roman" w:cs="Times New Roman" w:eastAsia="Times New Roman" w:hAnsi="Times New Roman"/>
          <w:sz w:val="14"/>
          <w:szCs w:val="14"/>
          <w:color w:val="auto"/>
        </w:rPr>
        <w:t>[LD1] [JP2]</w:t>
      </w:r>
      <w:r>
        <w:rPr>
          <w:rFonts w:ascii="Arial" w:cs="Arial" w:eastAsia="Arial" w:hAnsi="Arial"/>
          <w:sz w:val="18"/>
          <w:szCs w:val="18"/>
          <w:color w:val="auto"/>
        </w:rPr>
        <w:t xml:space="preserve"> the Phase 2 findings, we plan to meet with FDA to discuss potential registrational pathways in TR-MAC lung disease.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Programs</w:t>
      </w:r>
    </w:p>
    <w:p>
      <w:pPr>
        <w:spacing w:after="0" w:line="10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We are also studying epetraborole for the treatment of acute melioidosis. We completed enrollment in a 200-patient observational trial (non-epetraborole treatment) in October 2024 and expect to announce topline data in the second half of 2025. These data will inform a potential Phase 2 proof of concept study that is planned to initiate start up activites in the second half of 2025. Melioidosis is a deadly bacterial infection and global bioterrorism threat with a 90-day mortality rate of approximately 50% using standard of care ("SOC") drugs ceftazidime or meropenem. The aim of the program is to meaningfully lower the expected mortality rate by dosing epetraborole on top of SOC.</w:t>
      </w:r>
    </w:p>
    <w:p>
      <w:pPr>
        <w:spacing w:after="0" w:line="17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 xml:space="preserve">Beyond epetraborole, we are conducting Investigational New Drug Application (“IND") enabling studies with AN2-502998 (formerly known as AN15368), an investigational, boron-based small molecule in development for the treatment of chronic Chagas disease, and have several research programs targeting the development of novel compounds in oncology and infectious disease based on our boron chemistry platform. In October 2023, we announced an exclusive license agreement with the University of Georgia Research Foundation to advance the development of AN2-502998, originally discovered by researchers at Anacor, in close collaboration with the University of Georgia. AN2-502998 is the only compound of which we are aware to have demonstrated curative activity in preclinical studies across multiple species, including in non-human primates with long-term, naturally acquired chronic infections of diverse </w:t>
      </w:r>
      <w:r>
        <w:rPr>
          <w:rFonts w:ascii="Arial" w:cs="Arial" w:eastAsia="Arial" w:hAnsi="Arial"/>
          <w:sz w:val="18"/>
          <w:szCs w:val="18"/>
          <w:i w:val="1"/>
          <w:iCs w:val="1"/>
          <w:color w:val="auto"/>
        </w:rPr>
        <w:t>T. cruzi</w:t>
      </w:r>
      <w:r>
        <w:rPr>
          <w:rFonts w:ascii="Arial" w:cs="Arial" w:eastAsia="Arial" w:hAnsi="Arial"/>
          <w:sz w:val="18"/>
          <w:szCs w:val="18"/>
          <w:color w:val="auto"/>
        </w:rPr>
        <w:t xml:space="preserve"> genetic types. We anticipate initiating a Phase 1 study in 2025. We also anticipate nominating 1 to 2 new development candidates in oncology in 2025.</w:t>
      </w:r>
    </w:p>
    <w:p>
      <w:pPr>
        <w:spacing w:after="0" w:line="18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AN2 is committed to using our boron chemistry platform to address areas of high unmet need in global health, primarily using non-dilutive funding from sources such as public and private agencies and foundations. In September 2023 we received a research grant from the Bill and Melinda Gates Foundation to discover novel, boron containing small molecules for the treatment of tuberculosis and malaria which was renewed in September 2024. In 2022 we received a cost-reimbursement contract award from the National Institute of Allergy and Infectious Diseases (“NIAID”), part of the National Institutes of Health (“NIH”), under which we are able to receive up to $17.8 million in cost reimbursements to advance the development of epetraborole for acute systemic melioidosis and other biothreat pathogens.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Epetraborole Mechanism of Action</w:t>
      </w:r>
    </w:p>
    <w:p>
      <w:pPr>
        <w:spacing w:after="0" w:line="102" w:lineRule="exact"/>
        <w:rPr>
          <w:sz w:val="20"/>
          <w:szCs w:val="20"/>
          <w:color w:val="auto"/>
        </w:rPr>
      </w:pPr>
    </w:p>
    <w:p>
      <w:pPr>
        <w:ind w:right="20" w:firstLine="509"/>
        <w:spacing w:after="0" w:line="220" w:lineRule="auto"/>
        <w:rPr>
          <w:sz w:val="20"/>
          <w:szCs w:val="20"/>
          <w:color w:val="auto"/>
        </w:rPr>
      </w:pPr>
      <w:r>
        <w:rPr>
          <w:rFonts w:ascii="Arial" w:cs="Arial" w:eastAsia="Arial" w:hAnsi="Arial"/>
          <w:sz w:val="18"/>
          <w:szCs w:val="18"/>
          <w:color w:val="auto"/>
        </w:rPr>
        <w:t>Epetraborole is an investigational, boron-containing, orally bioavailable, small molecule inhibitor of bacterial leucyl-tRNA synthetase, or LeuRS, an enzyme that catalyzes the attachment of leucine to transfer RNA, or tRNA, molecules, an essential step in protein synthesis. As shown in Figure A below, epetraborole forms a complex with a tRNA</w:t>
      </w:r>
      <w:r>
        <w:rPr>
          <w:rFonts w:ascii="Arial" w:cs="Arial" w:eastAsia="Arial" w:hAnsi="Arial"/>
          <w:sz w:val="24"/>
          <w:szCs w:val="24"/>
          <w:color w:val="auto"/>
          <w:vertAlign w:val="superscript"/>
        </w:rPr>
        <w:t>Leu</w:t>
      </w:r>
      <w:r>
        <w:rPr>
          <w:rFonts w:ascii="Arial" w:cs="Arial" w:eastAsia="Arial" w:hAnsi="Arial"/>
          <w:sz w:val="18"/>
          <w:szCs w:val="18"/>
          <w:color w:val="auto"/>
        </w:rPr>
        <w:t xml:space="preserve"> molecule, trapping the terminal ribonucleotide of tRNA</w:t>
      </w:r>
      <w:r>
        <w:rPr>
          <w:rFonts w:ascii="Arial" w:cs="Arial" w:eastAsia="Arial" w:hAnsi="Arial"/>
          <w:sz w:val="24"/>
          <w:szCs w:val="24"/>
          <w:color w:val="auto"/>
          <w:vertAlign w:val="superscript"/>
        </w:rPr>
        <w:t>Leu</w:t>
      </w:r>
      <w:r>
        <w:rPr>
          <w:rFonts w:ascii="Arial" w:cs="Arial" w:eastAsia="Arial" w:hAnsi="Arial"/>
          <w:sz w:val="18"/>
          <w:szCs w:val="18"/>
          <w:color w:val="auto"/>
        </w:rPr>
        <w:t xml:space="preserve"> in the editing site of the enzyme, to prevent the synthetic site from attaching leucine to tRNA</w:t>
      </w:r>
      <w:r>
        <w:rPr>
          <w:rFonts w:ascii="Arial" w:cs="Arial" w:eastAsia="Arial" w:hAnsi="Arial"/>
          <w:sz w:val="24"/>
          <w:szCs w:val="24"/>
          <w:color w:val="auto"/>
          <w:vertAlign w:val="superscript"/>
        </w:rPr>
        <w:t>Leu</w:t>
      </w:r>
      <w:r>
        <w:rPr>
          <w:rFonts w:ascii="Arial" w:cs="Arial" w:eastAsia="Arial" w:hAnsi="Arial"/>
          <w:sz w:val="18"/>
          <w:szCs w:val="18"/>
          <w:color w:val="auto"/>
        </w:rPr>
        <w:t xml:space="preserve"> thus shutting down tRNA leucylation and leading to a block in protein synthesis.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1999615</wp:posOffset>
            </wp:positionH>
            <wp:positionV relativeFrom="page">
              <wp:posOffset>706120</wp:posOffset>
            </wp:positionV>
            <wp:extent cx="3557270" cy="265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55727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0" w:right="100" w:hanging="3973"/>
        <w:spacing w:after="0" w:line="294" w:lineRule="auto"/>
        <w:rPr>
          <w:sz w:val="20"/>
          <w:szCs w:val="20"/>
          <w:color w:val="auto"/>
        </w:rPr>
      </w:pPr>
      <w:r>
        <w:rPr>
          <w:rFonts w:ascii="Arial" w:cs="Arial" w:eastAsia="Arial" w:hAnsi="Arial"/>
          <w:sz w:val="14"/>
          <w:szCs w:val="14"/>
          <w:b w:val="1"/>
          <w:bCs w:val="1"/>
          <w:color w:val="auto"/>
        </w:rPr>
        <w:t>Figure A. Epetraborole is designed to inhibit the protein synthesis enzyme leucyl-tRNA synthetase, or LeuRS, by binding to the terminal adenosine ribose of tRNALeu in the editing site.</w:t>
      </w:r>
    </w:p>
    <w:p>
      <w:pPr>
        <w:spacing w:after="0" w:line="136"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As shown in Table 1 below, epetraborole has demonstrated antimicrobial activity against a broad panel of 161 isolates of MAC, with minimum inhibitory concentrations, or MICs, of 0.25 mg/ml to 16 mg/ml. Epetraborole also maintained activity against MAC isolates that are resistant to clarithromycin, a current therapy for NTM treatment regimens.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MIC (mg/L)</w:t>
            </w: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155"/>
        </w:trPr>
        <w:tc>
          <w:tcPr>
            <w:tcW w:w="6640" w:type="dxa"/>
            <w:vAlign w:val="bottom"/>
          </w:tcPr>
          <w:p>
            <w:pPr>
              <w:spacing w:after="0"/>
              <w:rPr>
                <w:sz w:val="13"/>
                <w:szCs w:val="13"/>
                <w:color w:val="auto"/>
              </w:rPr>
            </w:pPr>
          </w:p>
        </w:tc>
        <w:tc>
          <w:tcPr>
            <w:tcW w:w="14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Epetraborole</w:t>
            </w:r>
          </w:p>
        </w:tc>
        <w:tc>
          <w:tcPr>
            <w:tcW w:w="160" w:type="dxa"/>
            <w:vAlign w:val="bottom"/>
          </w:tcPr>
          <w:p>
            <w:pPr>
              <w:spacing w:after="0"/>
              <w:rPr>
                <w:sz w:val="13"/>
                <w:szCs w:val="13"/>
                <w:color w:val="auto"/>
              </w:rPr>
            </w:pPr>
          </w:p>
        </w:tc>
        <w:tc>
          <w:tcPr>
            <w:tcW w:w="14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Clarithromycin</w:t>
            </w:r>
          </w:p>
        </w:tc>
        <w:tc>
          <w:tcPr>
            <w:tcW w:w="160" w:type="dxa"/>
            <w:vAlign w:val="bottom"/>
          </w:tcPr>
          <w:p>
            <w:pPr>
              <w:spacing w:after="0"/>
              <w:rPr>
                <w:sz w:val="13"/>
                <w:szCs w:val="13"/>
                <w:color w:val="auto"/>
              </w:rPr>
            </w:pPr>
          </w:p>
        </w:tc>
        <w:tc>
          <w:tcPr>
            <w:tcW w:w="144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Amikacin</w:t>
            </w: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MIC Range</w:t>
            </w:r>
          </w:p>
        </w:tc>
        <w:tc>
          <w:tcPr>
            <w:tcW w:w="14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8"/>
              </w:rPr>
              <w:t>0.25 - 16</w:t>
            </w:r>
          </w:p>
        </w:tc>
        <w:tc>
          <w:tcPr>
            <w:tcW w:w="1580" w:type="dxa"/>
            <w:vAlign w:val="bottom"/>
            <w:gridSpan w:val="2"/>
            <w:shd w:val="clear" w:color="auto" w:fill="CFF0FC"/>
          </w:tcPr>
          <w:p>
            <w:pPr>
              <w:jc w:val="center"/>
              <w:ind w:left="70"/>
              <w:spacing w:after="0" w:line="196" w:lineRule="exact"/>
              <w:rPr>
                <w:sz w:val="20"/>
                <w:szCs w:val="20"/>
                <w:color w:val="auto"/>
              </w:rPr>
            </w:pPr>
            <w:r>
              <w:rPr>
                <w:rFonts w:ascii="Arial" w:cs="Arial" w:eastAsia="Arial" w:hAnsi="Arial"/>
                <w:sz w:val="18"/>
                <w:szCs w:val="18"/>
                <w:color w:val="auto"/>
                <w:w w:val="98"/>
              </w:rPr>
              <w:t>0.125 - &gt;64</w:t>
            </w:r>
          </w:p>
        </w:tc>
        <w:tc>
          <w:tcPr>
            <w:tcW w:w="1600" w:type="dxa"/>
            <w:vAlign w:val="bottom"/>
            <w:gridSpan w:val="2"/>
            <w:shd w:val="clear" w:color="auto" w:fill="CFF0FC"/>
          </w:tcPr>
          <w:p>
            <w:pPr>
              <w:jc w:val="center"/>
              <w:ind w:left="70"/>
              <w:spacing w:after="0" w:line="196" w:lineRule="exact"/>
              <w:rPr>
                <w:sz w:val="20"/>
                <w:szCs w:val="20"/>
                <w:color w:val="auto"/>
              </w:rPr>
            </w:pPr>
            <w:r>
              <w:rPr>
                <w:rFonts w:ascii="Arial" w:cs="Arial" w:eastAsia="Arial" w:hAnsi="Arial"/>
                <w:sz w:val="18"/>
                <w:szCs w:val="18"/>
                <w:color w:val="auto"/>
                <w:w w:val="98"/>
              </w:rPr>
              <w:t>2 - &gt;64</w:t>
            </w: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MIC</w:t>
            </w:r>
            <w:r>
              <w:rPr>
                <w:rFonts w:ascii="Arial" w:cs="Arial" w:eastAsia="Arial" w:hAnsi="Arial"/>
                <w:sz w:val="12"/>
                <w:szCs w:val="12"/>
                <w:color w:val="auto"/>
              </w:rPr>
              <w:t>50</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c>
          <w:tcPr>
            <w:tcW w:w="15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9"/>
              </w:rPr>
              <w:t>1</w:t>
            </w:r>
          </w:p>
        </w:tc>
        <w:tc>
          <w:tcPr>
            <w:tcW w:w="160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9"/>
              </w:rPr>
              <w:t>16</w:t>
            </w: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MIC</w:t>
            </w:r>
            <w:r>
              <w:rPr>
                <w:rFonts w:ascii="Arial" w:cs="Arial" w:eastAsia="Arial" w:hAnsi="Arial"/>
                <w:sz w:val="12"/>
                <w:szCs w:val="12"/>
                <w:color w:val="auto"/>
              </w:rPr>
              <w:t>90</w:t>
            </w:r>
          </w:p>
        </w:tc>
        <w:tc>
          <w:tcPr>
            <w:tcW w:w="14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4</w:t>
            </w:r>
          </w:p>
        </w:tc>
        <w:tc>
          <w:tcPr>
            <w:tcW w:w="158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w w:val="99"/>
              </w:rPr>
              <w:t>4</w:t>
            </w:r>
          </w:p>
        </w:tc>
        <w:tc>
          <w:tcPr>
            <w:tcW w:w="160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w w:val="99"/>
              </w:rPr>
              <w:t>32</w:t>
            </w:r>
          </w:p>
        </w:tc>
      </w:tr>
    </w:tbl>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 xml:space="preserve">Table 1. Antimicrobial activity of epetraborole, clarithromycin and amikacin against 161 isolates of MAC including </w:t>
      </w:r>
      <w:r>
        <w:rPr>
          <w:rFonts w:ascii="Arial" w:cs="Arial" w:eastAsia="Arial" w:hAnsi="Arial"/>
          <w:sz w:val="14"/>
          <w:szCs w:val="14"/>
          <w:b w:val="1"/>
          <w:bCs w:val="1"/>
          <w:i w:val="1"/>
          <w:iCs w:val="1"/>
          <w:color w:val="auto"/>
        </w:rPr>
        <w:t>M. intracellulare</w:t>
      </w:r>
      <w:r>
        <w:rPr>
          <w:rFonts w:ascii="Arial" w:cs="Arial" w:eastAsia="Arial" w:hAnsi="Arial"/>
          <w:sz w:val="14"/>
          <w:szCs w:val="14"/>
          <w:b w:val="1"/>
          <w:bCs w:val="1"/>
          <w:color w:val="auto"/>
        </w:rPr>
        <w:t xml:space="preserve"> isolates, </w:t>
      </w:r>
      <w:r>
        <w:rPr>
          <w:rFonts w:ascii="Arial" w:cs="Arial" w:eastAsia="Arial" w:hAnsi="Arial"/>
          <w:sz w:val="14"/>
          <w:szCs w:val="14"/>
          <w:b w:val="1"/>
          <w:bCs w:val="1"/>
          <w:i w:val="1"/>
          <w:iCs w:val="1"/>
          <w:color w:val="auto"/>
        </w:rPr>
        <w:t>M. avium</w:t>
      </w:r>
      <w:r>
        <w:rPr>
          <w:rFonts w:ascii="Arial" w:cs="Arial" w:eastAsia="Arial" w:hAnsi="Arial"/>
          <w:sz w:val="14"/>
          <w:szCs w:val="14"/>
          <w:b w:val="1"/>
          <w:bCs w:val="1"/>
          <w:color w:val="auto"/>
        </w:rPr>
        <w:t xml:space="preserve"> isolate, </w:t>
      </w:r>
      <w:r>
        <w:rPr>
          <w:rFonts w:ascii="Arial" w:cs="Arial" w:eastAsia="Arial" w:hAnsi="Arial"/>
          <w:sz w:val="14"/>
          <w:szCs w:val="14"/>
          <w:b w:val="1"/>
          <w:bCs w:val="1"/>
          <w:i w:val="1"/>
          <w:iCs w:val="1"/>
          <w:color w:val="auto"/>
        </w:rPr>
        <w:t>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 xml:space="preserve">avium </w:t>
      </w:r>
      <w:r>
        <w:rPr>
          <w:rFonts w:ascii="Arial" w:cs="Arial" w:eastAsia="Arial" w:hAnsi="Arial"/>
          <w:sz w:val="14"/>
          <w:szCs w:val="14"/>
          <w:b w:val="1"/>
          <w:bCs w:val="1"/>
          <w:color w:val="auto"/>
        </w:rPr>
        <w:t>complex isolates,</w:t>
      </w:r>
      <w:r>
        <w:rPr>
          <w:rFonts w:ascii="Arial" w:cs="Arial" w:eastAsia="Arial" w:hAnsi="Arial"/>
          <w:sz w:val="14"/>
          <w:szCs w:val="14"/>
          <w:b w:val="1"/>
          <w:bCs w:val="1"/>
          <w:i w:val="1"/>
          <w:iCs w:val="1"/>
          <w:color w:val="auto"/>
        </w:rPr>
        <w:t xml:space="preserve"> M. avium </w:t>
      </w:r>
      <w:r>
        <w:rPr>
          <w:rFonts w:ascii="Arial" w:cs="Arial" w:eastAsia="Arial" w:hAnsi="Arial"/>
          <w:sz w:val="14"/>
          <w:szCs w:val="14"/>
          <w:b w:val="1"/>
          <w:bCs w:val="1"/>
          <w:color w:val="auto"/>
        </w:rPr>
        <w:t>subsp.</w:t>
      </w:r>
      <w:r>
        <w:rPr>
          <w:rFonts w:ascii="Arial" w:cs="Arial" w:eastAsia="Arial" w:hAnsi="Arial"/>
          <w:sz w:val="14"/>
          <w:szCs w:val="14"/>
          <w:b w:val="1"/>
          <w:bCs w:val="1"/>
          <w:i w:val="1"/>
          <w:iCs w:val="1"/>
          <w:color w:val="auto"/>
        </w:rPr>
        <w:t xml:space="preserve"> hominissuis </w:t>
      </w:r>
      <w:r>
        <w:rPr>
          <w:rFonts w:ascii="Arial" w:cs="Arial" w:eastAsia="Arial" w:hAnsi="Arial"/>
          <w:sz w:val="14"/>
          <w:szCs w:val="14"/>
          <w:b w:val="1"/>
          <w:bCs w:val="1"/>
          <w:color w:val="auto"/>
        </w:rPr>
        <w:t>isolates, and</w:t>
      </w:r>
      <w:r>
        <w:rPr>
          <w:rFonts w:ascii="Arial" w:cs="Arial" w:eastAsia="Arial" w:hAnsi="Arial"/>
          <w:sz w:val="14"/>
          <w:szCs w:val="14"/>
          <w:b w:val="1"/>
          <w:bCs w:val="1"/>
          <w:i w:val="1"/>
          <w:iCs w:val="1"/>
          <w:color w:val="auto"/>
        </w:rPr>
        <w:t xml:space="preserve"> M. chimaera </w:t>
      </w:r>
      <w:r>
        <w:rPr>
          <w:rFonts w:ascii="Arial" w:cs="Arial" w:eastAsia="Arial" w:hAnsi="Arial"/>
          <w:sz w:val="14"/>
          <w:szCs w:val="14"/>
          <w:b w:val="1"/>
          <w:bCs w:val="1"/>
          <w:color w:val="auto"/>
        </w:rPr>
        <w:t>isolates.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Unmet Need in NTM and Market Opportunity for Epetraborole</w:t>
      </w:r>
    </w:p>
    <w:p>
      <w:pPr>
        <w:spacing w:after="0" w:line="102"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NTM lung disease is a rare, chronic, and progressive infectious disease caused by bacteria known as mycobacteria that leads to irreversible lung damage and can be fatal. Unlike most bacteria, which replicate quickly and spread outside of cells, mycobacteria replicate slowly and mostly infect alveolar (lung) macrophages and survive within them. Due to the slow growth and survival within macrophages of mycobacteria, the current standard of care for NTM lung infections requires prolonged treatments, often for 18 months or longer, with a combination of three or more antibiotics. Initially, we are focused on developing epetraborole to treat the most common type of NTM, MAC, which accounts for approximately 80% of NTM lung disease in the United States.</w:t>
      </w:r>
    </w:p>
    <w:p>
      <w:pPr>
        <w:spacing w:after="0" w:line="179"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There are an estimated 200,000 patients with NTM lung disease in the United States. We believe that many remain underdiagnosed due to lack of clinical suspicion, nonspecific respiratory symptoms, and underlying lung diseases that are frequent in patients with this infection. The prevalence of NTM lung disease is increasing in the United States by an estimated 8% per year. Among the approximately 55,000 patients diagnosed with NTM lung disease in the United States, approximately 44,000 patients have MAC lung disease, and approximately 35% of these patients have treatment-refractory MAC lung disease.</w:t>
      </w:r>
    </w:p>
    <w:p>
      <w:pPr>
        <w:spacing w:after="0" w:line="176"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In addition, Japan has some of the highest rates of NTM lung disease in the world. It is estimated that there are 220,000 patients with NTM lung disease and 21,000 patients with treatment-refractory MAC lung disease in Japan.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right="20" w:firstLine="509"/>
        <w:spacing w:after="0" w:line="239" w:lineRule="auto"/>
        <w:rPr>
          <w:sz w:val="20"/>
          <w:szCs w:val="20"/>
          <w:color w:val="auto"/>
        </w:rPr>
      </w:pPr>
      <w:r>
        <w:rPr>
          <w:rFonts w:ascii="Arial" w:cs="Arial" w:eastAsia="Arial" w:hAnsi="Arial"/>
          <w:sz w:val="18"/>
          <w:szCs w:val="18"/>
          <w:color w:val="auto"/>
        </w:rPr>
        <w:t>There is only one FDA-approved therapy for treatment-refractory MAC lung disease: Arikayce, an inhaled liposomal formulation of amikacin. Arikayce is also approved in Japan and certain other countries around the world. Insmed Incorporated reported net sales of Arikayce of approximately $363.7 million in 2024 ($254.8 million in the United States, $ 87.7 million in Japan, and $21.2 million in Europe and the rest of the world), a 19% increase over 2023. We believe there is significant unmet need for new treatments, particularly in an oral dosage form with differentiated tolerability and mechanism of action. In a clinical trial, the addition of Arikayce to standard of care (SOC) combination antibiotic therapy resulted in the resolution of MAC infection in 29% of patients as compared to 9% for SOC alone (based on an intent to treat population). Arikayce has boxed warnings for risk of increased respiratory adverse reactions, and warnings and precautions including ototoxicity, a known class effect with aminoglycosides, and other safety findings. In its clinical trial, between 20.3% and 33.5% of patients treated with Arikayce discontinued treatment. Other drugs used in combination with Arikayce as a part of a standard-of-care regimen are not approved to treat MAC lung disease and carry numerous safety and tolerability liabilities of their own.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Clinical Experience with Epetraborole</w:t>
      </w:r>
    </w:p>
    <w:p>
      <w:pPr>
        <w:spacing w:after="0" w:line="102" w:lineRule="exact"/>
        <w:rPr>
          <w:sz w:val="20"/>
          <w:szCs w:val="20"/>
          <w:color w:val="auto"/>
        </w:rPr>
      </w:pPr>
    </w:p>
    <w:p>
      <w:pPr>
        <w:ind w:right="500" w:firstLine="509"/>
        <w:spacing w:after="0" w:line="244" w:lineRule="auto"/>
        <w:rPr>
          <w:sz w:val="20"/>
          <w:szCs w:val="20"/>
          <w:color w:val="auto"/>
        </w:rPr>
      </w:pPr>
      <w:r>
        <w:rPr>
          <w:rFonts w:ascii="Arial" w:cs="Arial" w:eastAsia="Arial" w:hAnsi="Arial"/>
          <w:sz w:val="18"/>
          <w:szCs w:val="18"/>
          <w:color w:val="auto"/>
        </w:rPr>
        <w:t>Prior to our clinical development program in NTM lung disease, epetraborole had been administered intravenously or orally as a monotherapy agent to over 200 subjects at a wide range of clinical doses across six Phase 1 and two truncated Phase 2 clinical trials conducted by Anacor and GSK with a focus on gram-negative infections that were unrelated to NTM lung disease, some of which were terminated prior to completion due to clinical resistance observed in a small number of patients in one of the two Phase 2 clinical trials. Epetraborole was not tested by Anacor or GSK in patients with NTM lung disease or in combination with other antimicrobial agents.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Epetraborole Regulatory Exclusivity</w:t>
      </w:r>
    </w:p>
    <w:p>
      <w:pPr>
        <w:spacing w:after="0" w:line="10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As an orphan and QIDP-designated product, if approved in the United States for use in patients with treatment-refractory MAC lung disease, it is possible we could obtain up to 12 years of regulatory exclusivity, independent of any applicable patent protection. If approved in Japan, we believe we could obtain at least eight years of exclusivity, independent of any applicable patent protection that we may acquire.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AN2-502998 Chagas Disease</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Chagas disease is caused by the parasite </w:t>
      </w:r>
      <w:r>
        <w:rPr>
          <w:rFonts w:ascii="Arial" w:cs="Arial" w:eastAsia="Arial" w:hAnsi="Arial"/>
          <w:sz w:val="18"/>
          <w:szCs w:val="18"/>
          <w:i w:val="1"/>
          <w:iCs w:val="1"/>
          <w:color w:val="auto"/>
        </w:rPr>
        <w:t>Trypanosoma cruzi</w:t>
      </w:r>
      <w:r>
        <w:rPr>
          <w:rFonts w:ascii="Arial" w:cs="Arial" w:eastAsia="Arial" w:hAnsi="Arial"/>
          <w:sz w:val="18"/>
          <w:szCs w:val="18"/>
          <w:color w:val="auto"/>
        </w:rPr>
        <w:t xml:space="preserve">, which spreads via triatomine bugs (vector), a subspecies of blood-feeding insects more commonly known as “kissing bugs” because they tend to bite people on the face and lips. </w:t>
      </w:r>
      <w:r>
        <w:rPr>
          <w:rFonts w:ascii="Arial" w:cs="Arial" w:eastAsia="Arial" w:hAnsi="Arial"/>
          <w:sz w:val="18"/>
          <w:szCs w:val="18"/>
          <w:i w:val="1"/>
          <w:iCs w:val="1"/>
          <w:color w:val="auto"/>
        </w:rPr>
        <w:t>T. cruzi</w:t>
      </w:r>
      <w:r>
        <w:rPr>
          <w:rFonts w:ascii="Arial" w:cs="Arial" w:eastAsia="Arial" w:hAnsi="Arial"/>
          <w:sz w:val="18"/>
          <w:szCs w:val="18"/>
          <w:color w:val="auto"/>
        </w:rPr>
        <w:t xml:space="preserve"> is also transmitted congenitally from infected mothers to their babies, through consumption of contaminated food or beverages, and via blood transfusions and organ transplants. While the disease can progress slowly, chronic infection almost inevitably results in irreparable damage to heart and digestive system tissues. If untreated, infection is lifelong and can be life threatening. Chagas disease kills more people in Latin America than any other infectious disease–including malaria, tuberculosis, and HIV—and is one of the major causes of infection-induced myocarditis or cardiomyopathy worldwide. An estimated 30% of Chagas patients develop chronic and often severe heart disease that leads to premature death.</w:t>
      </w:r>
    </w:p>
    <w:p>
      <w:pPr>
        <w:spacing w:after="0" w:line="180"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 xml:space="preserve">According to the World Health Organization, approximately 6 -7 million people worldwide are estimated to be infected with the parasite </w:t>
      </w:r>
      <w:r>
        <w:rPr>
          <w:rFonts w:ascii="Arial" w:cs="Arial" w:eastAsia="Arial" w:hAnsi="Arial"/>
          <w:sz w:val="18"/>
          <w:szCs w:val="18"/>
          <w:i w:val="1"/>
          <w:iCs w:val="1"/>
          <w:color w:val="auto"/>
        </w:rPr>
        <w:t>T. cruzi</w:t>
      </w:r>
      <w:r>
        <w:rPr>
          <w:rFonts w:ascii="Arial" w:cs="Arial" w:eastAsia="Arial" w:hAnsi="Arial"/>
          <w:sz w:val="18"/>
          <w:szCs w:val="18"/>
          <w:color w:val="auto"/>
        </w:rPr>
        <w:t>, mostly in Latin America. An increasing number of cases of Chagas are also being documented in the United States of America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Europe. In the United States, the CDC estimates that there more than 300,000 people infected with </w:t>
      </w:r>
      <w:r>
        <w:rPr>
          <w:rFonts w:ascii="Arial" w:cs="Arial" w:eastAsia="Arial" w:hAnsi="Arial"/>
          <w:sz w:val="18"/>
          <w:szCs w:val="18"/>
          <w:i w:val="1"/>
          <w:iCs w:val="1"/>
          <w:color w:val="auto"/>
        </w:rPr>
        <w:t>T. cruzi</w:t>
      </w:r>
      <w:r>
        <w:rPr>
          <w:rFonts w:ascii="Arial" w:cs="Arial" w:eastAsia="Arial" w:hAnsi="Arial"/>
          <w:sz w:val="18"/>
          <w:szCs w:val="18"/>
          <w:color w:val="auto"/>
        </w:rPr>
        <w:t>, most of whom were infected in Chagas-endemic regions in Latin America.</w:t>
      </w:r>
    </w:p>
    <w:p>
      <w:pPr>
        <w:spacing w:after="0" w:line="174"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 xml:space="preserve">Chagas disease presents in an acute phase (~2 months after infection) and a chronic phase, where the </w:t>
      </w:r>
      <w:r>
        <w:rPr>
          <w:rFonts w:ascii="Arial" w:cs="Arial" w:eastAsia="Arial" w:hAnsi="Arial"/>
          <w:sz w:val="18"/>
          <w:szCs w:val="18"/>
          <w:i w:val="1"/>
          <w:iCs w:val="1"/>
          <w:color w:val="auto"/>
        </w:rPr>
        <w:t>T. cruzi</w:t>
      </w:r>
      <w:r>
        <w:rPr>
          <w:rFonts w:ascii="Arial" w:cs="Arial" w:eastAsia="Arial" w:hAnsi="Arial"/>
          <w:sz w:val="18"/>
          <w:szCs w:val="18"/>
          <w:color w:val="auto"/>
        </w:rPr>
        <w:t xml:space="preserve"> parasites are hidden mainly in the heart and digestive muscles. For over 50 years, two nitroheterocyclic compounds, benznidazole and nifurtimox, have been available for treatment of the infection and are FDA approved for use in children, but are rarely used due to their inconsistent efficacy and high frequency of side effects. There are currently no approved therapies to cure the disease once it reaches the chronic phase; however, benznidazole and nifurtimox may be offered to people younger than age 50 because they may help slow the progression of the disease and its most serious complications.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 w:name="page9"/>
    <w:bookmarkEnd w:id="8"/>
    <w:p>
      <w:pPr>
        <w:ind w:right="20" w:firstLine="509"/>
        <w:spacing w:after="0"/>
        <w:rPr>
          <w:sz w:val="20"/>
          <w:szCs w:val="20"/>
          <w:color w:val="auto"/>
        </w:rPr>
      </w:pPr>
      <w:r>
        <w:rPr>
          <w:rFonts w:ascii="Arial" w:cs="Arial" w:eastAsia="Arial" w:hAnsi="Arial"/>
          <w:sz w:val="18"/>
          <w:szCs w:val="18"/>
          <w:color w:val="auto"/>
        </w:rPr>
        <w:t xml:space="preserve">In October 2023, we announced that we signed an exclusive license agreement with the University of Georgia Research Foundation to advance development of AN2-502998 (formerly known as AN15368), a boron-based small molecule therapeutic candidate under development for the treatment of Chagas disease. AN2-502998 was originally discovered by researchers at Anacor, in close collaboration with the University of Georgia, and with grant funding from Wellcome. IND-enabling studies are well underway for this compound. AN2-502998, previously published under AN15368, is the only compound of which we are aware to have demonstrated curative activity in preclinical studies across multiple species, including in non-human primates with long-term, naturally acquired chronic infections of diverse </w:t>
      </w:r>
      <w:r>
        <w:rPr>
          <w:rFonts w:ascii="Arial" w:cs="Arial" w:eastAsia="Arial" w:hAnsi="Arial"/>
          <w:sz w:val="18"/>
          <w:szCs w:val="18"/>
          <w:i w:val="1"/>
          <w:iCs w:val="1"/>
          <w:color w:val="auto"/>
        </w:rPr>
        <w:t>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cruzi </w:t>
      </w:r>
      <w:r>
        <w:rPr>
          <w:rFonts w:ascii="Arial" w:cs="Arial" w:eastAsia="Arial" w:hAnsi="Arial"/>
          <w:sz w:val="18"/>
          <w:szCs w:val="18"/>
          <w:color w:val="auto"/>
        </w:rPr>
        <w:t>genetic types.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Melioidosis</w:t>
      </w:r>
    </w:p>
    <w:p>
      <w:pPr>
        <w:spacing w:after="0" w:line="10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 xml:space="preserve">Melioidosis is an urgent unmet global health infectious disease caused by the bacterium </w:t>
      </w:r>
      <w:r>
        <w:rPr>
          <w:rFonts w:ascii="Arial" w:cs="Arial" w:eastAsia="Arial" w:hAnsi="Arial"/>
          <w:sz w:val="18"/>
          <w:szCs w:val="18"/>
          <w:i w:val="1"/>
          <w:iCs w:val="1"/>
          <w:color w:val="auto"/>
        </w:rPr>
        <w:t>Burkholderia pseudomallei</w:t>
      </w:r>
      <w:r>
        <w:rPr>
          <w:rFonts w:ascii="Arial" w:cs="Arial" w:eastAsia="Arial" w:hAnsi="Arial"/>
          <w:sz w:val="18"/>
          <w:szCs w:val="18"/>
          <w:color w:val="auto"/>
        </w:rPr>
        <w:t xml:space="preserve"> (</w:t>
      </w:r>
      <w:r>
        <w:rPr>
          <w:rFonts w:ascii="Arial" w:cs="Arial" w:eastAsia="Arial" w:hAnsi="Arial"/>
          <w:sz w:val="18"/>
          <w:szCs w:val="18"/>
          <w:i w:val="1"/>
          <w:iCs w:val="1"/>
          <w:color w:val="auto"/>
        </w:rPr>
        <w:t>B. pseudomallei</w:t>
      </w:r>
      <w:r>
        <w:rPr>
          <w:rFonts w:ascii="Arial" w:cs="Arial" w:eastAsia="Arial" w:hAnsi="Arial"/>
          <w:sz w:val="18"/>
          <w:szCs w:val="18"/>
          <w:color w:val="auto"/>
        </w:rPr>
        <w:t xml:space="preserve">). This bacterium is also documented as a high priority biothreat pathogen by the U.S. CDC. </w:t>
      </w:r>
      <w:r>
        <w:rPr>
          <w:rFonts w:ascii="Arial" w:cs="Arial" w:eastAsia="Arial" w:hAnsi="Arial"/>
          <w:sz w:val="18"/>
          <w:szCs w:val="18"/>
          <w:i w:val="1"/>
          <w:iCs w:val="1"/>
          <w:color w:val="auto"/>
        </w:rPr>
        <w:t>B. pseudomallei</w:t>
      </w:r>
      <w:r>
        <w:rPr>
          <w:rFonts w:ascii="Arial" w:cs="Arial" w:eastAsia="Arial" w:hAnsi="Arial"/>
          <w:sz w:val="18"/>
          <w:szCs w:val="18"/>
          <w:color w:val="auto"/>
        </w:rPr>
        <w:t xml:space="preserve"> is endemic to tropical regions of the world with the majority of reported melioidosis cases occurring in South Asia. Melioidosis is contracted from direct contact with </w:t>
      </w:r>
      <w:r>
        <w:rPr>
          <w:rFonts w:ascii="Arial" w:cs="Arial" w:eastAsia="Arial" w:hAnsi="Arial"/>
          <w:sz w:val="18"/>
          <w:szCs w:val="18"/>
          <w:i w:val="1"/>
          <w:iCs w:val="1"/>
          <w:color w:val="auto"/>
        </w:rPr>
        <w:t>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pseudomallei </w:t>
      </w:r>
      <w:r>
        <w:rPr>
          <w:rFonts w:ascii="Arial" w:cs="Arial" w:eastAsia="Arial" w:hAnsi="Arial"/>
          <w:sz w:val="18"/>
          <w:szCs w:val="18"/>
          <w:color w:val="auto"/>
        </w:rPr>
        <w:t>contaminated soil and water and is not transmitted person-to-person. Similar to NTM,</w:t>
      </w:r>
      <w:r>
        <w:rPr>
          <w:rFonts w:ascii="Arial" w:cs="Arial" w:eastAsia="Arial" w:hAnsi="Arial"/>
          <w:sz w:val="18"/>
          <w:szCs w:val="18"/>
          <w:i w:val="1"/>
          <w:iCs w:val="1"/>
          <w:color w:val="auto"/>
        </w:rPr>
        <w:t xml:space="preserve"> B. pseudomallei </w:t>
      </w:r>
      <w:r>
        <w:rPr>
          <w:rFonts w:ascii="Arial" w:cs="Arial" w:eastAsia="Arial" w:hAnsi="Arial"/>
          <w:sz w:val="18"/>
          <w:szCs w:val="18"/>
          <w:color w:val="auto"/>
        </w:rPr>
        <w:t>can be an intra-cellular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pathogen in host cells including macrophages and other cellular components, an important element in melioidosis disease. The disease can manifest as localized infections causing pain, swelling and ulceration; as pulmonary infections causing cough, chest pain, high fever, and headache; and as blood stream infections causing fever, headache, respiratory distress, and abdominal discomfort. Current treatment generally starts with an intense phase of intravenous antibiotic treatment for a minimum of two weeks. Even with antibiotic treatment, the mortality rate is between 20% and 40%. Without treatment, it is estimated that six to nine out of ten people die. There are an estimated 165,000 cases of melioidosis diagnosed globally each year, mostly outside the United States, although small outbreaks due to bacterial exposure have occurred in the United States and the pathogen was recently discovered in soil and water sampling from the Gulf Coast region of Mississippi. Nonclinical studies conducted by us, Anacor, the U.S. Army Medical Research Institute of Infectious Diseases and Colorado State University indicate that epetraborole has potent activity against </w:t>
      </w:r>
      <w:r>
        <w:rPr>
          <w:rFonts w:ascii="Arial" w:cs="Arial" w:eastAsia="Arial" w:hAnsi="Arial"/>
          <w:sz w:val="18"/>
          <w:szCs w:val="18"/>
          <w:i w:val="1"/>
          <w:iCs w:val="1"/>
          <w:color w:val="auto"/>
        </w:rPr>
        <w:t>B. pseudomallei.</w:t>
      </w:r>
    </w:p>
    <w:p>
      <w:pPr>
        <w:spacing w:after="0" w:line="18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September 2022, we received a cost-reimbursement contract award to receive up to $17.8 million from the NIAID to advance the development of epetraborole for acute systemic melioidosis and additional bacterial biothreat pathogens. The base period contract award is $4.3 million with additional options that, if exercised, would enable us to receive up to $17.8 million in total to support preclinical, Phase 1 studies, and other activities to enable advancement of epetraborole into advanced clinical trials for acute systemic melioidosis. In July 2023, the NIAID exercised one of seven available options under the NIAID contract (No: 75N93022C00059), resulting in an increase in committed contract funding of $0.7 million, for a total of $5.0 million. In May 2024, the NIAID exercised a second contract option, resulting in an increase in committed contract funding of $3.8M, for a total of $8.8M. The project has been funded in whole with nondilutive federal funds from the NIAID, NIH, and the Department of Health and Human Services.</w:t>
      </w:r>
    </w:p>
    <w:p>
      <w:pPr>
        <w:spacing w:after="0" w:line="180"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Our work with the NIAID on our melioidosis program has resulted in our partnering with the University of Oxford’s Mahidol Oxford Tropical Medicine Research Unit to conduct a prospective observational study in Thailand and Laos. This trial completed enrollment of 200 patients in October 2024 (NCTC 06089668), and topline data is expected to be available in the second quarter of 2025. We plan to initiate a Phase 2 study in mellioidosis in the second half of 2025. We have also partnered with Colorado State University on preclinical research for our melioidosis program. We believe these partners provide substantial technical and capital resources to advance the mellioidosis program and provide scientific, technical, and material benefits to our NTM lung disease program.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do not own or operate manufacturing facilities for the production of any of our product candidates, nor do we have plans to develop our own manufacturing operations in the foreseeable future. We currently rely on a limited number of third-party contract manufacturers for all of our required raw materials, drug substance, and finished drug product for our preclinical and nonclinical studies and clinical trials. We currently employ internal resources to manage our third-party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Anacor Pharmaceuticals, Inc.</w:t>
      </w:r>
    </w:p>
    <w:p>
      <w:pPr>
        <w:spacing w:after="0" w:line="102"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In November 2019, we entered into a license agreement (the “Anacor Agreement”) with Anacor, pursuant to which we obtained a worldwide exclusive, sublicensable license under certain patent rights of Anacor and a non-exclusive license under certain know-how of Anacor to use, develop, manufacture, commercialize, or otherwise exploit certain compounds and products, including epetraborole, for the treatment, diagnosis, or prevention of all human diseases, and a worldwide non-exclusive license under certain chiral synthesis intellectual property rights from GSK for the sole purpose of manufacturing such compounds and products.</w:t>
      </w:r>
    </w:p>
    <w:p>
      <w:pPr>
        <w:spacing w:after="0" w:line="176"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We granted Anacor a non-exclusive, sublicensable license to develop, manufacture or use (but not commercialize) licensed products under all intellectual property rights that are both (i) related to the licensed products and (ii) conceived or reduced to practice by us, our affiliates, or our sublicensees. We also granted Anacor a right of first refusal in the event a priority review voucher is issued for a licensed product, and we desire to sell such priority review voucher.</w:t>
      </w:r>
    </w:p>
    <w:p>
      <w:pPr>
        <w:spacing w:after="0" w:line="174"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We are obligated to use commercially reasonable efforts to develop, seek regulatory approval for, and commercialize (where such regulatory approval is received) epetraborole.</w:t>
      </w:r>
    </w:p>
    <w:p>
      <w:pPr>
        <w:spacing w:after="0" w:line="154" w:lineRule="exact"/>
        <w:rPr>
          <w:sz w:val="20"/>
          <w:szCs w:val="20"/>
          <w:color w:val="auto"/>
        </w:rPr>
      </w:pPr>
    </w:p>
    <w:p>
      <w:pPr>
        <w:ind w:right="140" w:firstLine="509"/>
        <w:spacing w:after="0" w:line="236" w:lineRule="auto"/>
        <w:rPr>
          <w:sz w:val="20"/>
          <w:szCs w:val="20"/>
          <w:color w:val="auto"/>
        </w:rPr>
      </w:pPr>
      <w:r>
        <w:rPr>
          <w:rFonts w:ascii="Arial" w:cs="Arial" w:eastAsia="Arial" w:hAnsi="Arial"/>
          <w:sz w:val="18"/>
          <w:szCs w:val="18"/>
          <w:color w:val="auto"/>
        </w:rPr>
        <w:t>In connection with the execution of the Anacor Agreement, we paid Anacor a non-refundable upfront payment of $2.0 million and granted Anacor shares of Series A redeemable convertible preferred stock. Additionally, we agreed to make further payments to Anacor upon achievement of various development milestones for an aggregate maximum payment of $2.0 million,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We also agreed to pay Anacor non-refundable, non-creditable sales royalties on a tiered marginal royalty rate based on the country’s status as a developing or developed country as defined in the license agreement. Sales royalties are a percentage of net sales, as specified in the Anacor Agreement, and range from mid-single digit percentages for developing countries and single to mid-teen percentages for developed countries or the China, Hong Kong, Taiwan, and Macau territories. The sales royalties are required to be paid on a product-by-product and country-by-country basis, until the latest to occur of (i) 15 years following from the date of first commercial sale of a product in such country,</w:t>
      </w:r>
    </w:p>
    <w:p>
      <w:pPr>
        <w:spacing w:after="0" w:line="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expiration of all regulatory or data exclusivity for such product in such country, or (iii) the date of the expiration of the last to expire</w:t>
      </w:r>
    </w:p>
    <w:p>
      <w:pPr>
        <w:ind w:right="120"/>
        <w:spacing w:after="0" w:line="242" w:lineRule="auto"/>
        <w:rPr>
          <w:rFonts w:ascii="Arial" w:cs="Arial" w:eastAsia="Arial" w:hAnsi="Arial"/>
          <w:sz w:val="18"/>
          <w:szCs w:val="18"/>
          <w:color w:val="auto"/>
        </w:rPr>
      </w:pPr>
      <w:r>
        <w:rPr>
          <w:rFonts w:ascii="Arial" w:cs="Arial" w:eastAsia="Arial" w:hAnsi="Arial"/>
          <w:sz w:val="18"/>
          <w:szCs w:val="18"/>
          <w:color w:val="auto"/>
        </w:rPr>
        <w:t>valid claim of a licensed patent covering such product in such country. Currently, the date of the expiration of the last to expire valid claim of a licensed patent covering epetraborole in the licensed territory is June 2028. In addition, Anacor is entitled to certain milestone payments upon a change of control of our company.</w:t>
      </w:r>
    </w:p>
    <w:p>
      <w:pPr>
        <w:spacing w:after="0" w:line="17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On December 3, 2021, we entered into an amendment to the Anacor Agreement, pursuant to which we obtained a worldwide non-exclusive, sublicensable license under certain patent rights of Anacor for the treatment, diagnosis, or prevention of bacterial diseases caused by certain bacterial species, to support the continued manufacture of epetraborole by us.</w:t>
      </w:r>
    </w:p>
    <w:p>
      <w:pPr>
        <w:spacing w:after="0" w:line="169" w:lineRule="exact"/>
        <w:rPr>
          <w:sz w:val="20"/>
          <w:szCs w:val="20"/>
          <w:color w:val="auto"/>
        </w:rPr>
      </w:pPr>
    </w:p>
    <w:p>
      <w:pPr>
        <w:ind w:right="60" w:firstLine="559"/>
        <w:spacing w:after="0" w:line="301" w:lineRule="auto"/>
        <w:rPr>
          <w:sz w:val="20"/>
          <w:szCs w:val="20"/>
          <w:color w:val="auto"/>
        </w:rPr>
      </w:pPr>
      <w:r>
        <w:rPr>
          <w:rFonts w:ascii="Arial" w:cs="Arial" w:eastAsia="Arial" w:hAnsi="Arial"/>
          <w:sz w:val="17"/>
          <w:szCs w:val="17"/>
          <w:color w:val="auto"/>
        </w:rPr>
        <w:t>The Anacor Agreement will expire upon expiration of the last to expire royalty term. Either party may terminate the Anacor Agreement for the other party’s material breach following a cure period or immediately upon certain insolvency events relating to the other party.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Brii Biosciences Limited</w:t>
      </w:r>
    </w:p>
    <w:p>
      <w:pPr>
        <w:spacing w:after="0" w:line="10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November 2019, we entered into a license agreement (the “Brii Biosciences License Agreement”) pursuant to which we granted Brii Biosciences an exclusive, perpetual, sublicensable license to research, develop, manufacture, and commercialize certain compounds and products, including epetraborole, in China, Hong Kong, Taiwan, and Macau for the diagnosis, treatment, and prevention of human diseases. Under the terms of the agreement, we licensed the intellectual property rights we licensed under the Anacor Agreement, as they apply in these jurisdictions, to Brii Bioscience. Further, neither we nor Brii Biosciences can develop a competing product that is directed to the same target as a licensed compound during the term of the Brii Biosciences License Agreement.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ind w:right="200" w:firstLine="509"/>
        <w:spacing w:after="0" w:line="244" w:lineRule="auto"/>
        <w:rPr>
          <w:sz w:val="20"/>
          <w:szCs w:val="20"/>
          <w:color w:val="auto"/>
        </w:rPr>
      </w:pPr>
      <w:r>
        <w:rPr>
          <w:rFonts w:ascii="Arial" w:cs="Arial" w:eastAsia="Arial" w:hAnsi="Arial"/>
          <w:sz w:val="18"/>
          <w:szCs w:val="18"/>
          <w:color w:val="auto"/>
        </w:rPr>
        <w:t>The collaboration is overseen by a joint steering committee. In the event of a dispute relating to the determination of proof of concept criteria, or licensed products in China, Hong Kong, Taiwan, and Macau for which Brii Biosciences has delivered a proof of concept acceptance notice, Brii Biosciences has the final decision-making authority, subject to certain veto rights of ours. Upon commencing development, Brii Biosciences is obligated to use commercially reasonable efforts to develop, seek regulatory approval for, and commercialize at least one licensed product in China, Hong Kong, Taiwan, and Macau.</w:t>
      </w:r>
    </w:p>
    <w:p>
      <w:pPr>
        <w:spacing w:after="0" w:line="17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did not receive an upfront payment, but we are eligible to receive up to $15.0 million in the aggregate for development and regulatory milestones for each licensed product and up to $150.0 million in the aggregate in commercial milestones upon achieving sales thresholds for each licensed product. We are also entitled to tiered mid-single digit percentage to high-first decile percentage sales-based royalties, subject to certain reductions, including lack of patent coverage and generic product entry. The sales royalties are required to be paid on a product-by-product and region-by-region basis, until the latest to occur of (i) 15 years following the date of first commercial sale of a product, (ii) the expiration of all regulatory or data exclusivity, or (iii) the date of the expiration of the last to expire valid claim of a licensed patent covering the composition of matter or approved use of such product in such region. The last to expire valid claim of a licensed patent covering the composition of matter or approved use of such product in the licensed territory is June 2028.</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Health Agreement with Adjuvant Global Health Technology Fund</w:t>
      </w:r>
    </w:p>
    <w:p>
      <w:pPr>
        <w:spacing w:after="0" w:line="10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We entered into the Global Health Agreement with Adjuvant Global Health Technology Fund (“Adjuvant”) in connection with Adjuvant’s investment in November 2019 and March 2021 of an aggregate amount of $12.0 million in our Series A and Series B redeemable convertible preferred stock financings. In connection with such investment, we issued Adjuvant an aggregate of 2,430,714 shares of our redeemable convertible preferred stock in November 2019 and March 2021. Pursuant to the Global Health Agreement, we agreed to support the creation of innovative and affordable drugs to treat disease, through public health programs and private purchasers in low and low-middle income target countries.</w:t>
      </w:r>
    </w:p>
    <w:p>
      <w:pPr>
        <w:spacing w:after="0" w:line="179"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Adjuvant’s investment supports the development of epetraborole for use in target countries that are melioidosis-endemic, melioidosis at-risk, tuberculosis-endemic, and tuberculosis-at-risk. Under the Global Health Agreement, we are required to comply with certain program-related investment global access commitments. We must use reasonably diligent endeavors to develop epetraborole for melioidosis, tuberculosis, and any other mutually agreed-upon products using non-dilutive funding and we must make them accessible to people in need in target countries on commercially reasonable terms and at a reasonable volume. Upon the occurrence of certain events, including the failure by ourselves to comply with the Global Health Agreement, we must grant Adjuvant a nonexclusive, perpetual, irrevocable, non-terminable, fully-paid up, royalty free license to epetraborole for melioidosis, tuberculosis, and any other mutually agreed-upon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Patent License Agreement with the University of Georgia Research Foundation, Inc.</w:t>
      </w:r>
    </w:p>
    <w:p>
      <w:pPr>
        <w:spacing w:after="0" w:line="10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October 2023, we entered into an agreement with the University of Georgia Research Foundation, Inc. (“UGARF”) pursuant to which UGARF exclusively licensed to us certain patents and applications that were previously licensed to UGARF by Anacor Pharmaceuticals for us to manufacture and commercialize products for the therapeutic, diagnostic and prophylactic treatment of Chagas disease in humans or animals worldwide. Under the license agreement, we must use commercially reasonable efforts to bring a product in the therapeutic, diagnostic and prophylactic treatment of Chagas disease in humans or animals to market in each territory where there is at least one valid patent claim. We must also use commercially reasonable efforts to attain certain development and sales milestones.</w:t>
      </w:r>
    </w:p>
    <w:p>
      <w:pPr>
        <w:spacing w:after="0" w:line="17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As consideration for the license from UGARF, we paid UGARF an initial license fee in the low five figures. We must also pay a yearly maintenance fee in the low four figures until the initiation of the first clinical trial of the first product covered by the licensed patent claims. Upon achievement of certain development and sales milestones, we are required to make payments of up to approximately $900 million. Should we commercialize any products covered by the licensed patent claims, we will be obligated to pay UGARF annual royalties in the low single digits. Should we sublicense the rights granted under this agreement, we will be obligated to pay UGARF a percentage of the amount received for the sublicense ranging from the mid-single digits to low double digits, depending on the development stage of the first product to enter clinical trials. Should we or a sublicensee transfer or sell to one or more third parties any priority review voucher (or a foreign equivalent) for a product covered by the licensed patent claims, we will be obligated to pay UGARF a percentage of the amount received from such third party ranging from the mid-teens to low double digits, depending on the amount of funding that the third party contributed to develop the product.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license agreement will terminate on a licensed patent by licensed patent basis until there are no valid claims for a licensed patent.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We can terminate the license agreement for convenience on 30 days prior written notice.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strive to protect and enhance our proprietary technology, inventions, and improvements that we consider commercially important to the development of our business, including by seeking, maintaining, and defending U.S. and foreign patent rights. As of December 31, 2024, all of the issued patents in our entire patent portfolio are in-licensed and if our current licensors are not cooperative or disagree with us as to the prosecution, maintenance, or enforcement of any such licensed patent rights, such patent rights could be compromised. The patent positions of pharmaceutical companies are generally uncertain and can involve complex legal, scientific, and factual issues. We cannot predict whether any patent applications we pursue, or any patent applications that we have in-licensed, will issue as patents in any particular jurisdiction, or whether the claims of any issued patents will provide sufficient proprietary protection from competitors.</w:t>
      </w:r>
    </w:p>
    <w:p>
      <w:pPr>
        <w:spacing w:after="0" w:line="185" w:lineRule="exact"/>
        <w:rPr>
          <w:sz w:val="20"/>
          <w:szCs w:val="20"/>
          <w:color w:val="auto"/>
        </w:rPr>
      </w:pPr>
    </w:p>
    <w:p>
      <w:pPr>
        <w:ind w:right="120" w:firstLine="559"/>
        <w:spacing w:after="0" w:line="239" w:lineRule="auto"/>
        <w:rPr>
          <w:sz w:val="20"/>
          <w:szCs w:val="20"/>
          <w:color w:val="auto"/>
        </w:rPr>
      </w:pPr>
      <w:r>
        <w:rPr>
          <w:rFonts w:ascii="Arial" w:cs="Arial" w:eastAsia="Arial" w:hAnsi="Arial"/>
          <w:sz w:val="18"/>
          <w:szCs w:val="18"/>
          <w:color w:val="auto"/>
        </w:rPr>
        <w:t>Our future commercial success depends, in part, on our ability to obtain and maintain patent and other proprietary protection for commercially important technology, inventions, and know-how related to our business, including our product candidates, to defend and enforce our intellectual property rights, in particular our patent rights, to preserve the confidentiality of our trade secrets, and to operate without infringing, misappropriating, or violating the valid and enforceable patents and other intellectual property rights of third parties. Our ability to preclude or restrict third parties from making, using, selling, offering to sell, or importing competing molecules to our products may depend on the extent to which we have rights under valid and enforceable patents and trade secrets that cover these activities. We seek to protect our proprietary technology and processes, in part, by confidentiality agreements with our employees, consultants, and contractors. We also seek to preserve the integrity and confidentiality of our data and trade secrets by maintaining physical security of our premises and physical and electronic security of our information technology systems.</w:t>
      </w:r>
    </w:p>
    <w:p>
      <w:pPr>
        <w:spacing w:after="0" w:line="18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addition, the coverage claimed in a patent application may be significantly reduced before a patent is granted, and its scope can be reinterpreted and even challenged after issuance. As a result, we cannot guarantee that any of our products will be protected or remain protectable by enforceable patents. Moreover, any patents that we license or may own in the future may be challenged, circumvented, or invalidated by third parties. In addition, because of the extensive time required for clinical development and regulatory review of a product candidate we may develop, it is possible that, before our product candidate can be commercialized successfully, any related patents may expire or remain in force for only a short period following commercial launch, thereby limiting the protection such patent would afford the applicable product and any competitive advantage such patent may provide. For more information regarding the risks related to our intellectual property, please see the section titled “Risk Factors—Risks Related to Our Intellectual Property.”</w:t>
      </w:r>
    </w:p>
    <w:p>
      <w:pPr>
        <w:spacing w:after="0" w:line="180"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For any individual patent, the term depends on the applicable law in the country in which the patent is issued. In most countries where we have in-licensed patents and patent applications, including the United States, patents have a term of 20 years from the application filing date or earliest claimed nonprovisional priority date. In the United States, the patent term may be shortened if a patent is terminally disclaimed over another patent that expires earlier. The term of a U.S. patent may also be lengthened by a patent term adjustment that is permitted in order to address administrative delays by the U.S. Patent and Trademark Office ("USPTO") in examining and granting a patent.</w:t>
      </w:r>
    </w:p>
    <w:p>
      <w:pPr>
        <w:spacing w:after="0" w:line="16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United States, the term of a patent that covers an FDA-approved drug or biologic may be eligible for patent term extension in order to restore the period of a patent term lost during the premarket FDA regulatory review process. Specifically, the Drug Price Competition and Patent Term Restoration Act of 1984 (the “Hatch-Waxman Act”) permits a patent term extension of up to five years beyond the natural expiration of the patent (but the total patent term, including the extension period, must not exceed 14 years following FDA approval). The patent term extension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Only one patent applicable to an approved product is eligible for patent term extension, and only those claims covering the approved product, a method for using it, or a method for manufacturing it may be extended. The application for patent term extension must be submitted prior to the expiration of the patent. The USPTO reviews and approves the application for any Patent Term Extension in consultation with the FDA.</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2" w:name="page13"/>
    <w:bookmarkEnd w:id="12"/>
    <w:p>
      <w:pPr>
        <w:ind w:right="60" w:firstLine="509"/>
        <w:spacing w:after="0" w:line="244" w:lineRule="auto"/>
        <w:rPr>
          <w:sz w:val="20"/>
          <w:szCs w:val="20"/>
          <w:color w:val="auto"/>
        </w:rPr>
      </w:pPr>
      <w:r>
        <w:rPr>
          <w:rFonts w:ascii="Arial" w:cs="Arial" w:eastAsia="Arial" w:hAnsi="Arial"/>
          <w:sz w:val="18"/>
          <w:szCs w:val="18"/>
          <w:color w:val="auto"/>
        </w:rPr>
        <w:t>The patent portfolio for our epetraborole product candidate is based upon our in-licensed patent portfolio, which includes patents and patent applications directed generally to compositions of matter, pharmaceutical compositions, and methods of treatment. We have exclusively licensed three U.S. patents, along with patents and pending patents in various foreign jurisdictions. We own three pending patent applications for epetraborole. Patents and patent applications, if granted, are expected to expire between 2028 and 2041, without taking potential patent term extensions or patent term adjustments into account.</w:t>
      </w:r>
    </w:p>
    <w:p>
      <w:pPr>
        <w:spacing w:after="0" w:line="176"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Prosecution is a lengthy process, during which the scope of the claims initially submitted for examination by the USPTO and other patent offices may be significantly revised before issuance, if granted at all. The in-licensed patents and patent applications for epetraborole are detailed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0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also rely on trade secrets, know-how, confidential information and continuing technological innovation to develop, strengthen and maintain our proprietary position in our field and protect aspects of our business that are not amenable to, or that we do not consider appropriate for, patent protection. However, trade secrets can be difficult to protect. While we take measures to protect and preserve our trade secrets, such measures can be breached, and we may not have adequate remedies for any such breach. We seek to protect our proprietary information, in part, using confidentiality agreements and invention assignment agreements with our collaborators, employees and consultants. These agreements are designed to protect our proprietary information and, in the case of the invention assignment agreements, to grant us ownership of technologies that are developed through a relationship with a third party. We cannot guarantee, however, that we have executed such agreements with all applicable counterparties. Furthermore, these agreements may be breached, and we may not have adequate remedies for any breach. In addition, our trade secrets may otherwise become known or be independently discovered by competitors and other third parties, or misused by any collaborator to whom we disclose such information. To the extent that our collaborators, employees and consultants use intellectual property owned by others in their work for us, disputes may arise as to the rights in related or resulting know-how and inventions. For more information regarding the risks related to our intellectual property, please see the section titled “Risk Factors—Risks Related to Our Intellectual Property.”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biopharmaceutical industry is characterized by intense competition and rapid innovation. Our potential competitors include large pharmaceutical and biotechnology companies, specialty pharmaceutical companies and generic drug companies. Many of our potential competitors have greater financial and technical human resources than we do, as well as greater experience in the discovery and development of product candidates, obtaining FDA and other regulatory approvals of products, and the commercialization of those products. Accordingly, our potential competitors may be more successful than us in obtaining FDA-approved drugs and achieving widespread market acceptance. We anticipate that we will face intense and increasing competition as new drugs enter the market and advanced technologies become available. Finally, the development of new treatment methods for the diseases we are targeting could render our product candidates non-competitive or obsolete.</w:t>
      </w:r>
    </w:p>
    <w:p>
      <w:pPr>
        <w:spacing w:after="0" w:line="180" w:lineRule="exact"/>
        <w:rPr>
          <w:sz w:val="20"/>
          <w:szCs w:val="20"/>
          <w:color w:val="auto"/>
        </w:rPr>
      </w:pPr>
    </w:p>
    <w:p>
      <w:pPr>
        <w:ind w:right="480" w:firstLine="509"/>
        <w:spacing w:after="0" w:line="253" w:lineRule="auto"/>
        <w:rPr>
          <w:sz w:val="20"/>
          <w:szCs w:val="20"/>
          <w:color w:val="auto"/>
        </w:rPr>
      </w:pPr>
      <w:r>
        <w:rPr>
          <w:rFonts w:ascii="Arial" w:cs="Arial" w:eastAsia="Arial" w:hAnsi="Arial"/>
          <w:sz w:val="18"/>
          <w:szCs w:val="18"/>
          <w:color w:val="auto"/>
        </w:rPr>
        <w:t>We believe the competitive factors that will affect the development and commercial success of our initial product candidate, epetraborole, if approved, will be convenience of oral dosing, efficacy, safety, and tolerability profile, coverage of drug-resistant bacteria strains, lack of cross-resistance, price, and availability of reimbursement from governmental and other third-party payors.</w:t>
      </w:r>
    </w:p>
    <w:p>
      <w:pPr>
        <w:spacing w:after="0" w:line="169" w:lineRule="exact"/>
        <w:rPr>
          <w:sz w:val="20"/>
          <w:szCs w:val="20"/>
          <w:color w:val="auto"/>
        </w:rPr>
      </w:pPr>
    </w:p>
    <w:p>
      <w:pPr>
        <w:ind w:right="320" w:firstLine="509"/>
        <w:spacing w:after="0" w:line="275" w:lineRule="auto"/>
        <w:rPr>
          <w:sz w:val="20"/>
          <w:szCs w:val="20"/>
          <w:color w:val="auto"/>
        </w:rPr>
      </w:pPr>
      <w:r>
        <w:rPr>
          <w:rFonts w:ascii="Arial" w:cs="Arial" w:eastAsia="Arial" w:hAnsi="Arial"/>
          <w:sz w:val="17"/>
          <w:szCs w:val="17"/>
          <w:color w:val="auto"/>
        </w:rPr>
        <w:t>If approved, epetraborole would compete with Insmed’s Arikayce, which is the only currently approved therapy for patients with treatment refractory MAC lung disease. Other drugs used to treat these patients include generic drugs such as macrolides (clarithromycin and azithromycin), ethambutol, rifabutin, and fluoroquinolones such as levofloxacin, bedaquiline, linezolid, and clofazimine.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 candidates. The process of obtaining regulatory approvals and the subsequent compliance with applicable federal, state, local, and foreign statutes and regulations require the expenditure of substantial time and financial resources.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2"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The process of obtaining regulatory approvals and the subsequent compliance with appropriate federal, state and local statutes and regulations require the expenditure of substantial time and financial resources. The process required by the FDA before a drug may be marketed in the United States generally involves the following:</w:t>
      </w:r>
    </w:p>
    <w:p>
      <w:pPr>
        <w:spacing w:after="0" w:line="66" w:lineRule="exact"/>
        <w:rPr>
          <w:sz w:val="20"/>
          <w:szCs w:val="20"/>
          <w:color w:val="auto"/>
        </w:rPr>
      </w:pPr>
    </w:p>
    <w:p>
      <w:pPr>
        <w:ind w:left="1020" w:right="3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certain preclinical laboratory tests, animal studies and formulation studies in accordance with Good Laboratory Practice regulations and other applicable regulations;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(“IRB”), or ethics committee at each clinical site before each trial may be initiated;</w:t>
      </w:r>
    </w:p>
    <w:p>
      <w:pPr>
        <w:spacing w:after="0" w:line="46" w:lineRule="exact"/>
        <w:rPr>
          <w:rFonts w:ascii="Times New Roman" w:cs="Times New Roman" w:eastAsia="Times New Roman" w:hAnsi="Times New Roman"/>
          <w:sz w:val="18"/>
          <w:szCs w:val="18"/>
          <w:color w:val="auto"/>
        </w:rPr>
      </w:pPr>
    </w:p>
    <w:p>
      <w:pPr>
        <w:ind w:left="1020" w:right="74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Good Clinical Practice regulations (“GCPs”) to evaluate the safety and efficacy of the product candidate for its intended use;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 after completion of all pivotal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116"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potential inspection of selected clinical investigation sites to assess compliance with GCPs; and</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FDA review and approval of the NDA to permit commercial marketing of the product for particular indications for use in the United States.</w:t>
      </w:r>
    </w:p>
    <w:p>
      <w:pPr>
        <w:spacing w:after="0" w:line="15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firstLine="509"/>
        <w:spacing w:after="0" w:line="238" w:lineRule="auto"/>
        <w:rPr>
          <w:sz w:val="20"/>
          <w:szCs w:val="20"/>
          <w:color w:val="auto"/>
        </w:rPr>
      </w:pPr>
      <w:r>
        <w:rPr>
          <w:rFonts w:ascii="Arial" w:cs="Arial" w:eastAsia="Arial" w:hAnsi="Arial"/>
          <w:sz w:val="18"/>
          <w:szCs w:val="18"/>
          <w:color w:val="auto"/>
        </w:rPr>
        <w:t>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(DSMB)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ind w:left="1020" w:right="46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The product candidate is initially introduced into healthy human subjects and tested for safety, dosage tolerance,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absorption, metabolism, distribution and excretion and, if possible, to gain an early indication of its effectiveness.</w:t>
      </w:r>
    </w:p>
    <w:p>
      <w:pPr>
        <w:spacing w:after="0" w:line="46" w:lineRule="exact"/>
        <w:rPr>
          <w:rFonts w:ascii="Times New Roman" w:cs="Times New Roman" w:eastAsia="Times New Roman" w:hAnsi="Times New Roman"/>
          <w:sz w:val="18"/>
          <w:szCs w:val="18"/>
          <w:color w:val="auto"/>
        </w:rPr>
      </w:pPr>
    </w:p>
    <w:p>
      <w:pPr>
        <w:ind w:left="1020" w:right="22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Phase 2: </w:t>
      </w:r>
      <w:r>
        <w:rPr>
          <w:rFonts w:ascii="Arial" w:cs="Arial" w:eastAsia="Arial" w:hAnsi="Arial"/>
          <w:sz w:val="18"/>
          <w:szCs w:val="18"/>
          <w:color w:val="auto"/>
        </w:rPr>
        <w:t>The product candidate is administered to a limited patient population with a specified disease or condition to identify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possible adverse effects and safety risks, to preliminarily evaluate the efficacy of the product candidate for specific targeted diseases and to determine dosage tolerance and appropriate dosage.</w:t>
      </w:r>
    </w:p>
    <w:p>
      <w:pPr>
        <w:spacing w:after="0" w:line="62" w:lineRule="exact"/>
        <w:rPr>
          <w:rFonts w:ascii="Times New Roman" w:cs="Times New Roman" w:eastAsia="Times New Roman" w:hAnsi="Times New Roman"/>
          <w:sz w:val="18"/>
          <w:szCs w:val="18"/>
          <w:color w:val="auto"/>
        </w:rPr>
      </w:pPr>
    </w:p>
    <w:p>
      <w:pPr>
        <w:ind w:left="1020" w:right="320" w:hanging="503"/>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Phase 3: </w:t>
      </w:r>
      <w:r>
        <w:rPr>
          <w:rFonts w:ascii="Arial" w:cs="Arial" w:eastAsia="Arial" w:hAnsi="Arial"/>
          <w:sz w:val="18"/>
          <w:szCs w:val="18"/>
          <w:color w:val="auto"/>
        </w:rPr>
        <w:t>The product candidate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spacing w:after="0" w:line="177"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Post-approval trials, sometimes referred to as Phase 4 studies, may be conducted after initial regulatory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69"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w:t>
      </w:r>
    </w:p>
    <w:p>
      <w:pPr>
        <w:spacing w:after="0" w:line="102"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74"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the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Once an NDA has been submitted, the FDA conducts a preliminary review of the application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w:t>
      </w:r>
    </w:p>
    <w:p>
      <w:pPr>
        <w:spacing w:after="0" w:line="18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typically inspect the facility or facilities where the product is manufactured. Additionally, before approving an NDA, the FDA may inspect one or more clinical trial sites to assure compliance with GCPs.</w:t>
      </w:r>
    </w:p>
    <w:p>
      <w:pPr>
        <w:spacing w:after="0" w:line="17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NDA identified by the FDA and may require additional clinical data, including additional clinical trials, or other significant and time-consuming requirements related to clinical trials, nonclinical studies or manufacturing. If a CRL is issued, the sponsor must resubmit the NDA or, addressing all of the deficiencies identified in the letter, or withdraw the application. Even if such data and information are submitted, the FDA may decide that the NDA does not satisfy the criteria for approval.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ind w:right="20" w:firstLine="509"/>
        <w:spacing w:after="0" w:line="255"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refers to clinical trials designed to further assess a drug’s safety and/or effectiveness following NDA approval, and may require additional testing and surveillance programs to monitor the safety of approved products which have been commercialized. The FDA may also place other conditions on approval, including the requirement for a risk evaluation and mitigation strategy (“REMS”), to assure the safe use of the drug. If the FDA concludes a REMS is needed, the sponsor of the NDA must submit a proposed REMS, which could include medication guides, physician communication plans or elements to assure safe use, such as restricted distribution methods, patient registries and other risk minimization tools. The FDA will not approve the NDA without an approved REMS, if required. Any of these limitations on approval or marketing could restrict the commercial promotion, distribution, prescription or dispensing of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2"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Any product candidate submitted to the FDA for approval, including a product candidate with a fast track designation or breakthrough designation, may also be eligible for other types of FDA programs intended to expedite development and review, such as priority review.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addition, depending on the design of the applicable clinical trials,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firstLine="509"/>
        <w:spacing w:after="0" w:line="247"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the FDA review or approval will not be shortened.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0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7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the active moiety of the product candidate is determined to be contained within the competitor’s product for the same disease or condition. In addition, if an orphan designated product receives regulatory approval for a disease or condition broader than what is designated, it may not be entitled to orphan exclusivity.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2"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certain manufacturing changes and additional labeling claims, are subject to further FDA review and approval.</w:t>
      </w:r>
    </w:p>
    <w:p>
      <w:pPr>
        <w:spacing w:after="0" w:line="174"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cGMPs and other aspects of regulatory compliance.</w:t>
      </w:r>
    </w:p>
    <w:p>
      <w:pPr>
        <w:spacing w:after="0" w:line="17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71" w:lineRule="exact"/>
        <w:rPr>
          <w:sz w:val="20"/>
          <w:szCs w:val="20"/>
          <w:color w:val="auto"/>
        </w:rPr>
      </w:pPr>
    </w:p>
    <w:p>
      <w:pPr>
        <w:ind w:left="1020" w:right="34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holds on ongoing or planned clinical studies;</w:t>
      </w:r>
    </w:p>
    <w:p>
      <w:pPr>
        <w:spacing w:after="0" w:line="116"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approvals;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Regulatory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0"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existing exclusivity or an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right="20" w:firstLine="509"/>
        <w:spacing w:after="0"/>
        <w:rPr>
          <w:sz w:val="20"/>
          <w:szCs w:val="20"/>
          <w:color w:val="auto"/>
        </w:rPr>
      </w:pPr>
      <w:r>
        <w:rPr>
          <w:rFonts w:ascii="Arial" w:cs="Arial" w:eastAsia="Arial" w:hAnsi="Arial"/>
          <w:sz w:val="18"/>
          <w:szCs w:val="18"/>
          <w:color w:val="auto"/>
        </w:rPr>
        <w:t>Additionally, under the Generating Antibiotics Incentives Now (“GAIN”) Act, the FDA may designate a product as a “qualified infectious disease product,” or QIDP. In order to receive this designation, a drug must qualify as an antibacterial or antifungal drug for human use intended to treat serious or life-threatening infections, including those caused by either (1) an antibacterial or antifungal resistant pathogen, including novel or emerging infectious pathogens, or (2) a so-called “qualifying pathogen” found on a list of potentially dangerous, drug-resistant organisms established and maintained by the FDA under the law. The FDA interprets QIDP designation to apply to a specific drug product, including a specific dosage form of the product. A sponsor must request such designation before submitting a marketing application, and the FDA will respond to a request for QIDP designation within 60 days of the date the FDA receives the request. The GAIN Act permits the FDA to revoke a QIDP designation only if the request for such designation contained an untrue statement of material fact.</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benefits of QIDP designation include potential eligibility for priority review and Fast Track designation, and an extension by an additional five years of any non-patent regulatory exclusivity period awarded, such as a five-year exclusivity period awarded for a new molecular entity. This extension is in addition to any pediatric exclusivity extension awarded, and the extension will be awarded only to a drug first approved on or after the date of enactment of the GAIN Act. The GAIN Act prohibits the grant of an exclusivity extension where the application is a supplement to an application for which an extension is in effect or has expired, is a subsequent application for a specified change to an approved product, or is an application for a product that does not meet the definition of QIDP based on the uses for which it is ultimately approved.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Tropical Disease Priority Review Voucher Program</w:t>
      </w:r>
    </w:p>
    <w:p>
      <w:pPr>
        <w:spacing w:after="0" w:line="10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2007, Congress authorized the FDA to award priority review vouchers (“PRVs”), to sponsors of certain tropical disease product applications. The FDA’s Tropical Disease Priority Review Voucher Program is designed to encourage development of new drug and biological products for the prevention and treatment of certain tropical diseases affecting millions of people throughout the world. Under this program, a sponsor who receives an approval for a drug or biologic for the prevention or treatment a tropical disease that meets certain criteria may qualify for a PRV that can be redeemed to receive priority review of a subsequent NDA or Biologics License Application (“BLA”), for a different product. The sponsor of a tropical disease drug product receiving a priority review voucher may transfer (including by sale) the voucher to another sponsor of an NDA or BLA. The FDCA does not limit the number of times a priority review voucher may be transferred before the voucher is used.</w:t>
      </w:r>
    </w:p>
    <w:p>
      <w:pPr>
        <w:spacing w:after="0" w:line="180"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For a product to qualify for a PRV, (i) the sponsor must request approval of the product for the prevention or treatment of a “tropical disease” listed in Section 524 of the FDCA, (ii) the product must otherwise qualify for priority review, and (iii) the product must contain no active ingredient (including any salt or ester of an active ingredient) that has been approved by the FDA in any other NDA or BLA. The Food and Drug Administration Reauthorization Act of 2017 made further changes to the eligibility criteria for receipt of a tropical disease PRV under this program. Specifically, applications submitted after September 30, 2017 must also contain reports of one or more new clinical investigations (other than bioavailability studies) that were essential to the approval of the application and conducted or sponsored by the sponsor. In addition, the applicant must attest that such report(s) were not submitted as part of an application for regulatory approval or licensure by a regulatory authority in India, Brazil, Thailand and certain other countries prior to September 27, 2007.</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2"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In the United States, we are subject to a number of federal and state healthcare regulatory laws that restrict business practices in the healthcare industry. These laws include, but are not limited to, federal and state anti-kickback, false claims, and other healthcare fraud and abuse laws, as follows:</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A person or entity does not need to have actual knowledge of the statute or specific intent to violate it in order to have committed a violation.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ind w:firstLine="509"/>
        <w:spacing w:after="0"/>
        <w:rPr>
          <w:sz w:val="20"/>
          <w:szCs w:val="20"/>
          <w:color w:val="auto"/>
        </w:rPr>
      </w:pPr>
      <w:r>
        <w:rPr>
          <w:rFonts w:ascii="Arial" w:cs="Arial" w:eastAsia="Arial" w:hAnsi="Arial"/>
          <w:sz w:val="18"/>
          <w:szCs w:val="18"/>
          <w:color w:val="auto"/>
        </w:rPr>
        <w:t>The federal false claims,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w:t>
      </w:r>
    </w:p>
    <w:p>
      <w:pPr>
        <w:spacing w:after="0" w:line="180" w:lineRule="exact"/>
        <w:rPr>
          <w:sz w:val="20"/>
          <w:szCs w:val="20"/>
          <w:color w:val="auto"/>
        </w:rPr>
      </w:pPr>
    </w:p>
    <w:p>
      <w:pPr>
        <w:ind w:right="420" w:firstLine="509"/>
        <w:spacing w:after="0" w:line="247" w:lineRule="auto"/>
        <w:rPr>
          <w:sz w:val="20"/>
          <w:szCs w:val="20"/>
          <w:color w:val="auto"/>
        </w:rPr>
      </w:pPr>
      <w:r>
        <w:rPr>
          <w:rFonts w:ascii="Arial" w:cs="Arial" w:eastAsia="Arial" w:hAnsi="Arial"/>
          <w:sz w:val="18"/>
          <w:szCs w:val="18"/>
          <w:color w:val="auto"/>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17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Health Insurance Portability and Accountability Act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HIPAA, as amended by the Health Information Technology for Economic and Clinical Health Act of 2009 (“HITECH”), and their respective implementing regulations, which impose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176"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(“CMMS”), information related to payments or other transfers of value made to physicians (defined to include doctors, dentists, optometrists, podiatrists, and chiropractors), certain other healthcare professionals including physician assistants and nurse practitioners, and teaching hospitals, and applicable manufacturers and applicable group purchasing organizations to report annually to CMMS ownership and investment interests held by physicians and their immediate family members.</w:t>
      </w:r>
    </w:p>
    <w:p>
      <w:pPr>
        <w:spacing w:after="0" w:line="17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spacing w:after="0" w:line="183"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Violations of any of these laws and other applicable healthcare fraud and abuse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The process for determining whether a third-party payor will provide coverage for a product typically is separate from the process for setting the price of such product or for establishing the reimbursement rate that the payor will pay for the product once coverage is approved.</w:t>
      </w:r>
    </w:p>
    <w:p>
      <w:pPr>
        <w:spacing w:after="0" w:line="18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 Additionally, a third-party payor’s decision to provide coverage for a product does not imply that an adequate reimbursement rate will be approved.</w:t>
      </w:r>
    </w:p>
    <w:p>
      <w:pPr>
        <w:spacing w:after="0" w:line="180"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Moreover, as a condition of participating in, and having products covered under, certain federal healthcare programs, such as Medicare and Medicaid, we are subject to federal laws and regulations that require pharmaceutical manufacturers to calculate and report certain price reporting metrics to the government, such as Medicaid Average Manufacturer Price (“AMP”), and Best Price, Medicare Average Sales Price, the 340B Ceiling Price, and Non-Federal AMP reported to the Department of Veteran Affairs, and with respect to Medicaid, pay statutory rebates on utilization of manufacturers’ products by Medicaid beneficiaries. Compliance with such laws and regulations require significant resources and any findings of non-compliance may have a material adverse effect on our revenues.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the United States, by way of example, in March 2010, the Affordable Care Act (“ACA”) was signed into law, which substantially changed the way healthcare is financed by both governmental and private insurers in the United States and significantly affected the pharmaceutical industry. The ACA, among other things, increased the minimum level of Medicaid rebates payable by manufacturers of brand name drugs;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potentially including prescription drug spending. Since its enactment, there have been judicial, administrative, executive, and Congressional legislative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w:t>
      </w:r>
    </w:p>
    <w:p>
      <w:pPr>
        <w:spacing w:after="0" w:line="18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which was temporarily suspended from May 1, 2020 through March 31, 2022. On January 2, 2013, the American Taxpayer Relief Act of 2012 was signed into law, which, among other things, reduced payments to several types of Medicare providers, including hospitals, and increased the statute of limitations period for the government to recover overpayments to providers from three to five years. In addition, the American Rescue Plan Act of 2021, effective January 1, 2024, eliminated the statutory cap on rebate amounts owed by drug manufacturers under the Medicaid Drug Rebate Program (“MDRP”), which was previously capped at 100% of the AMP for a covered outpatient drug.</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22" w:name="page23"/>
    <w:bookmarkEnd w:id="22"/>
    <w:p>
      <w:pPr>
        <w:ind w:firstLine="509"/>
        <w:spacing w:after="0" w:line="238"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Most significantly, in August 2022, the Inflation Reduction Act of 2022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Department of Health and Human Services (HHS) to implement many of these provisions through guidance, as opposed to regulation, for the initial years. HHS has issued and will continue to issue guidance implementing the IRA. CMS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our business and the pharmaceutical industry cannot yet be fully determined, it is likely to be significant.</w:t>
      </w:r>
    </w:p>
    <w:p>
      <w:pPr>
        <w:spacing w:after="0" w:line="18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drug price reporting and other transparency measures and, in some cases, mechanisms to encourage importation from other countries and bulk purchasing. Some states have enacted legislation creating so-called prescription drug affordability boards, which ultimately may attempt to impose price limits on certain drugs in these states.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spacing w:after="0" w:line="180"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02"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As a pharmaceutical company, we are subject to state, federal and foreign laws, including consumer protection laws and regulations, governing the collection, dissemination, use, access to, confidentiality, and security of personal information, including health-related information. For example, in the United States, numerous federal and state laws and regulations, including data breach notification laws, health information privacy and security laws (e.g., the Health Insurance Portability and Accountability Act (“HIPAA”)), and federal and state consumer protection laws and regulations (e.g., Section 5 of the Federal Trade Commission Act) that govern the collection, dissemination, use, protection and other processing of health-related and other personal information currently or could in the future apply to our operations or the operations of our partners. In addition, certain state and non-U.S. laws, such as the California Consumer Privacy Act (“CCPA”), and the General Data Protection Regulation (“GDPR”), govern the privacy and security of personal information, including health-related information in certain circumstances, some of which are more stringent than HIPAA and many of which differ from each other in significant ways, thus complicating compliance efforts. Failure to comply with data privacy and security laws, where applicable, can result in the imposition of significant civil and/or criminal penalties and private litigation. Privacy and security laws, regulations, and other obligations are constantly evolving, can conflict with each other to make compliance efforts more challenging, and can result in investigations, proceedings, or actions that lead to significant penalties and restrictions on data processing.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Japanese Drug Regulation</w:t>
      </w:r>
    </w:p>
    <w:p>
      <w:pPr>
        <w:spacing w:after="0" w:line="10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Being a member of the ICH, Japan has pharmaceutical regulations fundamentally similar to those of the United States and the EU. Clinical trials of medicinal products in Japan must be conducted in accordance with Japanese regulations based on ICH guidelines governing GCP. If the sponsor of the clinical trial is not established within Japan, it must appoint an entity within the country to act as its caretaker who should be authorized to act on the sponsor’s behalf. The sponsor must take out a clinical trial insurance policy, and, according to the industry agreement, should put in place a common compensation policy for the injuries from the trial. Prior to the commencement of human clinical studies, the sponsor must complete an evaluation of the safety of the investigative product and submit a clinical trial notification and clinical trial protocol to the authorities in advance, upon agreement of the IRB of the participating institutions. When the authorities do not comment on the notification, the sponsor may proceed with the clinical trial. Any substantial changes to the trial protocol or other information submitted must be cleared by the IRB and notified to the authorities. Medicines used in clinical trials must be manufactured in accordance with GMP.</w:t>
      </w:r>
    </w:p>
    <w:p>
      <w:pPr>
        <w:spacing w:after="0" w:line="183"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To market a medicinal product in Japan, we must obtain regulatory approval. To obtain regulatory approval of an investigational medicinal product, we must submit a new drug application. If the product is designed for treating certain “difficult diseases” or those whose patient size is limited, we may be able to obtain designation as an orphan drug product if it demonstrates unique therapeutic value. Separately, the latest amendment to the law introduced separate pathways for (i) truly innovative products with a unique mode of action and (ii) those which will satisfy unmet medical needs.</w:t>
      </w:r>
    </w:p>
    <w:p>
      <w:pPr>
        <w:spacing w:after="0" w:line="17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evaluation of new drug applications is based on an assessment of the risk-benefit balance of the product on the basis of scientific criteria concerning its quality, safety, and efficacy. Once the review organization completes its review, the matter is considered by the advisory committee of experts, and the government grants approval upon positive recommendation from the committee.</w:t>
      </w:r>
    </w:p>
    <w:p>
      <w:pPr>
        <w:spacing w:after="0" w:line="169"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The volume and quality of the clinical data are key determinants of the approval decision. Clinical trial data generated overseas is accepted as part of the data package consistent with the ICH recommendation. Typically, a limited dose response clinical trial for Japanese subjects is required to ensure that data are extrapolatable for the Japanese population.</w:t>
      </w:r>
    </w:p>
    <w:p>
      <w:pPr>
        <w:spacing w:after="0" w:line="169"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Separate from the approval requirement, it is also mandatory to possess a distribution license of an appropriate class for the manufacturer to commercially distribute the product in Japan. Non-Japanese companies who possess only the product approval may designate an appropriate license holder in Japan to commercially distribute the product, rather than distributing it on its own. The license is valid for five years.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and Human Capital Resources</w:t>
      </w:r>
    </w:p>
    <w:p>
      <w:pPr>
        <w:spacing w:after="0" w:line="10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As of February 28, 2025, we had 22 full-time employees, consisting of research, manufacturing, clinical operations, regulatory, quality, finance, and operational personnel. None of our employees are subject to a collective bargaining agreement. We consider our relationship with our employees to be good.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02" w:lineRule="exact"/>
        <w:rPr>
          <w:sz w:val="20"/>
          <w:szCs w:val="20"/>
          <w:color w:val="auto"/>
        </w:rPr>
      </w:pPr>
    </w:p>
    <w:p>
      <w:pPr>
        <w:ind w:right="480" w:firstLine="509"/>
        <w:spacing w:after="0" w:line="247" w:lineRule="auto"/>
        <w:rPr>
          <w:sz w:val="20"/>
          <w:szCs w:val="20"/>
          <w:color w:val="auto"/>
        </w:rPr>
      </w:pPr>
      <w:r>
        <w:rPr>
          <w:rFonts w:ascii="Arial" w:cs="Arial" w:eastAsia="Arial" w:hAnsi="Arial"/>
          <w:sz w:val="18"/>
          <w:szCs w:val="18"/>
          <w:color w:val="auto"/>
        </w:rPr>
        <w:t>We incorporated in Delaware on February 24, 2017 and launched operations in November 2019. We completed the initial public offering (the “IPO”) of our common stock in March 2022, and our common stock is listed on the Nasdaq Global Select Market under the symbol “ANTX.” Our principal executive offices are located at 1800 El Camino Real, Suite D, Menlo Park, California, 94027, and our telephone number is (650) 331-9090.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Exchange Act Reports</w:t>
      </w:r>
    </w:p>
    <w:p>
      <w:pPr>
        <w:spacing w:after="0" w:line="102"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Company maintains a website at the following address: https:// www.an2therapeutics.com/. The information on the Company's website is not incorporated by reference in this Annual Report on Form 10-K.</w:t>
      </w:r>
    </w:p>
    <w:p>
      <w:pPr>
        <w:spacing w:after="0" w:line="15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We make available on or through our website reports and amendments to those reports that we file with or furnish to the SEC in accordance with the Securities Exchange Act of 1934, as amended. These include our Annual Reports on Form 10-K, our Quarterly Reports on Form 10-Q and our Current Reports on Form 8-K and amendments to these reports. We make this information available on our website free of charge as soon as reasonably practicable after we electronically file the information available with, or furnish it to, the SEC. The SEC also maintains a website at the following address, through which this information is available: http://www.sec.gov.</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you invest in our common stock, you should carefully consider the risks described below together with all of the other information contained in this Annual Report, including our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in these risk factors to our business being harmed will include harm to our business, reputation, financial condition, results of operations, and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06"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i w:val="1"/>
          <w:iCs w:val="1"/>
          <w:color w:val="auto"/>
        </w:rPr>
        <w:t>Investing in shares of our common stock involves a high degree of risk because our business is subject to numerous risks and uncertainties, as more fully described below. The principal factors and uncertainties that make investing in shares of our common stock risky include, among others:</w:t>
      </w:r>
    </w:p>
    <w:p>
      <w:pPr>
        <w:spacing w:after="0" w:line="62" w:lineRule="exact"/>
        <w:rPr>
          <w:sz w:val="20"/>
          <w:szCs w:val="20"/>
          <w:color w:val="auto"/>
        </w:rPr>
      </w:pPr>
    </w:p>
    <w:p>
      <w:pPr>
        <w:jc w:val="both"/>
        <w:ind w:left="1020" w:right="220" w:hanging="503"/>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spacing w:after="0" w:line="62"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realize the expected benefits from our business restructuring and workforce reduction and we may incur additional costs implementing it or other difficulties.</w:t>
      </w:r>
    </w:p>
    <w:p>
      <w:pPr>
        <w:spacing w:after="0" w:line="4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spacing w:after="0" w:line="62"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If we do not obtain regulatory approval for and successfully commercialize any of our product candidates, or if we experience significant delays in doing so, we may never become profitable.</w:t>
      </w:r>
    </w:p>
    <w:p>
      <w:pPr>
        <w:spacing w:after="0" w:line="46" w:lineRule="exact"/>
        <w:rPr>
          <w:rFonts w:ascii="Times New Roman" w:cs="Times New Roman" w:eastAsia="Times New Roman" w:hAnsi="Times New Roman"/>
          <w:sz w:val="18"/>
          <w:szCs w:val="18"/>
          <w:color w:val="auto"/>
        </w:rPr>
      </w:pPr>
    </w:p>
    <w:p>
      <w:pPr>
        <w:ind w:left="1020" w:right="40" w:hanging="503"/>
        <w:spacing w:after="0" w:line="24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68"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If we experience delays or difficulties in the enrollment of patients in clinical trials, our clinical development activities and receipt of necessary regulatory approvals could be delayed or prevented.</w:t>
      </w:r>
    </w:p>
    <w:p>
      <w:pPr>
        <w:spacing w:after="0" w:line="46" w:lineRule="exact"/>
        <w:rPr>
          <w:rFonts w:ascii="Times New Roman" w:cs="Times New Roman" w:eastAsia="Times New Roman" w:hAnsi="Times New Roman"/>
          <w:sz w:val="18"/>
          <w:szCs w:val="18"/>
          <w:color w:val="auto"/>
        </w:rPr>
      </w:pPr>
    </w:p>
    <w:p>
      <w:pPr>
        <w:ind w:left="1020" w:hanging="503"/>
        <w:spacing w:after="0" w:line="24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spacing w:after="0" w:line="68"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Even if any of our product candidates receive regulatory approval, it may fail to achieve the degree of market acceptance by physicians, patients, third-party payors, and others in the medical community necessary for commercial success.</w:t>
      </w:r>
    </w:p>
    <w:p>
      <w:pPr>
        <w:spacing w:after="0" w:line="4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4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operate with a small team and our future success depends on our ability to retain key executives and to attract, retain, and motivate qualified personnel.</w:t>
      </w:r>
    </w:p>
    <w:p>
      <w:pPr>
        <w:spacing w:after="0" w:line="46" w:lineRule="exact"/>
        <w:rPr>
          <w:rFonts w:ascii="Times New Roman" w:cs="Times New Roman" w:eastAsia="Times New Roman" w:hAnsi="Times New Roman"/>
          <w:sz w:val="18"/>
          <w:szCs w:val="18"/>
          <w:color w:val="auto"/>
        </w:rPr>
      </w:pPr>
    </w:p>
    <w:p>
      <w:pPr>
        <w:ind w:left="1020" w:right="240" w:hanging="503"/>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w:t>
      </w:r>
    </w:p>
    <w:p>
      <w:pPr>
        <w:spacing w:after="0" w:line="62" w:lineRule="exact"/>
        <w:rPr>
          <w:rFonts w:ascii="Times New Roman" w:cs="Times New Roman" w:eastAsia="Times New Roman" w:hAnsi="Times New Roman"/>
          <w:sz w:val="18"/>
          <w:szCs w:val="18"/>
          <w:color w:val="auto"/>
        </w:rPr>
      </w:pPr>
    </w:p>
    <w:p>
      <w:pPr>
        <w:ind w:left="1020" w:hanging="503"/>
        <w:spacing w:after="0" w:line="243"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rights to develop and commercialize our technology and our other product candidates are subject, in large part, to the terms and conditions of licenses granted to us by others, such as Anacor Pharmaceuticals, Inc. (a wholly owned subsidiary of Pfizer) (“Anacor”). If we fail to comply with our obligations in the agreements under which we in-license or acquire development or commercialization rights to products, technology, or data from third parties, we could lose such rights that are important to our business.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25" w:name="page26"/>
    <w:bookmarkEnd w:id="25"/>
    <w:p>
      <w:pPr>
        <w:ind w:left="1020" w:right="280" w:hanging="503"/>
        <w:spacing w:after="0" w:line="246"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68" w:lineRule="exact"/>
        <w:rPr>
          <w:rFonts w:ascii="Times New Roman" w:cs="Times New Roman" w:eastAsia="Times New Roman" w:hAnsi="Times New Roman"/>
          <w:sz w:val="18"/>
          <w:szCs w:val="18"/>
          <w:color w:val="auto"/>
        </w:rPr>
      </w:pPr>
    </w:p>
    <w:p>
      <w:pPr>
        <w:ind w:left="1020" w:right="118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price of our common stock has been and may continue to be volatile.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We are a clinical-stage biopharmaceutical company with a limited operating history upon which you can evaluate our business and prospects. We currently have no products approved for commercial sale, have not generated any revenue from the sale of products and have incurred losses in each year since our inception in 2017.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17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On August 8, 2024, we announced topline results from the Phase 2 part of the EBO-301 Phase 2/3 study evaluating epetraborole on top of optimized background regimen (“OBR”) in treatment-refractory MAC lung disease. The Phase 2 part of the study met its primary objective of demonstrating the potential validation of a novel patient-reported outcome (PRO) tool and a higher PRO-based clinical response rate in the epetraborole + OBR arm (39.5%) vs. placebo + OBR (25.0%; treatment difference 13.9%, p=0.19). Sputum culture conversion at Month 6, a key secondary endpoint, was similar between treatment arms (13.2% in epetraborole + OBR vs. 10.0% placebo + OBR; treatment difference 3.4%, p=0.64). Epetraborole was generally well tolerated in the trial.</w:t>
      </w:r>
    </w:p>
    <w:p>
      <w:pPr>
        <w:spacing w:after="0" w:line="17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net loss was $51.3 million and $64.7 million for the years ended December 31, 2024 and 2023, respectively. As of December 31, 2024, we had an accumulated deficit of $205.8 million. We have funded our operations to date primarily with proceeds from our underwritten offering (the "Underwritten Offering), our “at-the-market” equity offering program (“ATM Offering”), our IPO, and the sale of our redeemable convertible preferred stock. We have devoted substantially all of our financial resources and efforts to research and development, including preclinical and nonclinical studies, manufacturing, clinical trials, and general and administrative costs associated with our operations. We expect to continue to incur significant expenses and operating losses over the next several years. Our net losses may fluctuate significantly from quarter to quarter and year to year.</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anticipate that our expenses will increase substantially as we:</w:t>
      </w:r>
    </w:p>
    <w:p>
      <w:pPr>
        <w:spacing w:after="0" w:line="10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ongoing and planned preclinical, nonclinical, and clinical development of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initiate preclinical and nonclinical studies and clinical trials for product candidates that we may pursue in the future;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future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jc w:val="both"/>
        <w:ind w:left="1020" w:right="80" w:hanging="503"/>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ultimately establish sales, marketing, and distribution infrastructure and scale up external manufacturing capabilities if we move into later-stage clinical trials for, and seek to commercialize, any product candidate for which we may obtain regulatory approval and intend to commercialize on our own;</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clinical, scientific, chemistry, manufacturing and controls personnel;</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left="1020" w:right="6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add operational, financial, management, and compliance information systems and personnel, including personnel to support our product development and any future commercialization efforts;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incur legal, accounting, information systems, and other expenses associated with operating as a public company.</w:t>
      </w:r>
    </w:p>
    <w:p>
      <w:pPr>
        <w:spacing w:after="0" w:line="224"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To become and remain profitable, we must succeed in developing and eventually commercializing drugs that generate significant revenue. This will require us to be successful in a range of challenging activities, including completing preclinical and nonclinical studies and clinical trials of our product candidates, obtaining regulatory approval, manufacturing, marketing, and selling any products for which we may obtain regulatory approval, as well as discovering and developing additional product candidates. We are only in the preliminary stages of most of these activities. We may never succeed in these activities and, even if we do, may never generate revenues that are significant enough to achieve profitability.</w:t>
      </w:r>
    </w:p>
    <w:p>
      <w:pPr>
        <w:spacing w:after="0" w:line="17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further delays in the initiation and completion of our clinical trials or the development of any of our product candidates, our expenses could increase.</w:t>
      </w:r>
    </w:p>
    <w:p>
      <w:pPr>
        <w:spacing w:after="0" w:line="174"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p>
    <w:p>
      <w:pPr>
        <w:spacing w:after="0" w:line="28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31"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We commenced active operations in November 2019, and our operations to date have been largely focused on raising capital, developing epetraborole, broadening our expertise in the development of epetraborole, undertaking preclinical and nonclinical studies, manufacturing clinical trial material, preparing for and initiating clinical trials, and general and administrative operations. As a company, we have not yet demonstrated an ability to successfully complete pivotal clinical trials, obtain regulatory approvals, manufacture a commercial product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w:t>
      </w:r>
    </w:p>
    <w:p>
      <w:pPr>
        <w:spacing w:after="0" w:line="18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have and may encounter unforeseen expenses, difficulties, complications, delays and other known or unknown factors in achieving our business objectives. For example, in August 2024, we announced topline data from the Phase 2 portion of our Phase 2/3 clinical trial evaluating our initial product candidate, epetraborole, in patients with treatment-refractory MAC lung disease. Although the Phase 2 part of the study met its primary objective in demonstrating the potential validation of a novel patient-reported outcome (PRO) tool and a higher PRO-based clinical response rate in the epetraborole + OBR arm (39.5%) vs. placebo + OBR (25.0%; treatment difference 13.9%, p=0.19), sputum culture conversion at Month 6, a key secondary endpoint, was similar between treatment arms (13.2% in epetraborole + OBR vs.</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10.0% placebo + OBR; treatment difference 3.4%, p=0.64). Given these results, we decided to close out the trial and are in the process of planning to unblind the Phase 3 part of the study and meet with the FDA to determine next steps.</w:t>
      </w:r>
    </w:p>
    <w:p>
      <w:pPr>
        <w:spacing w:after="0" w:line="172"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In addition, we will need to transition successfully at some point from a company with a research and development focus to a company capable of supporting commercial activities. We may not be successful in such a transition.</w:t>
      </w:r>
    </w:p>
    <w:p>
      <w:pPr>
        <w:spacing w:after="0" w:line="15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300"/>
        <w:spacing w:after="0" w:line="278" w:lineRule="auto"/>
        <w:rPr>
          <w:sz w:val="20"/>
          <w:szCs w:val="20"/>
          <w:color w:val="auto"/>
        </w:rPr>
      </w:pPr>
      <w:r>
        <w:rPr>
          <w:rFonts w:ascii="Arial" w:cs="Arial" w:eastAsia="Arial" w:hAnsi="Arial"/>
          <w:sz w:val="18"/>
          <w:szCs w:val="18"/>
          <w:b w:val="1"/>
          <w:bCs w:val="1"/>
          <w:i w:val="1"/>
          <w:iCs w:val="1"/>
          <w:color w:val="auto"/>
        </w:rPr>
        <w:t>We may not realize the expected benefits from our business restructuring and workforce reduction and we may incur additional costs implementing it or other difficulties.</w:t>
      </w:r>
    </w:p>
    <w:p>
      <w:pPr>
        <w:spacing w:after="0" w:line="3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August 2024, we announced a business restructuring plan and implemented a workforce reduction. The objective of these initiatives was to focus the organization and our resources on product candidates and development compounds to treat Chagas diseases, NTM, melioidosis, other infectious diseases, and oncology while we continue to evaluate the TR-MAC program.</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However, the changes to our business strategy and the reduction in workforce may yield unintended consequences and costs, such as the loss of institutional knowledge and expertise, attrition beyond our intended workforce reduction, a reduction in morale among our remaining employees, and the risk that we may not achieve the anticipated benefits, all of which may have an adverse effect on our development activities, ability to progress our product candidate development, and results of operations or financial condition. As a result of the workforce reduction, we have recognized severance and other charges of $2.2 million as of December 31, 2024, primarily consisting of severance payments and other employee termination-related expenses.</w:t>
      </w:r>
    </w:p>
    <w:p>
      <w:pPr>
        <w:spacing w:after="0" w:line="179"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We may also incur other charges, costs, future cash expenditures or impairments not currently contemplated due to events that may occur as a result of, or in connection with, the revised business strategy and workforce reduction. In addition, we may be unsuccessful in distributing the duties and obligations of departed employees among our remaining employees.</w:t>
      </w:r>
    </w:p>
    <w:p>
      <w:pPr>
        <w:spacing w:after="0" w:line="169"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We may also discover that the workforce reduction and cost cutting measures will make it difficult for us to pursue new opportunities and initiatives and require us to hire qualified replacement personnel, which may require us to incur additional and unanticipated costs and expenses. Moreover, there is no assurance we will be successful in our pursuit of any of our new goals. Our failure to successfully accomplish any of the above activities and goals may have a negative impact on our business, financial condition, results of operations and growth prospects.</w:t>
      </w:r>
    </w:p>
    <w:p>
      <w:pPr>
        <w:spacing w:after="0" w:line="286"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b w:val="1"/>
          <w:bCs w:val="1"/>
          <w:i w:val="1"/>
          <w:iCs w:val="1"/>
          <w:color w:val="auto"/>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spacing w:after="0" w:line="51"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We believe that our existing cash, cash equivalents, and investments will enable us to fund our operating expenses and capital expenditure requirements for at least the next 12 months. However, we will need to obtain substantial additional funding in connection with our continuing operations and planned activities. Our future capital requirements will depend on many factors, including:</w:t>
      </w:r>
    </w:p>
    <w:p>
      <w:pPr>
        <w:spacing w:after="0" w:line="61"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progress, and results of our ongoing and future clinical trials of our product candidates;</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product candidates that may complete or be in the process of completing clinical development;</w:t>
      </w:r>
    </w:p>
    <w:p>
      <w:pPr>
        <w:spacing w:after="0" w:line="4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identifying, obtaining, and conducting preclinical development, laboratory testing and clinical trials of future product candidates that we may pursue;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timetable of manufacturing processes for development, clinical trials and potential commercial use;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development requirements of future product candidates that we may pursue;</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of funding that we receive under our non-dilutive funding opportunities, including government awards that we may apply for;</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product candidates that receive regulatory approval;</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revenue, if any, received from commercial sales of any product candidates that receive regulatory approval;</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28" w:name="page29"/>
    <w:bookmarkEnd w:id="28"/>
    <w:p>
      <w:pPr>
        <w:ind w:firstLine="509"/>
        <w:spacing w:after="0" w:line="239"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any future commercialization efforts.</w:t>
      </w:r>
    </w:p>
    <w:p>
      <w:pPr>
        <w:spacing w:after="0" w:line="293"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to any of our product candidates.</w:t>
      </w:r>
    </w:p>
    <w:p>
      <w:pPr>
        <w:spacing w:after="0" w:line="31" w:lineRule="exact"/>
        <w:rPr>
          <w:sz w:val="20"/>
          <w:szCs w:val="20"/>
          <w:color w:val="auto"/>
        </w:rPr>
      </w:pPr>
    </w:p>
    <w:p>
      <w:pPr>
        <w:ind w:right="80" w:firstLine="509"/>
        <w:spacing w:after="0" w:line="261"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and debt financings.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6"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any product candidates, or to grant licenses on terms that may not be favorable to us. If we are unable to raise additional funds through equity or debt financings when needed, we may be required to delay, limit, reduce or terminate our development of our product candidates or future commercialization efforts or grant rights to a third party to develop and market product candidates that we would otherwise prefer to develop and market ourselves.</w:t>
      </w:r>
    </w:p>
    <w:p>
      <w:pPr>
        <w:spacing w:after="0" w:line="28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We have a contractual commitment to develop epetraborole for global health initiatives, which may affect our ability to develop and commercialize epetraborole in certain countries and may impact our intellectual property rights. Our strategy for our global health initiatives depends on receiving non-dilutive funding, and we as a company have limited experience with this strategy.</w:t>
      </w:r>
    </w:p>
    <w:p>
      <w:pPr>
        <w:spacing w:after="0" w:line="5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Under our Global Health Agreement with Adjuvant, we have a contractual commitment to use reasonably diligent endeavors to develop epetraborole and any other mutually agreed-upon products for melioidosis, tuberculosis, and other indications for at-risk developing countries at accessible pricing and at reasonable volume, including selling epetraborole and any other mutually agreed-upon products in certain target countries at or slightly above the cost of sales, so long as we do not sell products at a loss. Under the Global Health Agreement, we made certain commitments to develop epetraborole and any other mutually agreed-upon products and to pursue regulatory strategies and product registrations. If we do not maintain compliance with these and other program-related global access commitments under the Global Health Agreement, Adjuvant may be entitled to repayment for any portion of its investment that is not used for the purposes outlined in the Global Health Agreement. Our obligations under the Global Health Agreement may affect our ability to commercialize epetraborole in certain countries.</w:t>
      </w:r>
    </w:p>
    <w:p>
      <w:pPr>
        <w:spacing w:after="0" w:line="18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strategy for developing epetraborole for global health initiatives depends on receiving non-dilutive funding from sources such as public and private agencies and foundations. We, as a company, have limited experience with non-dilutive funding, and we may not be able to obtain additional non-dilutive funding to support our needs to fund our global health initiatives. For example, we cannot be certain that there will be additional awards, contracts, grants or funding sources or solicitations available to support our development efforts, that our other grant applications and funding proposals will be successful, or that we will be able to continue satisfying the award criteria of the NIAID contract award or any grants or funding awarded to us. If we fail to receive additional non-dilutive funding, progress in our global health initiatives may be impaired or delayed.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06"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If we do not obtain regulatory approval for and successfully commercialize any of our product candidates, or if we experience significant delays in doing so, we may never become profitable.</w:t>
      </w:r>
    </w:p>
    <w:p>
      <w:pPr>
        <w:spacing w:after="0" w:line="31"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We currently have no products approved for sale and have historically invested a significant portion of our efforts and financial resources on the development of our initial product candidate, epetraborole, as a treatment for treatment-refractory MAC lung disease. Although we have discontinued our development efforts with respect to epetraborole in the treatment-refractory MAC population studied in the EBO-301 trial until completion of discussions with the FDA to align on potential next steps, our business remains heavily dependent on the successful development, regulatory approval, and, if approved, commercialization of our product candidates. We cannot be certain that any product candidate will receive regulatory approval or will be successfully commercialized even if it receives regulatory approval. The research, development, manufacturing, safety, efficacy, labeling, approval, sale, marketing and distribution of our product candidates are, and will remain, subject to comprehensive regulation by the FDA and other comparable foreign regulatory authorities.</w:t>
      </w:r>
    </w:p>
    <w:p>
      <w:pPr>
        <w:spacing w:after="0" w:line="180"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Before obtaining regulatory approvals for the commercial sale of any product candidates, we must demonstrate through preclinical and nonclinical studies and clinical trials that the product candidate is safe and effective for use in each target indication. Drug development is a long, expensive and uncertain process, and delay or failure can occur at any stage during our nonclinical studies, clinical trials or drug product manufacturing process. These delays or failures could be caused by a variety of factors, including but not limited to, toxicity, safety, tolerability, efficacy, problems with clinical trial enrollment, drug product availability, stability, and impurity issues related to drug product manufacturing. For example, in August 2024, we announced topline data from the Phase 2 portion of EBO-301, our Phase 2/3 clinical trial evaluating epetraborole in patients with treatment-refractory MAC lung disease. Although the Phase 2 part of the study met its primary objective in demonstrating the potential validation of a novel patient-reported outcome (“PRO”) tool and a non-significant, but numerically higher PRO-based clinical response rate in the epetraborole + OBR arm (39.5%) vs. placebo + OBR (25.0%; treatment difference 13.9%, p=0.19), sputum culture conversion at Month 6, a key secondary endpoint, was similar between treatment arms (13.2% in epetraborole + OBR vs. 10.0% placebo + OBR; treatment difference 3.4%, p=0.64). Given these topline results, we decided to close out the Phase 3 portion of the trial and commence a review of data to help inform further development. Although we believe that to date our ongoing data review supports the continued development of epetraborole in patients with treatment-refractory MAC lung disease, it is possible that we will determine to defer or discontinue development of epetraborole in NTM, whether due to further FDA feedback or otherwise.</w:t>
      </w:r>
    </w:p>
    <w:p>
      <w:pPr>
        <w:spacing w:after="0" w:line="189"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Failure to obtain regulatory approval for our product candidates in the United States or other territories will prevent us from commercializing and marketing such product candidates. The success of our product candidates will depend on several additional factors, including:</w:t>
      </w:r>
    </w:p>
    <w:p>
      <w:pPr>
        <w:spacing w:after="0" w:line="6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preclinical and nonclinical studies and requisite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performing preclinical studies and clinical trials in compliance with the FDA or any comparable regulatory authority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regulatory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manufacture sufficient quantity of product for development, clinical trials or potential commercialization;</w:t>
      </w:r>
    </w:p>
    <w:p>
      <w:pPr>
        <w:spacing w:after="0" w:line="116" w:lineRule="exact"/>
        <w:rPr>
          <w:rFonts w:ascii="Times New Roman" w:cs="Times New Roman" w:eastAsia="Times New Roman" w:hAnsi="Times New Roman"/>
          <w:sz w:val="18"/>
          <w:szCs w:val="18"/>
          <w:color w:val="auto"/>
        </w:rPr>
      </w:pPr>
    </w:p>
    <w:p>
      <w:pPr>
        <w:jc w:val="both"/>
        <w:ind w:left="1020" w:right="18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approvals with labeling for sufficiently broad patient populations and indications, without unduly restrictive distribution limitations or safety warnings, such as black box warnings or a Risk Evaluation and Mitigation Strategies ("REMS") program;</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making and retaining sufficient and reliable arrangements with third parties for manufacturing capabilities;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commercial sales of products, if and when approved;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acceptance of our therapies, if and when approved, by physicians, patients and third-party payors;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effectively with other therapies;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p>
      <w:pPr>
        <w:ind w:left="1020" w:right="24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protecting and expanding our portfolio of intellectual property rights, including patents, trademarks, trade secrets and know-how;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avoiding and defending against third-party infringement, misappropriation or other violation of intellectual property claims;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 continued acceptable safety and tolerability profile of our drugs following approval; and</w:t>
      </w:r>
    </w:p>
    <w:p>
      <w:pPr>
        <w:spacing w:after="0" w:line="116" w:lineRule="exact"/>
        <w:rPr>
          <w:rFonts w:ascii="Times New Roman" w:cs="Times New Roman" w:eastAsia="Times New Roman" w:hAnsi="Times New Roman"/>
          <w:sz w:val="18"/>
          <w:szCs w:val="18"/>
          <w:color w:val="auto"/>
        </w:rPr>
      </w:pPr>
    </w:p>
    <w:p>
      <w:pPr>
        <w:ind w:left="1020" w:right="6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allowance to proceed with clinical trials under future investigational new drug applications ("INDs"), or under comparable applications submitted outside the United States.</w:t>
      </w:r>
    </w:p>
    <w:p>
      <w:pPr>
        <w:spacing w:after="0" w:line="15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If we do not achieve these factors in a timely manner or at all, we could experience significant delays or an inability to successfully commercialize our product candidates, which would harm our business.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1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 key element of our strategy is to develop our AN2 drug discovery platform, build a pipeline of product candidates and progress these product candidates through clinical development for the treatment of Chagas disease, NTM, melioidosis, other infectious diseases, and in oncology. We may not be able to develop product candidates that are safe and effective for any proposed use. Even if we are successful in continuing to build our pipeline, the potential product candidates that we identify may not be suitable for clinical development, as a result of significant safety, tolerability and other negative characteristics or limitations that may prevent successful regulatory approval or limit market acceptance or reimbursements from third-party payors. If we do not successfully develop and commercialize any of our product candidates, we will not be able to obtain product revenue in future periods, which could significantly harm our financial position and adversely affect the trading price of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any clinical trials we conduct will be sufficient for product approval.</w:t>
      </w:r>
    </w:p>
    <w:p>
      <w:pPr>
        <w:spacing w:after="0" w:line="10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Prior to marketing any product candidate in the United States, we must demonstrate that such product candidate is safe and provide substantial evidence of effectiveness for its intended uses. The FDA has generally interpreted the “substantial evidence” requirements as requiring sponsors to conduct two adequate and well-controlled Phase 3 clinical trials. However, in some circumstances, the FDA may conclude that substantial evidence of efficacy has been demonstrated through the conduct of one adequate and well-controlled clinical trial, plus confirmatory evidence (whether obtained prior to or after such trial). Regardless of the clinical development plans we decide to pursue with respect to our product candidates, there can be no assurance that the FDA will not require additional clinical trials for approval of such product candidates beyond the trials that we currently plan to conduct, even if we successfully complete the trial and believe the results are sufficiently positive.</w:t>
      </w:r>
    </w:p>
    <w:p>
      <w:pPr>
        <w:spacing w:after="0" w:line="180"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As a company, we have limited experience designing and conducting clinical trials in the United States or other geographies and may be unable to design and execute a clinical trial to support regulatory approval. In addition, the design and results of our clinical trials may not be sufficient to support approval, since factors such as an inappropriate dosage or flaws in the design of a clinical trial may not become apparent until the clinical trial is in progress or data are available.</w:t>
      </w:r>
    </w:p>
    <w:p>
      <w:pPr>
        <w:spacing w:after="0" w:line="174"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There is a high failure rate for product candidates proceeding through clinical trials. Many companies in the pharmaceutical and biotechnology industries have suffered significant setbacks in later-stage clinical trials even after achieving promising results in preclinical testing and earlier-stage clinical trials. For example, in August 2024, we announced topline data from the Phase 2 portion of our Phase 2/3 clinical trial evaluating epetraborole in patients with treatment-refractory MAC lung disease. Although we believe the Phase 2 part of the study met its primary objective in demonstrating the potential validation of a novel patient-reported outcome (PRO) tool and a higher PRO-based clinical response rate in the epetraborole + OBR arm (39.5%) vs. placebo + OBR (25.0%; treatment difference 13.9%, p=0.19), sputum culture conversion at Month 6, a key secondary endpoint, was similar between treatment arms (13.2% in epetraborole + OBR vs. 10.0% placebo + OBR; treatment difference 3.4%, p=0.64). Given these results, we decided to close the Phase 3 portion of the trial and to commence a review of data to help inform further development.</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1" w:name="page32"/>
    <w:bookmarkEnd w:id="31"/>
    <w:p>
      <w:pPr>
        <w:ind w:right="40" w:firstLine="509"/>
        <w:spacing w:after="0"/>
        <w:rPr>
          <w:sz w:val="20"/>
          <w:szCs w:val="20"/>
          <w:color w:val="auto"/>
        </w:rPr>
      </w:pPr>
      <w:r>
        <w:rPr>
          <w:rFonts w:ascii="Arial" w:cs="Arial" w:eastAsia="Arial" w:hAnsi="Arial"/>
          <w:sz w:val="18"/>
          <w:szCs w:val="18"/>
          <w:color w:val="auto"/>
        </w:rPr>
        <w:t>Although we believe that our ongoing data review to date supports the continued development of epetraborole in patients with treatment-refractory MAC lung disease, it is possible that we will defer or discontinue development of epetraborole in NTM, whether due to further FDA feedback or otherwise. For example, based on the results from the Phase 2 portion of the EBO-301 trial, we submitted an amended statistical analysis plan for the EBO-301 trial selecting the Quality of Life – Bronchiectasis (QOL-B) respiratory domain patient reported outcome (PRO) instrument as the revised primary efficacy endpoint. However, the FDA may not consider the data from the Phase 3 portion of the trial to be clinically meaningful or otherwise supportive for regulatory decision-making purposes, even if the Phase 3 data show a statistically significant outcome with respect to QOL-B.</w:t>
      </w:r>
    </w:p>
    <w:p>
      <w:pPr>
        <w:spacing w:after="0" w:line="295"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5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may not commercialize, market, promote, or sell any product candidate without obtaining regulatory approval from the FDA or other comparable regulatory authorities, and we may never receive such approvals. It is impossible to predict when or if any of our product candidates will be deemed effective or safe in humans and receive regulatory approval. Before obtaining regulatory approval from regulatory authorities for the sale of any of our product candidates, we must complete preclinical and nonclinical development and conduct extensive clinical trials to demonstrate the safety and efficacy of such product candidates in humans. Clinical testing is expensive, difficult to design and implement, can take many years to complete, and is uncertain as to outcome. A failure of one or more clinical trials can occur at any stage of testing. Moreover, preclinical, nonclinical and clinical data are often susceptible to varying interpretations and analyses, and many companies that have believed their product candidates performed satisfactorily in preclinical and nonclinical studies and clinical trials have nonetheless failed to obtain regulatory approval of their products. In addition,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w:t>
      </w:r>
    </w:p>
    <w:p>
      <w:pPr>
        <w:spacing w:after="0" w:line="189"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regulatory approval or commercialize any of our product candidates, including, but not limited to:</w:t>
      </w:r>
    </w:p>
    <w:p>
      <w:pPr>
        <w:spacing w:after="0" w:line="46" w:lineRule="exact"/>
        <w:rPr>
          <w:sz w:val="20"/>
          <w:szCs w:val="20"/>
          <w:color w:val="auto"/>
        </w:rPr>
      </w:pPr>
    </w:p>
    <w:p>
      <w:pPr>
        <w:ind w:left="1020" w:right="80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generate sufficient preclinical, toxicology or other in vivo or in vitro data to support the initiation or continuation of clinical trials;</w:t>
      </w:r>
    </w:p>
    <w:p>
      <w:pPr>
        <w:spacing w:after="0" w:line="46" w:lineRule="exact"/>
        <w:rPr>
          <w:rFonts w:ascii="Times New Roman" w:cs="Times New Roman" w:eastAsia="Times New Roman" w:hAnsi="Times New Roman"/>
          <w:sz w:val="18"/>
          <w:szCs w:val="18"/>
          <w:color w:val="auto"/>
        </w:rPr>
      </w:pPr>
    </w:p>
    <w:p>
      <w:pPr>
        <w:ind w:left="1020" w:right="120" w:hanging="503"/>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regulatory authorities may disagree as to the design or implementation of our clinical trials, including the selection of primary and secondary endpoints, which may result in changes to our planned clinical trial design and potential target clinical outcomes, or may result in failure to obtain approval altogether;</w:t>
      </w:r>
    </w:p>
    <w:p>
      <w:pPr>
        <w:spacing w:after="0" w:line="62"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IRBs, or ethics committees may not allow or authorize us or our investigators to commence a clinical trial or conduct a clinical trial at a prospective trial site;</w:t>
      </w:r>
    </w:p>
    <w:p>
      <w:pPr>
        <w:spacing w:after="0" w:line="46"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reach agreement on acceptable terms with prospective CROs, and clinical trial sites, the terms of which can be subject to extensive negotiation and may vary significantly among different CROs and clinical trial sites;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delays in identifying, recruiting and training suitable clinical investigators;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may make changes or amendments to a trial protocol;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may select endpoints that require prolonged periods of clinical observation or require extended analysis of the resulting data;</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may deviate from the trial protocol or drop out of a trial;</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 for our product candidates may produce negative or inconclusive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enrollment in clinical trials may be slower than we anticipate, participants may drop out of these clinical trials at a higher rate than we anticipate, we may fail to recruit suitable patients to participate in a trial, or the number of patients required for clinical trials of our product candidates may be larger than we anticipate;</w:t>
      </w:r>
    </w:p>
    <w:p>
      <w:pPr>
        <w:spacing w:after="0" w:line="62"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46"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62"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may lack adequate funding to complete a clinical trial, or the cost of clinical trials of our product candidates may be greater than we anticipate;</w:t>
      </w:r>
    </w:p>
    <w:p>
      <w:pPr>
        <w:spacing w:after="0" w:line="4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regulatory authorities may fail to approve the manufacturing processes or facilities of third-party manufacturers with whom we enter into agreements for clinical and commercial supplies;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our product candidates or other materials necessary to conduct clinical trials of such product candidates may be insufficient or inadequate;</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serious adverse events may occur in trials of the same class of agents conducted by other companies that could be considered similar to our product candidates;</w:t>
      </w:r>
    </w:p>
    <w:p>
      <w:pPr>
        <w:spacing w:after="0" w:line="4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clinical trials; and</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other comparable regulatory authorities may significantly change in a manner rendering our clinical data insufficient for approval.</w:t>
      </w:r>
    </w:p>
    <w:p>
      <w:pPr>
        <w:spacing w:after="0" w:line="154" w:lineRule="exact"/>
        <w:rPr>
          <w:sz w:val="20"/>
          <w:szCs w:val="20"/>
          <w:color w:val="auto"/>
        </w:rPr>
      </w:pPr>
    </w:p>
    <w:p>
      <w:pPr>
        <w:ind w:right="300" w:firstLine="509"/>
        <w:spacing w:after="0" w:line="275" w:lineRule="auto"/>
        <w:rPr>
          <w:sz w:val="20"/>
          <w:szCs w:val="20"/>
          <w:color w:val="auto"/>
        </w:rPr>
      </w:pPr>
      <w:r>
        <w:rPr>
          <w:rFonts w:ascii="Arial" w:cs="Arial" w:eastAsia="Arial" w:hAnsi="Arial"/>
          <w:sz w:val="17"/>
          <w:szCs w:val="17"/>
          <w:color w:val="auto"/>
        </w:rPr>
        <w:t>If we are required to conduct additional clinical trials or other testing of any of our product candidates beyond the studies that we currently contemplate, if we are unable to successfully complete clinical trials or other testing of our product candidates, or if the results of these trials or tests are not positive or are only modestly positive or if there are safety concerns observed in these trials or tests, we may:</w:t>
      </w:r>
    </w:p>
    <w:p>
      <w:pPr>
        <w:spacing w:after="0" w:line="4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obtaining regulatory approval for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not obtain regulatory approval at all;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020" w:right="58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 such as black box warnings or a REMS program;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additional post-marketing testing requirements;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remove the product from the market after obtaining regulatory approval.</w:t>
      </w:r>
    </w:p>
    <w:p>
      <w:pPr>
        <w:spacing w:after="0" w:line="22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do not know whether any of our preclinical and nonclinical studies or clinical trials will begin as planned, will need to be restructured, or will be completed on schedule or at all. Significant preclinical and nonclinical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In addition, many of the factors that cause, or lead to, delays of clinical trials may ultimately lead to the denial of regulatory approval of our product candidates.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ind w:right="280"/>
        <w:spacing w:after="0" w:line="278" w:lineRule="auto"/>
        <w:rPr>
          <w:sz w:val="20"/>
          <w:szCs w:val="20"/>
          <w:color w:val="auto"/>
        </w:rPr>
      </w:pPr>
      <w:r>
        <w:rPr>
          <w:rFonts w:ascii="Arial" w:cs="Arial" w:eastAsia="Arial" w:hAnsi="Arial"/>
          <w:sz w:val="18"/>
          <w:szCs w:val="18"/>
          <w:b w:val="1"/>
          <w:bCs w:val="1"/>
          <w:i w:val="1"/>
          <w:iCs w:val="1"/>
          <w:color w:val="auto"/>
        </w:rPr>
        <w:t>We cannot predict whether or when bacteria may develop resistance to any of our antibacterial product candidates, which could affect the revenue potential of our product candidates.</w:t>
      </w:r>
    </w:p>
    <w:p>
      <w:pPr>
        <w:spacing w:after="0" w:line="3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are developing certain of our product candidates to treat bacterial infections. The bacteria responsible for these infections evolve quickly and may develop antibiotic resistance caused by spontaneous mutations in the genes encoding the cellular target of the antibiotic. In some cases, resistance mechanisms can be transferred within and between bacterial species. Prescription or use of our product candidates, if approved, could depend on the type and rate of resistance of the targeted bacteria. Although we do intend to analyze the potential of emergence of resistance to our product candidates and only select those that we believe have low resistance potential, we cannot predict whether or when bacterial resistance may develop. Such bacterial resistances, if and when identified, could adversely affect the conduct or results of our clinical trials, and could adversely affect the market potential of the product candidate, if approved. The growth of drug-resistant infections in community settings or in countries with poor public health infrastructures, or the potential use of any product candidates outside of controlled hospital settings, could contribute to the rise of resistance.</w:t>
      </w:r>
    </w:p>
    <w:p>
      <w:pPr>
        <w:spacing w:after="0" w:line="29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regulatory approval.</w:t>
      </w:r>
    </w:p>
    <w:p>
      <w:pPr>
        <w:spacing w:after="0" w:line="3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Results of our clinical trials could reveal a high and unacceptable severity and prevalence of side effects or unexpected characteristics. Undesirable side effects caused by our product candidates, whether used alone on in combination with other therapies, could cause us or regulatory authorities to interrupt, delay or halt clinical trials or the delay or denial of regulatory approval by the FDA or comparable foreign regulatory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results of operations and growth prospects significantly.</w:t>
      </w:r>
    </w:p>
    <w:p>
      <w:pPr>
        <w:spacing w:after="0" w:line="18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Additional adverse events may emerge (along with additional data further defining previously identified risks) in any ongoing or subsequent clinical trials and there may be unforeseen serious adverse events or side effects that differ from those seen in studies completed to date. It is possible that as we test our product candidates in larger, longer and more extensive clinical programs, or as use of such product candidates becomes more widespread, if they receive regulatory approval, subjects will report illnesses, injuries, discomforts and other adverse events that were not observed in earlier trials, as well as conditions that did not occur or went undetected in previous trials. Many times, side effects are only detectable after investigational drugs are tested in large-scale clinical trials or, in some cases, after they are made available to patients on a commercial scale after approval. If additional clinical experience indicates that any of our product candidates has unexpected side effects or causes serious or life-threatening side effects, the development of the product candidate may fail or be delayed, or, if the product candidate has received regulatory approval, such approval may be revoked, which would harm our business.</w:t>
      </w:r>
    </w:p>
    <w:p>
      <w:pPr>
        <w:spacing w:after="0" w:line="18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Even if we believe our product candidates demonstrate clinical efficacy, any unacceptable adverse side effects or toxicities, when administered in the presence of other pharmaceutical products, which can arise at any stage of development, may outweigh potential benefits. We may observe adverse or significant adverse events or drug-drug interactions in future preclinical studies or clinical trial candidates, which could result in the delay or termination of development, prevent regulatory approval or limit market acceptance if ultimately approved. For example, we have observed cases of anemia in patients receiving epetraborole, and though we believe these reported adverse events have not been serious in nature or otherwise suggestive of a material safety issue, consistent imbalances in observed adverse events between active and placebo arms could adversely affect the integrity of a study blind and subsequent trial data.</w:t>
      </w:r>
    </w:p>
    <w:p>
      <w:pPr>
        <w:spacing w:after="0" w:line="185"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Moreover, if we elect, or are required, to delay, suspend or terminate any clinical trial of any of our product candidates, the commercial prospects of such product candidate may be harmed and our ability to generate revenue through its sale may be delayed or eliminated. Any of these occurrences may significantly harm our business.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4" w:name="page35"/>
    <w:bookmarkEnd w:id="34"/>
    <w:p>
      <w:pPr>
        <w:ind w:right="120" w:firstLine="509"/>
        <w:spacing w:after="0" w:line="244" w:lineRule="auto"/>
        <w:rPr>
          <w:sz w:val="20"/>
          <w:szCs w:val="20"/>
          <w:color w:val="auto"/>
        </w:rPr>
      </w:pPr>
      <w:r>
        <w:rPr>
          <w:rFonts w:ascii="Arial" w:cs="Arial" w:eastAsia="Arial" w:hAnsi="Arial"/>
          <w:sz w:val="18"/>
          <w:szCs w:val="18"/>
          <w:color w:val="auto"/>
        </w:rPr>
        <w:t>Additionally, if any of our product candidates receive regulatory approval, regulatory authorities may require the addition of labeling statements, such as a “black box” warning or a contraindication, or the adoption of a REMS program to ensure that the benefits outweigh its risks, which may include, among other things, a medication guide outlining the risks of the drug for distribution to patients and a communication plan to health care practitioners. Furthermore, if we or others later identify undesirable side effects caused by any product candidates, several potentially significant negative consequences could result, including:</w:t>
      </w:r>
    </w:p>
    <w:p>
      <w:pPr>
        <w:spacing w:after="0" w:line="68" w:lineRule="exact"/>
        <w:rPr>
          <w:sz w:val="20"/>
          <w:szCs w:val="20"/>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suspend or withdraw approvals of such product candidate, or we may decide to suspend marketing or remove a product from the marketplace;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change the way a product candidate is administered or conduct additional clinical trials, including one or more post-marketing research studies;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sued and held liable for harm caused to patients;</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implement REMS, including the creation of a medication guide outlining the risks of such side effects for distribution to patients;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subject to fines, injunctions or the imposition of criminal or civil penalties;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need to conduct a recall or comparable post-marketing action;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if approved, or could substantially increase commercialization costs and expenses, which could delay or prevent us from generating revenue from the sale of our product candidates and harm our business and results of operations.</w:t>
      </w:r>
    </w:p>
    <w:p>
      <w:pPr>
        <w:spacing w:after="0" w:line="279"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If we are not successful in discovering, developing and commercializing additional product candidates, our ability to expand our business and achieve our strategic objectives would be impaired.</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Although a substantial amount of our effort will focus on potential clinical testing and potential regulatory approval of our current and future product candidates, including the development of AN2-502998, a boron-based small molecule therapeutic candidate for the treatment of Chagas disease, epetraborole for NTM or melioidosis, and other development compounds, an element of our strategy is to discover, develop and commercialize a portfolio of product candidates to treat diseases with high unmet need. We are seeking to do so by utilizing our targeted-design AN2 drug discovery platform, which uses bacterial genomics and state-of-the-art molecular and dynamic models to design active new compounds that target known mechanisms. We focus our clinical development on pathogens, drug targets, and patients with high, unmet medical needs to leverage the development and regulatory paths available for first-in-class or best-in-class therapeutics. Research efforts to identify and develop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7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6"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candidate may not be accepted as safe, tolerable and effective by patients, the medical community or third-party payors, if applicable;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regulatory authorities may not approve or agree with the intended use of a new product candidate.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ind w:right="240" w:firstLine="509"/>
        <w:spacing w:after="0" w:line="271" w:lineRule="auto"/>
        <w:rPr>
          <w:sz w:val="20"/>
          <w:szCs w:val="20"/>
          <w:color w:val="auto"/>
        </w:rPr>
      </w:pPr>
      <w:r>
        <w:rPr>
          <w:rFonts w:ascii="Arial" w:cs="Arial" w:eastAsia="Arial" w:hAnsi="Arial"/>
          <w:sz w:val="18"/>
          <w:szCs w:val="18"/>
          <w:color w:val="auto"/>
        </w:rPr>
        <w:t>If we fail to develop and successfully commercialize our product candidates, our business and future prospects may be harmed and our business will be more vulnerable to any problems that we encounter in developing and commercializing our product candidates.</w:t>
      </w:r>
    </w:p>
    <w:p>
      <w:pPr>
        <w:spacing w:after="0" w:line="264"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clinical development activities and receipt of necessary regulatory approvals could be delayed or prevented.</w:t>
      </w:r>
    </w:p>
    <w:p>
      <w:pPr>
        <w:spacing w:after="0" w:line="3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continue or complete clinical trials of any product candidates that we develop if we are unable to locate and enroll a sufficient number of eligible patients to participate in these trials, as required by the FDA or other comparable regulatory authorities. We have limited experience enrolling patients in our clinical trials and cannot predict how successful we will be in enrolling patients in future clinical trials.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0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nature of the targeted patient population;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eligibility criteria for participation in the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design of the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perceived risks and benefits of the product candidate under study;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clinical trial investigators with appropriate experience;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efforts to facility timely enrollment in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efficacy of drugs approved to treat the diseases under study;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patient referral practices of physicians;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patient consents;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monitor patients adequately during and after treatment;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particular, we may face delays and difficulties in enrollment in our planned trials of certain of our product candidates because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Chagas disease and certain other conditions we may target include rare diseases (i.e., the size of the targeted patient population is small).</w:t>
      </w:r>
    </w:p>
    <w:p>
      <w:pPr>
        <w:spacing w:after="0"/>
        <w:rPr>
          <w:sz w:val="20"/>
          <w:szCs w:val="20"/>
          <w:color w:val="auto"/>
        </w:rPr>
      </w:pPr>
      <w:r>
        <w:rPr>
          <w:rFonts w:ascii="Arial" w:cs="Arial" w:eastAsia="Arial" w:hAnsi="Arial"/>
          <w:sz w:val="18"/>
          <w:szCs w:val="18"/>
          <w:color w:val="auto"/>
        </w:rPr>
        <w:t>Because of this, we may experience difficulties in recruiting sufficient patients into certain of our planned clinical trials.</w:t>
      </w:r>
    </w:p>
    <w:p>
      <w:pPr>
        <w:spacing w:after="0" w:line="19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Additionally, other pharmaceutical companies and research institutions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clinical trials would result in significant delays and could require us to abandon one or more clinical trials altogether. We have experienced enrollment delays in the past. Enrollment delays in these clinical trials may result in further increased development costs for our product candidates, which would reduce the capital we have available to support our current and future product candidates and may result in our need to raise additional capital earlier than planned and could cause the value of our common stock to decline and limit our ability to obtain additional financing.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6" w:name="page37"/>
    <w:bookmarkEnd w:id="36"/>
    <w:p>
      <w:pPr>
        <w:ind w:right="620"/>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have a greater likelihood of success.</w:t>
      </w:r>
    </w:p>
    <w:p>
      <w:pPr>
        <w:spacing w:after="0" w:line="3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3"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174"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growth prospects.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7" w:name="page38"/>
    <w:bookmarkEnd w:id="37"/>
    <w:p>
      <w:pPr>
        <w:spacing w:after="0" w:line="278" w:lineRule="auto"/>
        <w:rPr>
          <w:sz w:val="20"/>
          <w:szCs w:val="20"/>
          <w:color w:val="auto"/>
        </w:rPr>
      </w:pPr>
      <w:r>
        <w:rPr>
          <w:rFonts w:ascii="Arial" w:cs="Arial" w:eastAsia="Arial" w:hAnsi="Arial"/>
          <w:sz w:val="18"/>
          <w:szCs w:val="18"/>
          <w:b w:val="1"/>
          <w:bCs w:val="1"/>
          <w:i w:val="1"/>
          <w:iCs w:val="1"/>
          <w:color w:val="auto"/>
        </w:rPr>
        <w:t>We may conduct clinical trials for our product candidates outside of the United States, and the FDA may not accept data from such trials, in which case our development plans may be delayed, which could materially harm our business.</w:t>
      </w:r>
    </w:p>
    <w:p>
      <w:pPr>
        <w:spacing w:after="0" w:line="3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conduct and may in the future conduct one or more of our clinical trials or a portion of our clinical trials for our product candidates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relevant jurisdiction. If the FDA or any comparable foreign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6"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i w:val="1"/>
          <w:iCs w:val="1"/>
          <w:color w:val="auto"/>
        </w:rPr>
        <w:t>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spacing w:after="0" w:line="57"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are dependent on third parties to conduct our clinical trials, nonclinical studies and preclinical studies. Specifically, we have engaged CROs and consultants to conduct our ongoing and planned preclinical and nonclinical studies and clinical trials, in each case in accordance with trial protocols and regulatory requirements.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preclinical and nonclinical studies, clinical trials, and manufacture of our clinical trial material. Currently, we rely on single source third-party research institutions, laboratories, clinical research and manufacturing organizations for research and development. Agreements with such third parties might terminate for a variety of reasons, including a failure to perform by the third parties. If we need to enter into alternative arrangements, or fail to enter into alternative arrangements in a timely manner, our product development activities would be delayed.</w:t>
      </w:r>
    </w:p>
    <w:p>
      <w:pPr>
        <w:spacing w:after="0" w:line="183"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we and our CROs are required to comply with regulations and comply with good laboratory practice requirements for the conduct of certain preclinical studies and GCP requirements for clinical trials, which are regulations and guidelines enforced by the FDA, for conducting, recording and reporting the results of clinical trials to assure that data and reported results are credible and accurate and that the rights, integrity and confidentiality of trial participants are protected. Similar regulatory requirements apply outside the United States, including the International Council for Harmonisation of Technical Requirements for the Registration of Pharmaceuticals for Human Use. Regulatory authorities enforce GCPs through periodic inspections of trial sponsors, principal investigators and trial sites. Failure to comply with these requirements by us or by third parties can result in FDA refusal to approve applications based on the clinical data, enforcement actions, adverse publicity and civil and criminal sanctions.</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38" w:name="page39"/>
    <w:bookmarkEnd w:id="38"/>
    <w:p>
      <w:pPr>
        <w:ind w:right="60" w:firstLine="509"/>
        <w:spacing w:after="0"/>
        <w:rPr>
          <w:sz w:val="20"/>
          <w:szCs w:val="20"/>
          <w:color w:val="auto"/>
        </w:rPr>
      </w:pPr>
      <w:r>
        <w:rPr>
          <w:rFonts w:ascii="Arial" w:cs="Arial" w:eastAsia="Arial" w:hAnsi="Arial"/>
          <w:sz w:val="18"/>
          <w:szCs w:val="18"/>
          <w:color w:val="auto"/>
        </w:rPr>
        <w:t>There is no guarantee that any of our CROs, investigators or other third parties will devote adequate time and resources to such trials or studies or perform as contractually required. If any of these third parties fails to meet expected deadlines, adhere to our clinical protocols or meet regulatory requirements, or otherwise perform in a substandard manner, our clinical trials may be extended, delayed or terminated.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product candidates and will not be able to, or may be delayed in our efforts to, successfully commercialize such product candidates.</w:t>
      </w:r>
    </w:p>
    <w:p>
      <w:pPr>
        <w:spacing w:after="0" w:line="18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spacing w:after="0" w:line="179"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or regulatory noncompliance on the part of our distributors could delay clinical development or regulatory approval of our product candidates or commercialization of such product candidates, resulting in additional losses and depriving us of potential product revenue.</w:t>
      </w:r>
    </w:p>
    <w:p>
      <w:pPr>
        <w:spacing w:after="0" w:line="27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Our reliance on single-sourced third parties to manufacture our product candidates increases the risk that we will not have sufficient quantities of our product candidates or products or such quantities at an acceptable cost, which could delay, prevent or impair our development or commercialization efforts.</w:t>
      </w:r>
    </w:p>
    <w:p>
      <w:pPr>
        <w:spacing w:after="0" w:line="5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do not own or operate manufacturing facilities for the production of clinical or commercial supplies of the product candidates that we are developing or evaluating, nor are we contemplating plans to do so. We have limited personnel with experience in drug manufacturing and lack the resources and the capabilities to manufacture any of our product candidates on a clinical or commercial scale. Our strategy is to continue to outsource all manufacturing of our product candidates and approved products, if any, to third parties.</w:t>
      </w:r>
    </w:p>
    <w:p>
      <w:pPr>
        <w:spacing w:after="0" w:line="174"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In order to conduct clinical trials of our product candidates and prepare for commercialization, we will need to identify suitable manufacturers with the capabilities to manufacture our compounds in large quantities in a manner consistent with existing regulations. Our current and future third-party manufacturers may be unable to successfully increase the manufacturing capacity for any of our product candidates in a timely or cost-effective manner, or at all. In addition, quality issues may arise during scale-up activities at any other time. If our manufacturers are unable to successfully scale up the manufacture of our current or future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85"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do not currently have any agreements with third-party manufacturers for the long-term commercial supply of any of our product candidates. In the future, we may be unable to enter into agreements with third-party manufacturers for commercial supplies of such product candidates or may be unable to do so on acceptable terms.</w:t>
      </w:r>
    </w:p>
    <w:p>
      <w:pPr>
        <w:spacing w:after="0" w:line="169"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Even if we are able to establish and maintain arrangements with third-party manufacturers, reliance on third-party manufacturers entails risks, including:</w:t>
      </w:r>
    </w:p>
    <w:p>
      <w:pPr>
        <w:spacing w:after="0" w:line="46"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reliance on the third party for regulatory compliance and quality assurance;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breach of the manufacturing agreement by the third party;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such parties to manufacture product candidates according to our specifications or on schedule;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9" w:name="page40"/>
    <w:bookmarkEnd w:id="39"/>
    <w:p>
      <w:pPr>
        <w:ind w:right="180" w:firstLine="509"/>
        <w:spacing w:after="0"/>
        <w:rPr>
          <w:sz w:val="20"/>
          <w:szCs w:val="20"/>
          <w:color w:val="auto"/>
        </w:rPr>
      </w:pPr>
      <w:r>
        <w:rPr>
          <w:rFonts w:ascii="Arial" w:cs="Arial" w:eastAsia="Arial" w:hAnsi="Arial"/>
          <w:sz w:val="18"/>
          <w:szCs w:val="18"/>
          <w:color w:val="auto"/>
        </w:rPr>
        <w:t>The facilities used by our third-party manufacturers must be approved for the manufacture of our product candidates by the FDA, or any comparable foreign regulatory authority, pursuant to inspections that will be conducted after we submit an NDA to the FDA, or submit a comparable marketing application to a foreign regulatory authority. We do not control the manufacturing process of, and are completely dependent on, third-party manufacturers for compliance with cGMP requirements for manufacture of our product candidates.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 use of their manufacturing facilities.</w:t>
      </w:r>
    </w:p>
    <w:p>
      <w:pPr>
        <w:spacing w:after="0" w:line="18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addition, we have no control over the ability of third-party manufacturers to maintain adequate quality control, quality assurance and qualified personnel.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spacing w:after="0" w:line="176"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Our product candidates may compete with other product candidates and products for access to manufacturing facilities. There are a limited number of manufacturers that operate under cGMP regulations and that might be capable of manufacturing for us.</w:t>
      </w:r>
    </w:p>
    <w:p>
      <w:pPr>
        <w:spacing w:after="0" w:line="15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If the third parties that we engage to supply any materials or manufacture product for our preclinical and nonclinical studies and clinical trials should cease to continue to do so for any reason, we likely would experience delays in advancing these studies and trials while we identify and qualify replacement suppliers, and we may be unable to obtain replacement supplies on terms that are favorable to us. In addition, if we are not able to obtain adequate supplies of our product candidates or the substances used to manufacture them, it will be more difficult for us to develop such product candidates and compete effectively.</w:t>
      </w:r>
    </w:p>
    <w:p>
      <w:pPr>
        <w:spacing w:after="0" w:line="176"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adversely affect our future profit margins and our ability to develop product candidates and commercialize any products that receive regulatory approval on a timely and competitive basis.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06"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w:t>
      </w:r>
    </w:p>
    <w:p>
      <w:pPr>
        <w:spacing w:after="0" w:line="3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Even if we obtain approvals from the FDA or other comparable regulatory agencies and are able to initiate commercialization of any of our product candidates, such product candidates may not achieve market acceptance among physicians, patients and third-party payors and, ultimately, may not be commercially successful. The degree of market acceptance of our product candidates, if approved for commercial sale, will depend on a number of factors, including:</w:t>
      </w:r>
    </w:p>
    <w:p>
      <w:pPr>
        <w:spacing w:after="0" w:line="66" w:lineRule="exact"/>
        <w:rPr>
          <w:sz w:val="20"/>
          <w:szCs w:val="20"/>
          <w:color w:val="auto"/>
        </w:rPr>
      </w:pPr>
    </w:p>
    <w:p>
      <w:pPr>
        <w:ind w:left="1020" w:right="8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tolerability, efficacy and ease of use of a once-a-day oral dose and other potential advantages compared to alternative treatments;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and perceived advantages and disadvantages of the product candidates, including cost and clinical benefit relative to alternative treatments;</w:t>
      </w:r>
    </w:p>
    <w:p>
      <w:pPr>
        <w:spacing w:after="0" w:line="46"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convenience and ease of once-a-day oral administration compared to alternative treatments (e.g., inhaled drug through nebulizer);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020" w:right="78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acceptance by physicians, patients, payor-formularies and treatment facilities and parties responsible for coverage and reimbursement of the product;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the product candidates in sufficient quantities and yields;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and effectiveness of marketing and distribution support;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w:t>
      </w:r>
    </w:p>
    <w:p>
      <w:pPr>
        <w:spacing w:after="0" w:line="116"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including distribution or use restrictions, contained in the product’s approved labeling or an approved REMS;</w:t>
      </w:r>
    </w:p>
    <w:p>
      <w:pPr>
        <w:spacing w:after="0" w:line="46" w:lineRule="exact"/>
        <w:rPr>
          <w:rFonts w:ascii="Times New Roman" w:cs="Times New Roman" w:eastAsia="Times New Roman" w:hAnsi="Times New Roman"/>
          <w:sz w:val="18"/>
          <w:szCs w:val="18"/>
          <w:color w:val="auto"/>
        </w:rPr>
      </w:pPr>
    </w:p>
    <w:p>
      <w:pPr>
        <w:ind w:left="1020" w:right="56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product is designated under physician treatment guidelines as a first-line therapy or as a second- or third-line therapy for particular infections;</w:t>
      </w:r>
    </w:p>
    <w:p>
      <w:pPr>
        <w:spacing w:after="0" w:line="4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product is safe, tolerable and efficacious when used in combination therapy with the current multi-drug standard of care regimen;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products for the same indications;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the approved product as well as competitive products;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emergence of bacterial resistance to the product.</w:t>
      </w:r>
    </w:p>
    <w:p>
      <w:pPr>
        <w:spacing w:after="0" w:line="22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If the market size of any product candidate that obtains regulatory approval is significantly smaller than we anticipate, it may not achieve market acceptance or commercial success. This could significantly and negatively impact our business, financial condition, results of operations and growth prospects.</w:t>
      </w:r>
    </w:p>
    <w:p>
      <w:pPr>
        <w:spacing w:after="0" w:line="279"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3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development and commercialization of new drug products is highly competitive. We face competition from major multi-national pharmaceutical companies, biotechnology companies, specialty pharmaceutical companies and generic drug companies with respect to the product candidates that we intend to develop and commercialize. Potential competitors also include academic institutions, government agencies and other public and private research organizations. If our competitors obtain regulatory approval from the FDA or other comparable regulatory authorities for their product candidates more rapidly than we do, it could result in our competitors establishing a strong market position before we are able to enter the market. Our competitors may also succeed in developing, acquiring or licensing technologies and drug products that are more effective, more effectively marketed and sold, or less costly than any product candidates that we may develop, which could render our product candidate non-competitive and obsolete.</w:t>
      </w:r>
    </w:p>
    <w:p>
      <w:pPr>
        <w:spacing w:after="0" w:line="18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Many of our competitors have significantly greater financial resources and expertise in research and development, manufacturing, preclinical and nonclinical testing, conducting clinical trials, obtaining regulatory approvals, and marketing approved products than we do as an organization.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following the announcement of topline data from the Phase 2 portion of our Phase 2/3 clinical trial evaluating epetraborole, we effected a restructuring resulting in the elimination of a significant portion of the workforce and could result in additional unplanned loss of personnel. Continued disruption caused by the transition or by the loss of ongoing services of any qualified scientific and management personnel could delay or prevent the successful development of our current and future product candidates.</w:t>
      </w:r>
    </w:p>
    <w:p>
      <w:pPr>
        <w:spacing w:after="0" w:line="18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approval from the FDA or other comparable regulatory agencies for their product candidates more rapidly than we may obtain approval for ours, which could result in product approval delays if a competitor obtains market exclusivity from the FDA or any comparable regulatory agencies or our competitors establish a strong market position before we are able to enter the market. In addition, our ability to compete may be affected in many cases by insurers or other third-party payors seeking to encourage the use of generic drugs. Additional drugs may become available on a generic basis over the coming years. If any of our product candidates achieve regulatory approval, we expect that they will be priced at a significant premium over competitive generic drugs.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right="80"/>
        <w:spacing w:after="0" w:line="256"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our product candidates,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We do not have a sales or marketing infrastructure and have limited experience in the sale, marketing, or distribution of pharmaceutical products. To achieve commercial success for any product candidate for which we may obtain regulatory approval, we will need to establish a sales and marketing organization or enter into collaboration, distribution and other marketing arrangements with one or more third parties to commercialize such product candidate. In the United States and other key markets, we intend to build a commercial organization to target areas with the greatest incidence of conditions for which we may at some point obtain regulatory approval and recruit experienced sales, marketing and distribution professionals. The development of sales, marketing and distribution capabilities will require substantial resources, will be time-consuming and could delay any product launch. We may decide to work with regional specialty pharmacies, distributors, and/or multi-national pharmaceutical companies to leverage their commercialization capabilities to commercialize any product candidate for which we may obtain regulatory approval outside of the United States.</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If the commercial launch of a product candidate for which we recruit a sales force and establish marketing and distribution capabilities is delayed or does not occur for any reason, we would have prematurely or unnecessarily incurred these commercialization costs. This may be costly, and our investment would be lost if we cannot retain or reposition our sales and marketing personnel. In addition, we may not be able to hire a sales force in the United States that is sufficient in size or has adequate expertise to target the areas that we intend to target. If we are unable to establish a sales force and marketing and distribution capabilities, our operating results may be adversely affected.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drugs on our own include:</w:t>
      </w:r>
    </w:p>
    <w:p>
      <w:pPr>
        <w:spacing w:after="0" w:line="10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6"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products;</w:t>
      </w:r>
    </w:p>
    <w:p>
      <w:pPr>
        <w:spacing w:after="0" w:line="46"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complementary products to be offered by sales personnel, which may put us at a competitive disadvantage compared to companies with more extensive product lines;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costs and limitations with regard to setting up a distribution network.</w:t>
      </w:r>
    </w:p>
    <w:p>
      <w:pPr>
        <w:spacing w:after="0" w:line="22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If we are unable to establish our own sales, marketing and distribution capabilities in the United States and other jurisdictions in which any of our product candidates are approved and, instead, enter into arrangements with third parties to perform these services, our revenues and profitability, if any, are likely to be lower than if we were to sell, market and distribute any product candidates that we develop ourselves. We may not be successful in entering into arrangements with third parties to sell, market and distribute our product candidates or may be unable to do so on terms that are favorable to us. We likely will have limited control over such third parties, and any of them may fail to devote the necessary resources and attention to sell and market our product candidates effectively. If we do not establish sales, marketing and distribution capabilities successfully, either on our own or in collaboration with third parties, we will not be successful in commercializing any product candidates.</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11" w:right="419" w:bottom="1440" w:gutter="0" w:footer="0" w:header="0"/>
        </w:sectPr>
      </w:pPr>
    </w:p>
    <w:bookmarkStart w:id="42" w:name="page43"/>
    <w:bookmarkEnd w:id="42"/>
    <w:p>
      <w:pPr>
        <w:ind w:right="20"/>
        <w:spacing w:after="0" w:line="278"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any of our product candidates, which could make it difficult for us to sell profitably, if approved.</w:t>
      </w:r>
    </w:p>
    <w:p>
      <w:pPr>
        <w:spacing w:after="0" w:line="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and providers are unlikely to prescribe our drugs, unless coverage is provided and reimbursement is adequate to cover a significant portion of the cost of our drugs and their administration.</w:t>
      </w:r>
    </w:p>
    <w:p>
      <w:pPr>
        <w:spacing w:after="0" w:line="18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regulatory approval. If coverage and adequate reimbursement are not available, or are available only to limited levels, we may not be able to successfully commercialize any product candidates that we develop.</w:t>
      </w:r>
    </w:p>
    <w:p>
      <w:pPr>
        <w:spacing w:after="0" w:line="289"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31"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reduced resources of our management to pursue our business strategy;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product candidates or products that we may develop;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resulting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paid to clinical trial participants or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drugs that we may develop;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share price.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43" w:name="page44"/>
    <w:bookmarkEnd w:id="43"/>
    <w:p>
      <w:pPr>
        <w:ind w:right="100" w:firstLine="509"/>
        <w:spacing w:after="0"/>
        <w:rPr>
          <w:sz w:val="20"/>
          <w:szCs w:val="20"/>
          <w:color w:val="auto"/>
        </w:rPr>
      </w:pPr>
      <w:r>
        <w:rPr>
          <w:rFonts w:ascii="Arial" w:cs="Arial" w:eastAsia="Arial" w:hAnsi="Arial"/>
          <w:sz w:val="18"/>
          <w:szCs w:val="18"/>
          <w:color w:val="auto"/>
        </w:rPr>
        <w:t>Our product liability insurance coverage may not be adequate to cover all liabilities that we may incur. We may need to increase our insurance coverage as we expand our clinical trials or if we commence commercialization of any product candidates. Insurance coverage is increasingly expensive. We may not be able to maintain insurance coverage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a variety of risks associated with marketing our product candidates internationally, which could affect our business.</w:t>
      </w:r>
    </w:p>
    <w:p>
      <w:pPr>
        <w:spacing w:after="0" w:line="102"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We may seek regulatory approval for our product candidates outside of the United States and, accordingly, we expect that we will be subject to additional risks related to operating in foreign countries if we obtain the necessary approvals, including:</w:t>
      </w:r>
    </w:p>
    <w:p>
      <w:pPr>
        <w:spacing w:after="0" w:line="4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and reimbursement landscapes in foreign countries;</w:t>
      </w:r>
    </w:p>
    <w:p>
      <w:pPr>
        <w:spacing w:after="0" w:line="11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020" w:right="6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U.S. Foreign Corrupt Practices Act of 1977, as amended (the “FCPA”), or comparable foreign regulations;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4" w:lineRule="exact"/>
        <w:rPr>
          <w:sz w:val="20"/>
          <w:szCs w:val="20"/>
          <w:color w:val="auto"/>
        </w:rPr>
      </w:pPr>
    </w:p>
    <w:p>
      <w:pPr>
        <w:jc w:val="center"/>
        <w:ind w:left="400" w:right="440"/>
        <w:spacing w:after="0" w:line="437" w:lineRule="auto"/>
        <w:rPr>
          <w:sz w:val="20"/>
          <w:szCs w:val="20"/>
          <w:color w:val="auto"/>
        </w:rPr>
      </w:pPr>
      <w:r>
        <w:rPr>
          <w:rFonts w:ascii="Arial" w:cs="Arial" w:eastAsia="Arial" w:hAnsi="Arial"/>
          <w:sz w:val="18"/>
          <w:szCs w:val="18"/>
          <w:color w:val="auto"/>
        </w:rPr>
        <w:t xml:space="preserve">These and other risks associated with our international operations may compromise our ability to achieve or maintain profitability. </w:t>
      </w: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360045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Our Business, Industry and Managing Our Growth</w:t>
      </w:r>
    </w:p>
    <w:p>
      <w:pPr>
        <w:spacing w:after="0" w:line="106"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We operate with a small team and our future success depends on our ability to retain key executives and to attract, retain and motivate qualified personnel.</w:t>
      </w:r>
    </w:p>
    <w:p>
      <w:pPr>
        <w:spacing w:after="0" w:line="31"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We are highly dependent on the management, research and development, financial and business development expertise of Eric Easom, our co-founder, president, and chief executive officer, Sanjay Chanda, Ph.D., our chief development officer, Lucy Day, our chief financial officer, Josh Eizen, J.D., our chief legal and operating officer, Michael R.K. (Dickon) Alley, Ph.D., our co-founder and SVP research fellow and head of biology, Stephen Prior, Ph.D., our chief strategy officer, and Vincent Hernandez, our senior vice president research and head of chemistry, as well as the other members of our research, development, and business teams. Each may terminate employment with us at any time. We do not maintain “key person” insurance for any of our executives or employees.</w:t>
      </w:r>
    </w:p>
    <w:p>
      <w:pPr>
        <w:spacing w:after="0" w:line="17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limited personnel and resources may result in greater workloads for our employees compared to those at companies with which we compete for personnel, which may lead to higher levels of employee dissatisfaction and turnover. Recruiting and retaining qualified research, development, and business personnel and, if we progress the development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research and development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99"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Macroeconomic uncertainties have in the past and may continue to adversely impact our business, financial condition, results of operations and growth prospects.</w:t>
      </w:r>
    </w:p>
    <w:p>
      <w:pPr>
        <w:spacing w:after="0" w:line="3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Higher interest rates, coupled with reduced government spending and volatility in financial markets may increase economic uncertainty and affect consumer spending. Similarly, volatility and disruptions in global markets and supply chains, tariffs, and global conflicts may adversely affect our business or the third parties on whom we rely. If the equity and credit markets deteriorate, including as a result of political unrest or war, or new tariffs, it may make any necessary debt or equity financing more difficult to obtain in a timely manner or on favorable terms, more costly or more dilutive. Increased inflation rates can adversely affect us by increasing our costs, including labor and employee benefit costs. To the extent that macroeconomic uncertainties continue to harm our business, financial condition, results of operations and growth prospects, many of the other risks described in this “Risk Factors” section will be exacerbated.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ind w:right="480"/>
        <w:spacing w:after="0" w:line="256"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w:t>
      </w:r>
    </w:p>
    <w:p>
      <w:pPr>
        <w:spacing w:after="0" w:line="5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Prior to the completion of the IPO, we had been a private company with limited accounting personnel to adequately execute our accounting processes and other supervisory resources with which to address our internal control over financial reporting. In connection with the preparation of our financial statements,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spacing w:after="0" w:line="7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spacing w:after="0" w:line="75" w:lineRule="exact"/>
        <w:rPr>
          <w:rFonts w:ascii="Times New Roman" w:cs="Times New Roman" w:eastAsia="Times New Roman" w:hAnsi="Times New Roman"/>
          <w:sz w:val="18"/>
          <w:szCs w:val="18"/>
          <w:color w:val="auto"/>
        </w:rPr>
      </w:pPr>
    </w:p>
    <w:p>
      <w:pPr>
        <w:ind w:left="1020" w:right="160" w:hanging="503"/>
        <w:spacing w:after="0" w:line="246"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spacing w:after="0" w:line="68"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related to the accounting for certain non-routine or complex transactions, including the proper application of U.S. GAAP to such transactions.</w:t>
      </w:r>
    </w:p>
    <w:p>
      <w:pPr>
        <w:spacing w:after="0" w:line="46" w:lineRule="exact"/>
        <w:rPr>
          <w:rFonts w:ascii="Times New Roman" w:cs="Times New Roman" w:eastAsia="Times New Roman" w:hAnsi="Times New Roman"/>
          <w:sz w:val="18"/>
          <w:szCs w:val="18"/>
          <w:color w:val="auto"/>
        </w:rPr>
      </w:pPr>
    </w:p>
    <w:p>
      <w:pPr>
        <w:ind w:left="1020" w:right="160" w:hanging="503"/>
        <w:spacing w:after="0" w:line="239"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86"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spacing w:after="0" w:line="17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cannot assure you that there will not be future material weaknesses in our internal control over financial reporting in the future. The failure to maintain effective internal control over financial reporting could severely inhibit our ability to accurately report our financial condition, results of operations, or cash flows. These identified material weaknesses, or any additional material weaknesses, in our internal control over financial reporting may cause investors to lose confidence in the accuracy and completeness of our financial reports and/or cause the market price of our common stock to decline, and we could be subject to sanctions or investigations by Nasdaq Global Select Market, the SEC or other regulatory authorities. Failure to remediate material weaknesses in our internal control over financial reporting, or to implement or maintain other effective control systems required of public companies, could also restrict our future access to the capital markets.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6" w:name="page47"/>
    <w:bookmarkEnd w:id="46"/>
    <w:p>
      <w:pPr>
        <w:ind w:right="420"/>
        <w:spacing w:after="0" w:line="278" w:lineRule="auto"/>
        <w:rPr>
          <w:sz w:val="20"/>
          <w:szCs w:val="20"/>
          <w:color w:val="auto"/>
        </w:rPr>
      </w:pPr>
      <w:r>
        <w:rPr>
          <w:rFonts w:ascii="Arial" w:cs="Arial" w:eastAsia="Arial" w:hAnsi="Arial"/>
          <w:sz w:val="18"/>
          <w:szCs w:val="18"/>
          <w:b w:val="1"/>
          <w:bCs w:val="1"/>
          <w:i w:val="1"/>
          <w:iCs w:val="1"/>
          <w:color w:val="auto"/>
        </w:rPr>
        <w:t>If in the future, we need to expand our research, development, and business capabilities and implement sales, marketing, and distribution capabilities, we may encounter difficulties in managing such growth, which could disrupt our operations.</w:t>
      </w:r>
    </w:p>
    <w:p>
      <w:pPr>
        <w:spacing w:after="0" w:line="3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Although we effected a restructuring to reduce our workforce by approximately 50%, if the development of our product candidates progresses, we may experience growth in the scope of our operations, particularly in the areas of research, drug development, regulatory affairs and, if any of our product candidates receives regulatory approval, sales, marketing and distribution. To manage any such growth, we will need to implement and improve our managerial, operational, and financial systems, expand our facilities and recruit and train additional qualified personnel. Due to our limited financial resources and the limited experience of our management team in managing a company with such growth, we may not be able to effectively manage such an expansion of our operations or recruit and train additional qualified personnel. The expansion of our operations may also lead to significant costs and may divert our management and research and development resources. Any inability to manage growth could delay the execution of our business plans or disrupt our operations.</w:t>
      </w:r>
    </w:p>
    <w:p>
      <w:pPr>
        <w:spacing w:after="0" w:line="290"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3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have in the past and may from time to time in the future evaluate various acquisitions and strategic collaborations, including licensing or acquiring complementary drug products, intellectual property rights, technologies or businesses, as deemed appropriate to carry out our business plan. Any potential acquisition or strategic collaboration may entail numerous risks, including:</w:t>
      </w:r>
    </w:p>
    <w:p>
      <w:pPr>
        <w:spacing w:after="0" w:line="61"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additional indebtedness or contingent liabilities;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drug products of an acquired company, including difficulties associated with integrating new personnel;</w:t>
      </w:r>
    </w:p>
    <w:p>
      <w:pPr>
        <w:spacing w:after="0" w:line="46"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drug development programs and initiatives in pursuing such a strategic partnership, merger, or acquisition;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drugs or drug candidates and regulatory approvals; and</w:t>
      </w:r>
    </w:p>
    <w:p>
      <w:pPr>
        <w:spacing w:after="0" w:line="46"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and/or drugs sufficient to meet our objectives in undertaking the acquisition or even to offset the associated acquisition and maintenance costs.</w:t>
      </w:r>
    </w:p>
    <w:p>
      <w:pPr>
        <w:spacing w:after="0" w:line="15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11" w:right="4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6"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b w:val="1"/>
          <w:bCs w:val="1"/>
          <w:i w:val="1"/>
          <w:iCs w:val="1"/>
          <w:color w:val="auto"/>
        </w:rPr>
        <w:t>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57"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product candidates. We seek to protect our proprietary position by developing and in-licensing intellectual property relating to our product candidates including patent applications in the United States and abroad related to our technology and product candidates that are important to our business. If we or our licensors do not adequately protect the intellectual property we in-license or own, competitors may be able to use our technologies and erode or negate any competitive advantage that we may have, which could harm our business and ability to achieve profitability. To protect our proprietary positions, we and our licensors file patent applications in the United States and abroad related to our novel technologies and product candidates that are important to our business. The patent application and prosecution process is expensive and time-consuming. We and our current licensors and licensees, or any future licensors and licensees, may not be able to file and prosecute all necessary or desirable patent applications at a reasonable cost or in a timely manner. We or our current licensors and licensees, or any future licensors or licensees may also fail to identify patentable aspects of our research and development before it is too late to obtain patent protection, or fail to continue to prosecute patents relating to our product candidates. Therefore, these and any of our in-licensed patents and patent applications may not be prosecuted and enforced in a manner consistent with the best interests of our business. It is possible that defects of form in the preparation or filing of our licensors’ patents or our patent applications may exist, or may arise in the future, such as with respect to proper priority claims, inventorship, claim scope or patent term adjustments. If our current licensors and licensees, or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We cannot predict whether the patent applications we and our licensors or licensees are currently pursuing will issue as patents in any particular jurisdiction or whether the claims of any issued patents will provide sufficient protection from competitors. If there are material defects in the form or preparation of our or our licensors’ patents or patent applications, such patents or applications may be invalid and unenforceable. Moreover, our competitors may independently develop equivalent knowledge, methods, and know-how, and we may not be able to prevent such competitors from commercializing such equivalent knowledge, methods, and know-how. Any of these outcomes could impair our ability to prevent competition from third parties and could have a material adverse effect on our business, financial condition, results of operations and growth prospects. The patent position of biotechnology and pharmaceutical companies generally is highly uncertain and has been the subject of much litigation in recent years.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including the America Invents Act of 2011, and future changes in patent laws in or outside the United States may affect the scope, strength and enforceability of our patent rights or the nature of proceedings that may be brought by us related to our patent rights.</w:t>
      </w:r>
    </w:p>
    <w:p>
      <w:pPr>
        <w:spacing w:after="0" w:line="18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patents or pending patent applications that we in-license or own, or that we or our licensors were the first to file for patent protection of such inventions. As a result, the issuance, scope, validity and commercial value of our patent rights cannot be predicted with any certainty. Moreover, we or our licensors may be subject to a third-party pre-issuance submission of prior art to the U.S. Patent and Trademark Office (“USPTO”), or become involved in opposition, derivation, reexamination,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ind w:right="20" w:firstLine="509"/>
        <w:spacing w:after="0" w:line="238" w:lineRule="auto"/>
        <w:rPr>
          <w:sz w:val="20"/>
          <w:szCs w:val="20"/>
          <w:color w:val="auto"/>
        </w:rPr>
      </w:pPr>
      <w:r>
        <w:rPr>
          <w:rFonts w:ascii="Arial" w:cs="Arial" w:eastAsia="Arial" w:hAnsi="Arial"/>
          <w:sz w:val="18"/>
          <w:szCs w:val="18"/>
          <w:color w:val="auto"/>
        </w:rPr>
        <w:t>Our licensors’ pending and future patent applications and our own pending and future patent applications may not result in patents being issued that protect our technology or product candidates, in whole or in part, or which effectively prevent others from commercializing competitive technologies and products. Even if our or our licensors’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in-licensed patents or any patents we may own in the future by developing similar or alternative technologies or products in a non-infringing manner. Our competitors may seek to market generic versions of any approved products by submitting abbreviated NDAs to the FDA in which they claim that patents licensed by us or may be owned by us in the future are invalid, unenforceable, and/or not infringed. Alternatively, our competitors may seek approval to market their own products similar to or otherwise competitive with our product candidates. In these circumstances, we may need to defend and/or assert our in-licensed or owned patents, including by filing lawsuits alleging patent infringement. In any of these types of proceedings, a court, or other agency with jurisdiction may find our in-licensed patents or any owned patents, should such patents issue in the future, not infringed, invalid and/or unenforceable.</w:t>
      </w:r>
    </w:p>
    <w:p>
      <w:pPr>
        <w:spacing w:after="0" w:line="18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in-licensed patents or patents we may own in the future may be challenged in the courts or patent offices in the United States and abroad. Such challenges may result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In addition, given the amount of time required for the development, testing, and regulatory review of new product candidates, patents protecting such candidates might expire before or shortly after such candidates are commercialized. Any impairment of our intellectual property rights, or our failure to protect our intellectual property rights adequately, could give third parties access to our technology and product candidates and could materially and adversely impact our business, financial condition, results of operations and growth prospects.</w:t>
      </w:r>
    </w:p>
    <w:p>
      <w:pPr>
        <w:spacing w:after="0" w:line="293"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our other product candidates are subject, in large part, to the terms and conditions of licenses granted to us by others, such as Anacor. If we fail to comply with our obligations in the agreements under which we in-license or acquire development or commercialization rights to products, technology, or data from third parties, we could lose such rights that are important to our business.</w:t>
      </w:r>
    </w:p>
    <w:p>
      <w:pPr>
        <w:spacing w:after="0" w:line="5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For certain product candidates, we rely on licenses to certain patent rights and other intellectual property that are important or necessary to the development of these product candidates. For example, we depend on a license agreement from Anacor, a biopharmaceutical company that originally developed epetraborole and is currently a wholly-owned subsidiary of Pfizer. Additionally, we have licensed our rights under the Anacor agreement in China, Hong Kong, Taiwan and Macau to Brii Biosciences.</w:t>
      </w:r>
    </w:p>
    <w:p>
      <w:pPr>
        <w:spacing w:after="0" w:line="17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Anacor has relied upon, our other licensors may have relied upon, and any future licensors may rely upon, third-party companies, consultants or collaborators, or on funds from third parties such that our licensors are not the sole and exclusive owners of the patents we in-licensed. We have sublicensed certain patents from Anacor that are owned, maintained and prosecuted by GSK. If third-party companies such as GSK fail to prosecute, maintain, enforce and defend such patents, or lose rights to those patents, the rights we have licensed may be reduced or eliminated, and our right to develop and commercialize our product candidates that are the subject of such licensed rights could be adversely affected. Further, we rely upon Anacor’s compliance with its license agreement with GSK to maintain our sublicense to such patents owned by GSK, and any termination of Anacor’s license agreement with GSK could result in us losing our license to epetraborole. Further development and commercialization of our product candidates may require us to enter into additional license or collaboration agreements. Our future licenses may not provide us with exclusive rights to use the licensed patent rights and other intellectual property, or may not provide us with exclusive rights to use such patent rights and intellectual property in all relevant fields of use and in all territories in which we wish to develop or commercialize our product candidates in the future.</w:t>
      </w:r>
    </w:p>
    <w:p>
      <w:pPr>
        <w:spacing w:after="0" w:line="186"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Our license agreement with Anacor, and other intellectual property-related agreements we have entered into and may in the future enter into may impose diligence and other obligations, including payment of milestones and royalties. For example, our license agreement from Anacor requires us to satisfy diligence requirements, including using commercially reasonable efforts to develop and commercialize products. If we fail to comply with our obligations to Anacor or any other or future licensors, those counterparties may have the right to terminate the license agreements, in which event we might not be able to develop, manufacture, or market any product candidate licensed under the agreements, which could materially adversely affect the value of the product candidate being developed under any such agreement and further involve termination of our rights to important intellectual property or technology.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ind w:firstLine="509"/>
        <w:spacing w:after="0" w:line="239" w:lineRule="auto"/>
        <w:rPr>
          <w:sz w:val="20"/>
          <w:szCs w:val="20"/>
          <w:color w:val="auto"/>
        </w:rPr>
      </w:pPr>
      <w:r>
        <w:rPr>
          <w:rFonts w:ascii="Arial" w:cs="Arial" w:eastAsia="Arial" w:hAnsi="Arial"/>
          <w:sz w:val="18"/>
          <w:szCs w:val="18"/>
          <w:color w:val="auto"/>
        </w:rPr>
        <w:t>In spite of our efforts, Anacor might conclude, or any other or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business, financial condition, results of operations and growth prospects.</w:t>
      </w:r>
    </w:p>
    <w:p>
      <w:pPr>
        <w:spacing w:after="0" w:line="180"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Under our license agreement with Anacor, and any other or future license agreements, disputes may arise regarding intellectual property subject to a licensing agreement, including:</w:t>
      </w:r>
    </w:p>
    <w:p>
      <w:pPr>
        <w:spacing w:after="0" w:line="46"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2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addition, the license agreements involving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growth prospects.</w:t>
      </w:r>
    </w:p>
    <w:p>
      <w:pPr>
        <w:spacing w:after="0" w:line="290"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necessary rights to any product candidates we may develop through acquisitions and in-licenses.</w:t>
      </w:r>
    </w:p>
    <w:p>
      <w:pPr>
        <w:spacing w:after="0" w:line="3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currently have rights to intellectual property through licenses from third parties, including Anacor, to identify and develop product candidates. We may find it necessary or prudent to obtain licenses from other third-party intellectual property holders in order to avoid infringing these third-party patents. For example, many pharmaceutical companies, biotechnology companies and academic institutions compete with us and may be filing patent applications that are potentially relevant to our business. The licensing or acquisition of third -party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license any intellectual property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260"/>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owned or in-licensed patents or other intellectual property, which could be expensive, time-consuming and unsuccessful.</w:t>
      </w:r>
    </w:p>
    <w:p>
      <w:pPr>
        <w:spacing w:after="0" w:line="3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Competitors or other third parties may infringe, misappropriate or otherwise violate our in-licensed issued patents or other intellectual property rights we may own. To counter such infringement, misappropriation, violation or other unauthorized use, we may be required to file infringement claims, which can be expensive and time-consuming and divert the time and attention of our management and scientific personnel. Any claims we assert against third parties could provoke these parties to assert counterclaims against us alleging that we infringe, misappropriate or otherwise violate their patents, trademarks, copyrights or other intellectual property rights. In addition, our in-licensed patents may become involved in inventorship or priority disputes. Third parties may raise challenges to the validity of certain of our in-licensed patent claims and may in the future raise similar claims before administrative bodies in the United States or abroad, even outside the context of litigation. For example, we may be subject to a third-party pre-issuance submission of prior art to the USPTO, or become involved in derivation, revocation, reexamination, post-grant review (“PGR”), inter partes review (“IPR”), interference proceedings and equivalent proceedings in foreign jurisdictions, such as opposition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In a patent infringement proceeding, there is a risk that a court will decide that a patent we own or in-license is invalid or unenforceable, in whole or in part, and that we do not have the right to stop the other party from using the invention at issue. There is also a risk that, even if the validity of such patents are upheld, the court will construe the patent’s claims narrowly or decide that we do not have the right to stop the other party from using the invention at issue on the grounds that our owned or in-licensed patents do not cover the invention. An adverse outcome in a litigation or proceeding involving our owned or in-licensed patents could limit our ability to assert our owned or in-licensed patents against those parties or other competitors and may curtail or preclude our ability to exclude third parties from making and selling similar or competitive products. Similarly, in the future, we expect to rely on trademarks to distinguish our product candidates that are approved for marketing, if any, and if we assert trademark infringement claims, a court may determine that the marks we have asserted are invalid or unenforceable, or that the third party against whom we have asserted trademark infringement has superior rights to the marks in question. In this case, we could ultimately be forced to cease use of such trademarks.</w:t>
      </w:r>
    </w:p>
    <w:p>
      <w:pPr>
        <w:spacing w:after="0" w:line="18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or trade secrets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adequately file and pursue such infringement claims, which typically last for years before they are concluded. Some of our competitors and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otherwise violating or successfully challenging our intellectual property rights. Uncertainties resulting from the initiation and continuation of patent litigation or other proceedings could have a negative impact on our ability to compete in the marketplace, which could have a material adverse effect on our business, financial condition, results of operations and growth prospects.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51" w:name="page52"/>
    <w:bookmarkEnd w:id="51"/>
    <w:p>
      <w:pPr>
        <w:spacing w:after="0" w:line="27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significantly harm our business.</w:t>
      </w:r>
    </w:p>
    <w:p>
      <w:pPr>
        <w:spacing w:after="0" w:line="3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proprietary chemistry technology without infringing, misappropriating or otherwise violating the intellectual property rights of third parties. Numerous third-party U.S. and non-U.S. issued patents exist in the area of antibacterial treatment, including compounds, formulations, treatment methods and synthetic processes that may be applied towards the synthesis of antibiotics. If any such patents of third parties cover our product candidates or technologies, we may not be free to manufacture or market our product candidates as planned.</w:t>
      </w:r>
    </w:p>
    <w:p>
      <w:pPr>
        <w:spacing w:after="0" w:line="176"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Third parties may assert claims against us based on existing or future intellectual property rights. The outcome of intellectual property litigation is subject to uncertainties that cannot be adequately quantified in advance.</w:t>
      </w:r>
    </w:p>
    <w:p>
      <w:pPr>
        <w:spacing w:after="0" w:line="176"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If we are found to have infringed, misappropriated or otherwise violated any third party’s intellectual property rights, we could be forced, including by court order, to cease developing, manufacturing, or commercializing our product candidates. Alternatively, we may be required to obtain a license from such third party in order to use technology and continue developing, manufacturing or marketing product candidates that infringe, misappropriate or otherwise violate such third party’s intellectual property rights. However, we may not be able to obtain any such required license on commercially reasonable terms or at all. Even if we were able to obtain a license, it could be non-exclusive, thereby giving our competitors access to the same technologies licensed to us. We may also be required to pay substantial ongoing royalty or license payments or fees or comply with other unfavorable terms.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we were to prevail in such a dispute, any litigation regarding our intellectual property rights could be costly and time-consuming and divert the attention of our management and key personnel from our business operations. Furthermore, because of the substantial amount of discovery required in connection with intellectual property litigation, there is a risk that some of our confidential information or trade secrets could be compromised by disclosure during this type of litigation. During the course of litigation, there could be public announcements or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customer or former customer, regardless of its accuracy, may adversely impact our other customer relationships or prospective customer relationships, harm our brand and business and could cause the market price of our common stock to decline. Any of the foregoing arising from uncertainty in legal proceedings could materially and adversely impact our business, financial condition, results of operations and growth prospects.</w:t>
      </w:r>
    </w:p>
    <w:p>
      <w:pPr>
        <w:spacing w:after="0" w:line="305" w:lineRule="exact"/>
        <w:rPr>
          <w:sz w:val="20"/>
          <w:szCs w:val="20"/>
          <w:color w:val="auto"/>
        </w:rPr>
      </w:pPr>
    </w:p>
    <w:p>
      <w:pPr>
        <w:ind w:right="160"/>
        <w:spacing w:after="0" w:line="309"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or our employees, consultants and advisors have misappropriated their intellectual property rights or claiming ownership of what we regard as our own intellectual property rights.</w:t>
      </w:r>
    </w:p>
    <w:p>
      <w:pPr>
        <w:spacing w:after="0" w:line="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Many of our employees, consultants and advisors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such employees, consultants and advisors have inadvertently or otherwise used or disclosed intellectual property, including trade secrets or other proprietary information, of any such individual’s former employer. We may also in the future be subject to claims that we have caused an employee to breach the terms of his or her non-competition or non-solicitation agreement. Litigation may be necessary to defend against these potential claims.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52" w:name="page53"/>
    <w:bookmarkEnd w:id="52"/>
    <w:p>
      <w:pPr>
        <w:ind w:right="180" w:firstLine="509"/>
        <w:spacing w:after="0" w:line="242"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rights to execute agreements assigning such intellectual property rights to us, such employees and contractors may breach the agreement and claim the developed intellectual property as their own. Further, we may be unsuccessful in executing such agreements with each party who, in fact, conceives, or develops intellectual property that we regard as our own. The assignment of intellectual property may not be self-executing and we may be forced to bring claims against third parties, or defend claims that they may bring against us, to determine the ownership of what we regard as our intellectual property.</w:t>
      </w:r>
    </w:p>
    <w:p>
      <w:pPr>
        <w:spacing w:after="0" w:line="17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 candidates. Any of the foregoing could have a material adverse impact on our business, financial condition, results of operations and growth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0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who have prior rights to our trademarks or third parties who have prior rights to similar trademarks may oppose our trademark applications or otherwise challenge our use of the trademarks.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diluting or impeding our ability to build brand identity and possibly leading to market confusion. Our competitors may infringe our trademarks and we may not have adequate resources to enforce our trademarks and may not be able to prevent such third parties from using and marketing any such trademarks.</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any proprietary name we propose to use with any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If we are unable to establish name recognition based on our trademarks, we may not be able to compete effectively and our business, financial condition, results of operations and growth prospects may be adversely affected.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right="140"/>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know-how and trade secrets, the value of our product candidates could be adversely affected and our business and competitive position would be harmed.</w:t>
      </w:r>
    </w:p>
    <w:p>
      <w:pPr>
        <w:spacing w:after="0" w:line="31"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In addition to seeking patent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agreements may be inadequate to protect our proprietary and intellectual property rights. Despite these efforts, any of these parties may breach the agreements and disclose our proprietary information, including our trade secrets. In addition, we may not be able to obtain adequate remedies for any such breaches. Although we use reasonable efforts to protect this proprietary information and technology, we also cannot guarantee that we have entered into such agreements with each party that may have or have had access to our confidential information, know-how, trade secrets or other proprietary information or each individual who has developed intellectual property on our behalf. Monitoring unauthorized uses and disclosures of our intellectual property is difficult, and we do not know whether the steps we have taken to protect our intellectual property rights will be effective. Enforcing a claim that a party illegally disclosed or misappropriated a trade secret is difficult, expensive, distracting to management, and time-consuming, and the outcome is unpredictable and varied depending on the jurisdiction. In addition, some courts inside and outside the United States, in countries in which we operate or intend to operate, are less willing, or unwilling, to protect trade secrets, know-how and other proprietary information. Any claims or litigation could cause us to incur significant expenses. Some third parties may be able to sustain the costs of complex litigation more effectively than we can because they have substantially greater resources.</w:t>
      </w:r>
    </w:p>
    <w:p>
      <w:pPr>
        <w:spacing w:after="0" w:line="17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employees, consultants, and other parties may unintentionally or willfully disclose our information or technology to competitors and there can be no assurance that the legal protections and precaution taken by us will be adequate to prevent misappropriation of our technology or that competitors will not independently develop technologies equivalent or superior to ours. Trade secrets and know-how can be difficult to protect. Our competitors or other third parties may independently develop knowledge, methods and know-how equivalent to our trade secrets. Additionally, competitors could purchase our product candidates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from using that technology or information to compete with us. If any of our trade secrets were to be disclosed to or independently developed by a competitor, our competitive position would be harmed, which could have a material adverse effect on our business, financial condition, results of operations and growth prospects.</w:t>
      </w:r>
    </w:p>
    <w:p>
      <w:pPr>
        <w:spacing w:after="0" w:line="29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If we or our licensors do not obtain patent term extension and data exclusivity for any product candidates we or our licensors may develop, our business may be materially harmed.</w:t>
      </w:r>
    </w:p>
    <w:p>
      <w:pPr>
        <w:spacing w:after="0" w:line="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we license or may own in the future protecting such candidates might expire before or shortly after such candidates are commercialized. As a result, our intellectual property may not provide us with sufficient rights to exclude others from commercializing products similar or identical to our product candidates. Depending upon the timing, duration, and specifics of any FDA approval of any of our product candidates, one or more of our in-licensed U.S. patents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patent term extension is less than we request, our competitors may obtain approval of competing products following our patent expiration, and our business, financial condition, results of operations and growth prospects could be materially harmed.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4" w:name="page55"/>
    <w:bookmarkEnd w:id="54"/>
    <w:p>
      <w:pPr>
        <w:ind w:right="54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5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 patent applications will be due to be paid to the USPTO and various government patent agencies outside of the United States over the lifetime of our owned or in-licensed patents and patent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Filing, prosecuting, enforcing and defending patents on product candidates in all countries throughout the world would be prohibitively expensive, and our intellectual property rights in some countries outside the United States could be less extensive than those in the United States. In some cases, we or our licensors may not be able to obtain patent protection for certain licensed technology outside the United States. In addition, the laws of some foreign countries do not protect intellectual property rights to the same extent as federal and state laws in the United States, even in jurisdictions where we or our licensors do pursue patent protection. Consequently, we may not be able to prevent third parties from practicing our in-licensed inventions in all countries outside the United States, even in jurisdictions where our licensors do pursue patent protection or from selling or importing products made using our inventions in and into the United States or other jurisdictions.</w:t>
      </w:r>
    </w:p>
    <w:p>
      <w:pPr>
        <w:spacing w:after="0" w:line="180"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0"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Competitors may use our technologies in jurisdictions where we or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preclinical programs. Our in-licensed patents or other intellectual property rights may not be effective or sufficient to prevent them from competing.</w:t>
      </w:r>
    </w:p>
    <w:p>
      <w:pPr>
        <w:spacing w:after="0" w:line="17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in-licensed intellectual property rights, if pursued and obtained, or the marketing of competing products in violation of our proprietary rights generally. Proceedings to enforce our patent rights in foreign jurisdictions could result in substantial costs and divert our efforts and attention from other aspects of our business, could put our owned or in-licensed patents at risk of being invalidated or interpreted narrowly and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55" w:name="page56"/>
    <w:bookmarkEnd w:id="55"/>
    <w:p>
      <w:pPr>
        <w:ind w:right="120" w:firstLine="509"/>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growth prospects may be adversely affected.</w:t>
      </w:r>
    </w:p>
    <w:p>
      <w:pPr>
        <w:spacing w:after="0" w:line="17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Further, on June 1, 2023, the European Union Patent Package (“EU Patent Package”) regulations were implemented with the goal of providing a single pan-European Unitary Patent and a new European Unified Patent Court (“UPC”) for litigation involving European patents.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 applications and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results of operations and growth prospects.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06"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3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import, export and distribution, are subject to comprehensive regulation by the FDA and other regulatory agencies in the United States and by comparable foreign regulatory authorities, with regulations differing from country to country. Failure to obtain regulatory approval for a product candidate will prevent us from commercializing the product candidate. We currently do not have any products approved for sale in any jurisdiction. For example, we are not permitted to market any product candidate in the United States until we receive regulatory approval of an NDA from the FDA. We as a company only have limited experience in filing and supporting the applications necessary to gain regulatory approvals and may rely on third-party contract research organizations to assist us in this process.</w:t>
      </w:r>
    </w:p>
    <w:p>
      <w:pPr>
        <w:spacing w:after="0" w:line="18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Approval policies, regulations, or the type and amount of clinical data necessary to gain approval may change during the course of a product candidate’s clinical development. For instance, changes to leadership and the reorganization and rededication of critical resources at the FDA and within similar governmental health authorities across the world, may impact the ability of new products and services from being developed or commercialized in a timely manner. Regulations and requirements vary among jurisdictions, including in Japan and Europe. We have not obtained regulatory approval for any product candidate, and it is possible that our product candidates will never obtain regulatory approval.</w:t>
      </w:r>
    </w:p>
    <w:p>
      <w:pPr>
        <w:spacing w:after="0" w:line="17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have not sought or obtained regulatory approval for any product candidate, and it is possible that any product candidates we may seek to develop will never obtain regulatory approval. In order to obtain approval to commercialize a product candidate in the United States or abroad, we or our collaborators must demonstrate to the satisfaction of the FDA or foreign regulatory agencies, that such product candidates are safe and effective for their intended uses. Results from nonclinical studies and clinical trials can be interpreted in different ways. Even if we believe that the nonclinical or clinical data for a product candidate is promising, such data may not be sufficient to support approval by the FDA and other regulatory authorities. The FDA may also require us to conduct additional nonclinical studies or clinical trials for product candidates either prior to or post-approval, and it may otherwise object to elements of our clinical development program.</w:t>
      </w:r>
    </w:p>
    <w:p>
      <w:pPr>
        <w:spacing w:after="0" w:line="185" w:lineRule="exact"/>
        <w:rPr>
          <w:sz w:val="20"/>
          <w:szCs w:val="20"/>
          <w:color w:val="auto"/>
        </w:rPr>
      </w:pPr>
    </w:p>
    <w:p>
      <w:pPr>
        <w:ind w:right="780" w:firstLine="509"/>
        <w:spacing w:after="0" w:line="271" w:lineRule="auto"/>
        <w:rPr>
          <w:sz w:val="20"/>
          <w:szCs w:val="20"/>
          <w:color w:val="auto"/>
        </w:rPr>
      </w:pPr>
      <w:r>
        <w:rPr>
          <w:rFonts w:ascii="Arial" w:cs="Arial" w:eastAsia="Arial" w:hAnsi="Arial"/>
          <w:sz w:val="18"/>
          <w:szCs w:val="18"/>
          <w:color w:val="auto"/>
        </w:rPr>
        <w:t>The FDA or any foreign regulatory bodies can delay, limit or deny approval of our product candidates or require us to conduct additional nonclinical or clinical testing or abandon a program for many reasons, including:</w:t>
      </w:r>
    </w:p>
    <w:p>
      <w:pPr>
        <w:spacing w:after="0" w:line="4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 with the design, endpoint selection, or implementation of our clinical trials;</w:t>
      </w:r>
    </w:p>
    <w:p>
      <w:pPr>
        <w:spacing w:after="0" w:line="11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negative or ambiguous results from our clinical trials or results that may not meet the level of statistical significance required by the FDA or comparable foreign regulatory agencies for approval;</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left="1020" w:right="20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w:t>
      </w:r>
    </w:p>
    <w:p>
      <w:pPr>
        <w:spacing w:after="0" w:line="4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may not be sufficiently broad or representative to assure safety in the full populations for which we seek approval;</w:t>
      </w:r>
    </w:p>
    <w:p>
      <w:pPr>
        <w:spacing w:after="0" w:line="4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demonstrate to the satisfaction of the FDA or the applicable foreign regulatory body that our product candidates are safe and effective for the proposed indication;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 with the interpretation of data from nonclinical studies or clinical trials;</w:t>
      </w:r>
    </w:p>
    <w:p>
      <w:pPr>
        <w:spacing w:after="0" w:line="11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demonstrate the clinical and other benefits of our product candidates outweigh any safety or other perceived risks;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for additional nonclinical studies or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 regarding the formulation, labeling, and/or the specifications we propose for our product candidates;</w:t>
      </w:r>
    </w:p>
    <w:p>
      <w:pPr>
        <w:spacing w:after="0" w:line="116" w:lineRule="exact"/>
        <w:rPr>
          <w:rFonts w:ascii="Times New Roman" w:cs="Times New Roman" w:eastAsia="Times New Roman" w:hAnsi="Times New Roman"/>
          <w:sz w:val="18"/>
          <w:szCs w:val="18"/>
          <w:color w:val="auto"/>
        </w:rPr>
      </w:pPr>
    </w:p>
    <w:p>
      <w:pPr>
        <w:ind w:left="1020" w:right="40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approval may be granted only for indications that are significantly more limited than those sought by us, and/or may include significant restrictions on distribution and use;</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deficiencies in the manufacturing processes or facilities of the third-party manufacturers with which we contract for clinical and commercial supplies;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refusals by regulators to accept a submission due to, among other reasons, the content or formatting of the submission;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 policies, requirements, or regulations rendering our clinical data insufficient for approval.</w:t>
      </w:r>
    </w:p>
    <w:p>
      <w:pPr>
        <w:spacing w:after="0" w:line="22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Of the large number of drugs in development, only a small percentage complete the FDA or foreign regulatory approval processes and are successfully commercialized. The lengthy review process as well as the unpredictability of future clinical trial results may result in our failing to obtain regulatory approval, which would significantly harm our business, financial condition, results of operations and growth prospects.</w:t>
      </w:r>
    </w:p>
    <w:p>
      <w:pPr>
        <w:spacing w:after="0" w:line="17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Even if we eventually receive approval of an NDA or foreign marketing application for our product candidates, the FDA, or the applicable foreign regulatory agency may grant approval contingent on the performance of costly additional clinical trials, often referred to as Phase 4 clinical trials, and the FDA may require the implementation of a REMS, which may be required to ensure safe use of the drug after approval. The FDA or the applicable foreign regulatory agency also may approve a product candidate for a more limited indication or patient population than we originally requested, and the FDA or applicable foreign regulatory agency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7" w:name="page58"/>
    <w:bookmarkEnd w:id="57"/>
    <w:p>
      <w:pPr>
        <w:ind w:right="280"/>
        <w:spacing w:after="0" w:line="24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the transition to a new administration with different philosophies, funding shortages, staffing limitations, or global health concerns could hinder their ability to hire, retain or deploy key leadership and other personnel, prevent new or modified products from being developed, reviewed, approved or commercialized in a timely manner or at all, which could negatively impact our business.</w:t>
      </w:r>
    </w:p>
    <w:p>
      <w:pPr>
        <w:spacing w:after="0" w:line="5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ability of the FDA and foreign regulatory authorities to review and approve new products can be affected by a variety of factors, including the transition to a new administration,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certain Executive Orders directed towards reducing the employee headcount and costs associated with U.S. administrative agencies, including the FDA, and it remains unclear the degree to which these efforts may limit or otherwise adversely affect the FDA’s ability to conduct routine operations.</w:t>
      </w:r>
    </w:p>
    <w:p>
      <w:pPr>
        <w:spacing w:after="0" w:line="183" w:lineRule="exact"/>
        <w:rPr>
          <w:sz w:val="20"/>
          <w:szCs w:val="20"/>
          <w:color w:val="auto"/>
        </w:rPr>
      </w:pPr>
    </w:p>
    <w:p>
      <w:pPr>
        <w:ind w:right="260" w:firstLine="509"/>
        <w:spacing w:after="0" w:line="244" w:lineRule="auto"/>
        <w:rPr>
          <w:sz w:val="20"/>
          <w:szCs w:val="20"/>
          <w:color w:val="auto"/>
        </w:rPr>
      </w:pPr>
      <w:r>
        <w:rPr>
          <w:rFonts w:ascii="Arial" w:cs="Arial" w:eastAsia="Arial" w:hAnsi="Arial"/>
          <w:sz w:val="18"/>
          <w:szCs w:val="18"/>
          <w:color w:val="auto"/>
        </w:rPr>
        <w:t>Separately, in response to the COVID-19 pandemic, the FDA postponed most inspections at domestic and foreign manufacturing facilities at various points. 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6"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designations for any product candidates, and we may be unable to take advantage of the benefits associated with orphan drug designation, including the potential for market exclusivity.</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of 1983, the FDA may designate a product as an orphan product if it is intended to treat a rare disease or condition, which is generally defined as a diagnosed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Similar laws exist in Europe and Japan. The European Commission may grant a product orphan medicinal product designation if the product is intended for the treatment, prevention or diagnosis of a life-threatening or very serious condition, with a prevalence in the European Union of not more than five in 10,000 people, and where either no satisfactory method of diagnosis, prevention or treatment of the condition in question exists, or if such method exists that the medicinal product will be of significant benefit to those affected by that condition.</w:t>
      </w:r>
    </w:p>
    <w:p>
      <w:pPr>
        <w:spacing w:after="0" w:line="183"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As part of our business strategy, we intend to seek orphan drug designation, where applicable, from the FDA and orphan medicinal product designation from the European Commission; however, we may not be able to obtain or maintain this status for our product candidates. There can be no assurance that any regulatory authority will grant any orphan drug designations.</w:t>
      </w:r>
    </w:p>
    <w:p>
      <w:pPr>
        <w:spacing w:after="0" w:line="16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user-fee waivers. In addition, if a product candidate that has orphan drug designation subsequently receives the first FDA approval for the disease or condition for which it has such designation, it is entitled to orphan drug exclusivity, which means that the FDA may not approve any other applications, including an NDA, to market the same drug for the same disease or condition for seven years, except in limited circumstances, such as a showing of clinical superiority to the product with orphan drug exclusivity or where the manufacturer is unable to assure sufficient product quantity.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8" w:name="page59"/>
    <w:bookmarkEnd w:id="58"/>
    <w:p>
      <w:pPr>
        <w:ind w:right="100" w:firstLine="509"/>
        <w:spacing w:after="0" w:line="266" w:lineRule="auto"/>
        <w:rPr>
          <w:sz w:val="20"/>
          <w:szCs w:val="20"/>
          <w:color w:val="auto"/>
        </w:rPr>
      </w:pPr>
      <w:r>
        <w:rPr>
          <w:rFonts w:ascii="Arial" w:cs="Arial" w:eastAsia="Arial" w:hAnsi="Arial"/>
          <w:sz w:val="17"/>
          <w:szCs w:val="17"/>
          <w:color w:val="auto"/>
        </w:rPr>
        <w:t>More than one product may be approved by the FDA for the same orphan disease or condition, as long as the products are different drugs, as determined by the FDA. As a result, if any of our product candidates is approved by the FDA and receives orphan drug exclusivity, absent other applicable exclusivities, the FDA can still approve other drugs for use in treating the same indication or disease, which could create a more competitive market for us. The failure to successfully obtain orphan drug exclusivity would adversely affect our business.</w:t>
      </w:r>
    </w:p>
    <w:p>
      <w:pPr>
        <w:spacing w:after="0" w:line="15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different drugs can be approved for the same disease or condition. Even after an orphan drug is approved, the FDA or comparable foreign regulatory authority can subsequently approve the same drug for the same disease or condition if such regulatory authority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28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We may attempt to seek accelerated approval in the United States for certain of our product candidates. If we are not able to use that pathway, we may be required to conduct additional clinical trials beyond those that are contemplated, which would increase the expense of obtaining, and delay the receipt of, necessary regulatory approvals, if we receive them at all. In addition, even if an accelerated approval pathway is available to us, it may not lead to expedited approval of our product candidates, or approval at all.</w:t>
      </w:r>
    </w:p>
    <w:p>
      <w:pPr>
        <w:spacing w:after="0" w:line="4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Under the FDCA and implementing regulations, the FDA may grant accelerated approval to a product candidate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of a drug.</w:t>
      </w:r>
    </w:p>
    <w:p>
      <w:pPr>
        <w:spacing w:after="0" w:line="18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the Food and Drug Omnibus Reform Act of 2022, provided the FDA new statutory authority to mitigate potential risks to patients from continued marketing of ineffective drugs previously granted accelerated approval. Under these provisions, the FDA may require a sponsor of a product seeking accelerated approval to, among other things, have a confirmatory trial underway prior to such approval being granted.</w:t>
      </w:r>
    </w:p>
    <w:p>
      <w:pPr>
        <w:spacing w:after="0" w:line="18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or will otherwise evaluate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spacing w:after="0" w:line="256" w:lineRule="auto"/>
        <w:rPr>
          <w:sz w:val="20"/>
          <w:szCs w:val="20"/>
          <w:color w:val="auto"/>
        </w:rPr>
      </w:pPr>
      <w:r>
        <w:rPr>
          <w:rFonts w:ascii="Arial" w:cs="Arial" w:eastAsia="Arial" w:hAnsi="Arial"/>
          <w:sz w:val="18"/>
          <w:szCs w:val="18"/>
          <w:b w:val="1"/>
          <w:bCs w:val="1"/>
          <w:i w:val="1"/>
          <w:iCs w:val="1"/>
          <w:color w:val="auto"/>
        </w:rPr>
        <w:t>Failure to obtain regulatory approval in foreign jurisdictions would prevent our product candidates from being marketed in these territories. Any approval we are granted for our product candidates in the United States would not assure approval of such product candidates in foreign jurisdictions.</w:t>
      </w:r>
    </w:p>
    <w:p>
      <w:pPr>
        <w:spacing w:after="0" w:line="5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order to market and sell our product candidates in Japan, the European Union, United Kingdom, other areas of Asia, Australia, and any other jurisdictions, we must obtain separate regulatory approvals and comply with numerous and varying regulatory requirements. The approval procedure varies among countries and can involve additional testing. The time required to obtain approval may differ substantially from that required to obtain approval from the FDA. The regulatory approval process outside the United States generally includes all of the risks associated with obtaining approval from the FDA.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data from clinical studies approved by the FDA may not be accepted by foreign regulatory agencies,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authorization and may not receive necessary approvals to commercialize our product candidates in any market.</w:t>
      </w:r>
    </w:p>
    <w:p>
      <w:pPr>
        <w:spacing w:after="0" w:line="2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Even if we obtain regulatory approvals for our product candidates, the terms of approvals and ongoing regulation of such product candidates may limit how we manufacture and market the product candidates and compliance with such requirements may involve substantial resources, which could materially impair our ability to generate revenue.</w:t>
      </w:r>
    </w:p>
    <w:p>
      <w:pPr>
        <w:spacing w:after="0" w:line="5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Even if regulatory approval of any of our product candidates is granted, an approved product and its manufacturer and marketer are subject to ongoing review and extensive regulation, including with respect to the manufacturing processes, labeling, packaging, distribution, adverse event reporting, storage, advertising, promotion, import, export and recordkeeping for the product. These requirements include submissions of safety and other post-marketing information and reports, registration, as well as ongoing compliance with cGMPs and GCPs for any clinical trials, In addition, manufacturers of approved products and those manufacturers’ facilities are required to comply with extensive FDA requirements including ensuring that quality control and manufacturing procedures conform to cGMP,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w:t>
      </w:r>
    </w:p>
    <w:p>
      <w:pPr>
        <w:spacing w:after="0" w:line="183"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Accordingly, assuming we receive regulatory approval for one or more product candidates, we and our contract manufacturers will continue to expend time, money, and effort in all areas of regulatory compliance.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the FDA and other comparable foreign regulatory requirements may subject our company to administrative or judicially imposed sanctions, including:</w:t>
      </w:r>
    </w:p>
    <w:p>
      <w:pPr>
        <w:spacing w:after="0" w:line="71" w:lineRule="exact"/>
        <w:rPr>
          <w:sz w:val="20"/>
          <w:szCs w:val="20"/>
          <w:color w:val="auto"/>
        </w:rPr>
      </w:pPr>
    </w:p>
    <w:p>
      <w:pPr>
        <w:ind w:left="1020" w:right="68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fines, restitutions, disgorgement of profits or revenues, warning letters, untitled letters or holds on clinical trials;</w:t>
      </w:r>
    </w:p>
    <w:p>
      <w:pPr>
        <w:spacing w:after="0" w:line="116" w:lineRule="exact"/>
        <w:rPr>
          <w:rFonts w:ascii="Times New Roman" w:cs="Times New Roman" w:eastAsia="Times New Roman" w:hAnsi="Times New Roman"/>
          <w:sz w:val="18"/>
          <w:szCs w:val="18"/>
          <w:color w:val="auto"/>
        </w:rPr>
      </w:pPr>
    </w:p>
    <w:p>
      <w:pPr>
        <w:ind w:left="1020" w:right="58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submitted, or suspension or revocation of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seizures or detentions, or refusal to permit the import or export of our products;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60" w:name="page61"/>
    <w:bookmarkEnd w:id="60"/>
    <w:p>
      <w:pPr>
        <w:ind w:right="60" w:firstLine="509"/>
        <w:spacing w:after="0" w:line="244"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FDA and other regulatory authorities strictly regulates marketing, labeling, advertising and promotion of prescription drugs. These regulations include standards and restrictions for direct-to-consumer advertising, industry-sponsored scientific and educational activities, and promotional activities involving the internet and off-label promotion. For example, any regulatory approval that the FDA grants is limited to those specific diseases and indications for which a product is deemed to be safe and effective by the FDA.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p>
    <w:p>
      <w:pPr>
        <w:spacing w:after="0" w:line="18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financial condition, results of operations and growth prospects.</w:t>
      </w:r>
    </w:p>
    <w:p>
      <w:pPr>
        <w:spacing w:after="0" w:line="289" w:lineRule="exact"/>
        <w:rPr>
          <w:sz w:val="20"/>
          <w:szCs w:val="20"/>
          <w:color w:val="auto"/>
        </w:rPr>
      </w:pPr>
    </w:p>
    <w:p>
      <w:pPr>
        <w:ind w:right="520"/>
        <w:spacing w:after="0" w:line="278"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3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are exposed to the risk of employee fraud or other misconduct or failure to comply with applicable regulatory requirements. Misconduct, errors, or omissions by employees and independent contractors, such as principal investigators, CROs, consultants, commercial partners, and vendors, could include failures to comply with regulations of the FDA and other comparable regulatory authorities, to provide accurate information to such regulators, to comply with manufacturing standards we have established, to comply with healthcare fraud and abuse laws, to report financial information or data accurately, to disclose unauthorized activities to us, or to comply with requirements of government contracts (e.g., the NIAID contract).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jc w:val="both"/>
        <w:ind w:right="400"/>
        <w:spacing w:after="0" w:line="256" w:lineRule="auto"/>
        <w:rPr>
          <w:sz w:val="20"/>
          <w:szCs w:val="20"/>
          <w:color w:val="auto"/>
        </w:rPr>
      </w:pPr>
      <w:r>
        <w:rPr>
          <w:rFonts w:ascii="Arial" w:cs="Arial" w:eastAsia="Arial" w:hAnsi="Arial"/>
          <w:sz w:val="18"/>
          <w:szCs w:val="18"/>
          <w:b w:val="1"/>
          <w:bCs w:val="1"/>
          <w:i w:val="1"/>
          <w:iCs w:val="1"/>
          <w:color w:val="auto"/>
        </w:rPr>
        <w:t>If we successfully commercialize any of our product candidates, failure to comply with our reporting and payment obligations under U.S. governmental pricing programs could have a material adverse effect on our business, financial condition, results of operations and growth prospects.</w:t>
      </w:r>
    </w:p>
    <w:p>
      <w:pPr>
        <w:spacing w:after="0" w:line="5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If we participate in the Medicaid Drug Rebate Program and/or Medicare Part D, if and when we successfully commercialize a product candidate, we will be required to report certain pricing information for such product candidate to the Centers for Medicare &amp; Medicaid Services, the federal agency that administers the Medicaid and Medicare programs. We may also be required to report pricing information to the U.S. Department of Veterans Affairs. If we become subject to these reporting requirements, we will be liable for errors associated with our submission of pricing data, for failure to report pricing data in a timely manner, and for overcharging government payers, which can result in civil monetary penalties under the Medicaid statute, the federal civil False Claims Act, and other laws and regulations.</w:t>
      </w:r>
    </w:p>
    <w:p>
      <w:pPr>
        <w:spacing w:after="0" w:line="289"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and other healthcare laws and regulations, which could expose us to penalties.</w:t>
      </w:r>
    </w:p>
    <w:p>
      <w:pPr>
        <w:spacing w:after="0" w:line="34"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regulatory approval. Our current and future arrangements with healthcare professionals, principal investigators, consultants, customers, and third-party payors may expose us to broadly applicable fraud and abuse and other healthcare laws that may constrain the business or financial arrangements and relationships through which we research, sell, market, and distribute any product candidates for which we obtain regulatory approval. In addition, we may be subject to physician payment transparency laws and regulations by the federal government and by the states and foreign jurisdictions in which we conduct our business. The applicable federal, state, and foreign healthcare laws that may affect our ability to operate include the following:</w:t>
      </w:r>
    </w:p>
    <w:p>
      <w:pPr>
        <w:spacing w:after="0" w:line="77" w:lineRule="exact"/>
        <w:rPr>
          <w:sz w:val="20"/>
          <w:szCs w:val="20"/>
          <w:color w:val="auto"/>
        </w:rPr>
      </w:pPr>
    </w:p>
    <w:p>
      <w:pPr>
        <w:ind w:left="1020" w:right="200" w:hanging="503"/>
        <w:spacing w:after="0" w:line="242"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 order, or the arranging for or recommending the purchase, lease or order of any good, facility, item or service, for which payment may be made, in whole or in part, under federal and state healthcare programs such as Medicare and Medicaid. A person or entity does not need to have actual knowledge of the federal Anti-Kickback Statute or specific intent to violate it in order to have committed a violation;</w:t>
      </w:r>
    </w:p>
    <w:p>
      <w:pPr>
        <w:spacing w:after="0" w:line="69" w:lineRule="exact"/>
        <w:rPr>
          <w:rFonts w:ascii="Times New Roman" w:cs="Times New Roman" w:eastAsia="Times New Roman" w:hAnsi="Times New Roman"/>
          <w:sz w:val="18"/>
          <w:szCs w:val="18"/>
          <w:color w:val="auto"/>
        </w:rPr>
      </w:pPr>
    </w:p>
    <w:p>
      <w:pPr>
        <w:ind w:left="1020" w:right="100" w:hanging="503"/>
        <w:spacing w:after="0" w:line="239"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federal False Claims Act, which impose criminal and civil penalties, including through civil whistleblower or qui tam actions, against individuals or entities for, among other things, knowingly presenting, or causing to be presented, to the federal government, including the Medicare and Medicaid programs, claims for payment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78" w:lineRule="exact"/>
        <w:rPr>
          <w:rFonts w:ascii="Times New Roman" w:cs="Times New Roman" w:eastAsia="Times New Roman" w:hAnsi="Times New Roman"/>
          <w:sz w:val="18"/>
          <w:szCs w:val="18"/>
          <w:color w:val="auto"/>
        </w:rPr>
      </w:pPr>
    </w:p>
    <w:p>
      <w:pPr>
        <w:jc w:val="both"/>
        <w:ind w:left="1020" w:right="260" w:hanging="503"/>
        <w:spacing w:after="0" w:line="252"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62" w:lineRule="exact"/>
        <w:rPr>
          <w:rFonts w:ascii="Times New Roman" w:cs="Times New Roman" w:eastAsia="Times New Roman" w:hAnsi="Times New Roman"/>
          <w:sz w:val="18"/>
          <w:szCs w:val="18"/>
          <w:color w:val="auto"/>
        </w:rPr>
      </w:pPr>
    </w:p>
    <w:p>
      <w:pPr>
        <w:ind w:left="1020" w:right="20" w:hanging="503"/>
        <w:spacing w:after="0" w:line="239"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2" w:name="page63"/>
    <w:bookmarkEnd w:id="62"/>
    <w:p>
      <w:pPr>
        <w:ind w:left="1020" w:right="100" w:hanging="503"/>
        <w:spacing w:after="0" w:line="242"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which requires manufacturers of certain drugs, devices, biologicals, and medical supplies for which payment is available under Medicare, Medicaid or the Children’s Health Insurance Program (with certain exceptions) to report annually to the Centers for Medicare &amp; Medicaid Services (“CMS”) information related to payments and “transfers of value” provided to physicians (defined to include doctors, dentists, optometrists, podiatrists, and chiropractors), certain other healthcare providers (such as nurse practitioners and physicians assistants) and teaching hospitals, as well as ownership and investment interests held by physicians and their immediate family members; and</w:t>
      </w:r>
    </w:p>
    <w:p>
      <w:pPr>
        <w:spacing w:after="0" w:line="69" w:lineRule="exact"/>
        <w:rPr>
          <w:rFonts w:ascii="Times New Roman" w:cs="Times New Roman" w:eastAsia="Times New Roman" w:hAnsi="Times New Roman"/>
          <w:sz w:val="18"/>
          <w:szCs w:val="18"/>
          <w:color w:val="auto"/>
        </w:rPr>
      </w:pPr>
    </w:p>
    <w:p>
      <w:pPr>
        <w:ind w:left="1020" w:right="40" w:hanging="503"/>
        <w:spacing w:after="0" w:line="239"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local laws requiring the licensure of pharmaceutical sales representatives.</w:t>
      </w:r>
    </w:p>
    <w:p>
      <w:pPr>
        <w:spacing w:after="0" w:line="18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criminal, civil, or administrative sanctions, including exclusions from participation in government healthcare programs, which could also affect our business.</w:t>
      </w:r>
    </w:p>
    <w:p>
      <w:pPr>
        <w:spacing w:after="0" w:line="296"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Changes in healthcare policies, laws, and regulations may impact our ability to obtain approval for, or commercialize our product candidates, if approved.</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on June 17, 2021, the U.S. Supreme Court dismissed a challenge on procedural grounds that argued the ACA is unconstitutional in its entirety because the “individual mandate” was repealed by Congress.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firstLine="509"/>
        <w:spacing w:after="0" w:line="237" w:lineRule="auto"/>
        <w:rPr>
          <w:sz w:val="20"/>
          <w:szCs w:val="20"/>
          <w:color w:val="auto"/>
        </w:rPr>
      </w:pPr>
      <w:r>
        <w:rPr>
          <w:rFonts w:ascii="Arial" w:cs="Arial" w:eastAsia="Arial" w:hAnsi="Arial"/>
          <w:sz w:val="18"/>
          <w:szCs w:val="18"/>
          <w:color w:val="auto"/>
        </w:rPr>
        <w:t>On August 16, 2022, President Biden signed the Inflation Reduction Act of 2022 (the “IRA”) into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creating a new manufacturer discount program. In addition,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IRA, among other things (i) directs the U.S. Department of Health and Human Services (“HHS”) to negotiate the price of certain high-expenditure, single-source drugs and biologics covered under Medicare and (ii) imposes rebates under Medicare Part B and Medicare Part D to penalize price increases that outpace inflation. These provisions took effect progressively starting in fiscal year 2023. CMS published the negotiated prices for the initial ten drugs, which will first be effective in 2026, and the list of the subsequent 15 drugs that will be subject to negotiation,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86"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At the state level, legislatures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Outside of the United States, particularly in the European Union, the pricing of prescription pharmaceuticals is subject to governmental control. In these countries, pricing negotiations with governmental authorities can take considerable time after the receipt of regulatory approval for a product. To obtain coverage and reimbursement or pricing approval in some countries, we may be required to conduct a clinical trial that compares the cost-effectiveness of our product candidates to other available therapies. If reimbursement of our product candidates is unavailable or limited in scope or amount, or if pricing is set at unsatisfactory levels, our business could be harmed.</w:t>
      </w:r>
    </w:p>
    <w:p>
      <w:pPr>
        <w:spacing w:after="0" w:line="288"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Government Downsizing Initiatives Could Adversely Impact FDA Operations, Leading to Potential Delays in Regulatory Review and Approval</w:t>
      </w:r>
    </w:p>
    <w:p>
      <w:pPr>
        <w:spacing w:after="0" w:line="28"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Recent government downsizing initiatives, including efforts to reduce the size and scope of federal agencies such as the U.S. Food and Drug Administration (“FDA”), could negatively impact the agency’s ability to efficiently review and approve new drug applications. These initiatives may lead to staff reductions, voluntary resignations, and resource constraints that could slow down regulatory processes, including clinical trial oversight, new drug application reviews, and post-market surveillance activities.</w:t>
      </w:r>
    </w:p>
    <w:p>
      <w:pPr>
        <w:spacing w:after="0" w:line="174"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In addition, future agency cost-cutting measures, budget reductions, or structural changes remain uncertain and could further disrupt the FDA operations. Any prolonged delays or unpredictability in regulatory timelines may adversely affect our ability to bring our product candidates to market in a timely manner, which could have a material impact on our business, financial condition, and future growth prospects.</w:t>
      </w:r>
    </w:p>
    <w:p>
      <w:pPr>
        <w:spacing w:after="0" w:line="284"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staff reductions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5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ability of the FDA and foreign regulatory authorities to review and/or approve new products can be affected by a variety of factors, including government budget and funding levels, staff reductions,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20" w:firstLine="509"/>
        <w:spacing w:after="0" w:line="244" w:lineRule="auto"/>
        <w:rPr>
          <w:sz w:val="20"/>
          <w:szCs w:val="20"/>
          <w:color w:val="auto"/>
        </w:rPr>
      </w:pPr>
      <w:r>
        <w:rPr>
          <w:rFonts w:ascii="Arial" w:cs="Arial" w:eastAsia="Arial" w:hAnsi="Arial"/>
          <w:sz w:val="18"/>
          <w:szCs w:val="18"/>
          <w:color w:val="auto"/>
        </w:rPr>
        <w:t>Disruptions at the FDA and other agencies such as the EMA, following its relocation to Amsterdam and resulting staff changes, may also slow the time necessary for new drugs and biologics or modifications to approved drugs or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76"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If a prolonged government shutdown occurs, or if staffing reductions or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4"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We are subject to privacy and data security laws, rules, regulations, policies, industry standards, and contractual obligations, and our failure to comply with them could harm our business.</w:t>
      </w:r>
    </w:p>
    <w:p>
      <w:pPr>
        <w:spacing w:after="0" w:line="3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maintain a large quantity of information, including confidential business information and information related to our employees and may maintain or have responsibility for the maintenance of personal information in connection with the conduct of our clinical trials. As such, we are subject to laws and regulations governing the privacy and security of such information. In the United States, there are numerous federal and state privacy and data security laws and regulations governing the collection, use, disclosure, and protection of personal information that apply or could apply to our operations or the operations of our partners,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in particular in relation to health information, which may affect our business and is expected to increase our compliance costs and exposure to liability.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18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Compliance with these and any other applicable privacy and data security laws, regulations and other requirements we may be subject to in the future is a rigorous and time-intensive process, and we may be required to put in place additional mechanisms ensuring compliance with such data protection rules. If we fail to comply with any such laws, regulations or other requirements, we may face significant fines and penalties that could adversely affect our business, financial condition, results of operations or growth prospects. Any failure or perceived failure by us or our third-party processors to comply with these data protection and privacy laws, regulations and requirements could result in significant government enforcement actions, which could include civil, criminal, and administrative penalties, orders requiring that we change our practices, claims for damages, and other liabilities, regulatory investigations and enforcement action, private litigation, significant costs (including in investigating and defending such claims, in remediation measures or changes to our operations), and adverse publicity, any of which could negatively affect our business, financial condition, results of operations and growth prospects. Furthermore, the laws are not consistent, and compliance in the event of a widespread data breach is costly. In addition, states are constantly adopting new laws or amending existing laws, requiring attention to frequently changing regulatory requirements.</w:t>
      </w:r>
    </w:p>
    <w:p>
      <w:pPr>
        <w:spacing w:after="0" w:line="18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With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rely on our CROs to ensure compliance with data-privacy regulations that may arise in our trials. Other than our website privacy policy,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and our business, financial condition, results of operations and growth prospects may be adversely affected.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5" w:name="page66"/>
    <w:bookmarkEnd w:id="65"/>
    <w:p>
      <w:pPr>
        <w:ind w:right="60"/>
        <w:spacing w:after="0" w:line="256"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w:t>
      </w:r>
    </w:p>
    <w:p>
      <w:pPr>
        <w:spacing w:after="0" w:line="16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We may engage third parties to sell any approved product candidates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are also subject to export control, import, and trade sanctions laws and regulations which may restrict or prohibit altogether the provision, sale, or supply of our product candidates to certain governments, persons, entities, countries, and territories, including those that are the target of comprehensive sanctions or an embargo. Additionally, new or increased tariffs and other changes in U.S. trade policy, including new sanctions, could trigger retaliatory actions by affected countries. Obtaining the necessary export license or other authorization for a particular transaction may be time-consuming and may result in the delay or loss of sales opportunities. Violations of U.S. export control, import, or sanctions laws and regulations can result in significant fines or penalties and possible incarceration for responsible employees and managers.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 and matters submitted to stockholders for approval.</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executive officers, directors, and current beneficial owners of 5% or more of our capital stock and their respective affiliates beneficially own, in the aggregate, a significant percentage of our outstanding common stock. As a result, these persons, acting together, would be able to significantly influence all matters requiring stockholder approval, including the election and removal of directors, any merger, consolidation, or sale of all or substantially all of our assets, or other significant corporate transactions. In addition, these persons, acting together, may have the ability to control the management and affairs of our company. Accordingly, this concentration of ownership may harm the market price of our common stock by:</w:t>
      </w:r>
    </w:p>
    <w:p>
      <w:pPr>
        <w:spacing w:after="0" w:line="71"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delaying, deferring, or preventing a change in control;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entrenching our management and/or the board of directors (the “Board”);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24"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In addition, some of these persons or entities may have interests different than yours. For example, because many of these stockholders purchased their shares at prices substantially below the price at which shares were sold in our IPO and recent financings and have held their shares for a longer period, they may be more interested in selling our company to an acquirer than other investors, or they may want us to pursue strategies that deviate from the interests of other stockholders.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02"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69"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of restricted stock units, or the perception that such sales may occur, could adversely affect the market price of our common stock.</w:t>
      </w:r>
    </w:p>
    <w:p>
      <w:pPr>
        <w:spacing w:after="0" w:line="174"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284" w:lineRule="exact"/>
        <w:rPr>
          <w:sz w:val="20"/>
          <w:szCs w:val="20"/>
          <w:color w:val="auto"/>
        </w:rPr>
      </w:pPr>
    </w:p>
    <w:p>
      <w:pPr>
        <w:jc w:val="both"/>
        <w:ind w:right="860"/>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and the adoption of a rights plan, could make an acquisition of our company,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w:t>
      </w:r>
    </w:p>
    <w:p>
      <w:pPr>
        <w:spacing w:after="0" w:line="7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allow the authorized number of our directors to be changed only by resolution of our Board;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manner in which stockholders can remove directors from the Board;</w:t>
      </w:r>
    </w:p>
    <w:p>
      <w:pPr>
        <w:spacing w:after="0" w:line="11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limit who may call stockholder meetings;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our Board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and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5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more than 15%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Additionally, in August 2024, we entered into a Rights Agreement, which was previously approved by the Board. In connection with the Rights Agreement, a dividend was declared of one preferred stock purchase right for each share of the Common Stock of the Company outstanding at the Record Date (individually, a “Right” and collectively, the “Rights”).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67" w:name="page68"/>
    <w:bookmarkEnd w:id="67"/>
    <w:p>
      <w:pPr>
        <w:spacing w:after="0" w:line="242" w:lineRule="auto"/>
        <w:rPr>
          <w:sz w:val="20"/>
          <w:szCs w:val="20"/>
          <w:color w:val="auto"/>
        </w:rPr>
      </w:pPr>
      <w:r>
        <w:rPr>
          <w:rFonts w:ascii="Arial" w:cs="Arial" w:eastAsia="Arial" w:hAnsi="Arial"/>
          <w:sz w:val="18"/>
          <w:szCs w:val="18"/>
          <w:color w:val="auto"/>
        </w:rPr>
        <w:t>Each Right entitles the registered holder thereof, after the Rights become exercisable and until August 15, 2025 (or the earlier redemption, exchange or termination of the Rights), to purchase from the Company one one-thousandth of a share of Series A Preferred, of the Company at a price of $ 6.50 per one one-thousandth of a share of Series A Preferred, subject to adjustment. The Rights will expire on August 15, 2025, subject to the Company’s right to extend such date, unless earlier redeemed or exchanged by the Company or terminated. The Rights Agreement could have the effect of discouraging, delaying or preventing a change in management or control over us. While there is no plan to do so at this time, our Board may choose to extend the current Rights Agreement or adopt a new rights agreement in the future.</w:t>
      </w:r>
    </w:p>
    <w:p>
      <w:pPr>
        <w:spacing w:after="0" w:line="289"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including claims under the Securities Act, which could limit our stockholders’ ability to obtain a favorable judicial forum for disputes with us or our directors, officers or employees.</w:t>
      </w:r>
    </w:p>
    <w:p>
      <w:pPr>
        <w:spacing w:after="0" w:line="57"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w:t>
      </w:r>
    </w:p>
    <w:p>
      <w:pPr>
        <w:spacing w:after="0" w:line="4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breach of fiduciary duty;</w:t>
      </w:r>
    </w:p>
    <w:p>
      <w:pPr>
        <w:spacing w:after="0" w:line="116"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or any of our directors, officers, employees, or agents arising under the DGCL, our amended and restated certificate of incorporation, or our amended and restated bylaws;</w:t>
      </w:r>
    </w:p>
    <w:p>
      <w:pPr>
        <w:spacing w:after="0" w:line="46" w:lineRule="exact"/>
        <w:rPr>
          <w:rFonts w:ascii="Times New Roman" w:cs="Times New Roman" w:eastAsia="Times New Roman" w:hAnsi="Times New Roman"/>
          <w:sz w:val="18"/>
          <w:szCs w:val="18"/>
          <w:color w:val="auto"/>
        </w:rPr>
      </w:pPr>
    </w:p>
    <w:p>
      <w:pPr>
        <w:ind w:left="1020" w:right="7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or proceeding to interpret, apply, enforce, or determine the validity of our amended and restated certificate of incorporation, or our amended and restated bylaws; and</w:t>
      </w:r>
    </w:p>
    <w:p>
      <w:pPr>
        <w:spacing w:after="0" w:line="4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or any of our directors, officers, employees, or agents that is governed by the internal-affairs doctrine.</w:t>
      </w:r>
    </w:p>
    <w:p>
      <w:pPr>
        <w:spacing w:after="0" w:line="15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However, these provisions would not apply to suits brought to enforce a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To the extent the exclusive forum provision restricts the courts in which claims arising under the Securities Act may be brought, there is uncertainty as to whether a court would enforce such a provision. We note that investors cannot waive compliance with the federal securities laws and the rules and regulations thereunder.</w:t>
      </w:r>
    </w:p>
    <w:p>
      <w:pPr>
        <w:spacing w:after="0" w:line="18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and growth prospects.</w:t>
      </w:r>
    </w:p>
    <w:p>
      <w:pPr>
        <w:spacing w:after="0" w:line="29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will have broad discretion in the use of our cash, and may invest or spend our cash in ways with which you do not agree and in ways that may not increase the value of your investment.</w:t>
      </w:r>
    </w:p>
    <w:p>
      <w:pPr>
        <w:spacing w:after="0" w:line="31"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Our management will have broad discretion in the application of our cash, and could spend our cash in ways that do not improve our results of operations or enhance the value of our common stock. The failure by our management to apply these funds effectively could result in financial losses that could have a negative impact on our business, cause the price of our common stock to decline, and delay the development of our pipeline programs as well as commercial preparedness.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60"/>
        <w:spacing w:after="0" w:line="278"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and accordingly, stockholders must rely on capital appreciation, if any, for any return on their investment.</w:t>
      </w:r>
    </w:p>
    <w:p>
      <w:pPr>
        <w:spacing w:after="0" w:line="3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do not anticipate paying any cash dividends on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If we do not pay cash dividends, you could receive a return on your investment in our common stock only if you are able to sell your shares in the future and the market price of our common stock has increased when you sell your shares. As a result, investors seeking cash dividends should not purchase our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As of December 31, 2024, we had federal and state net operating loss (“NOLs”) carryforwards of approximately $81.3 million and $166.3 million, respectively. Under the Tax Cuts and Jobs Act of 2017 (“the Tax Act”), as modified by the Coronavirus Aid, Relief, and Economic Security Act (the “CARES Act”), our NOLs generated in tax years beginning after December 31, 2017 may be carried forward indefinitely, but the deductibility of such federal NOLs in tax years beginning after December 31, 2020, is limited to 80% of taxable income. There is variation in how states have responded and may continue to respond to the Tax Act or the CARES Act. In addition, under Sections 382 and 383 of the U.S.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and may experience ownership changes in the future.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has been and may continue to be volatile.</w:t>
      </w:r>
    </w:p>
    <w:p>
      <w:pPr>
        <w:spacing w:after="0" w:line="10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trading price of our common stock has been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shares at or above the price paid for the shares. In addition to the factors discussed in this “Risk Factors” section and elsewhere in this Annual Report Form 10-K, these factors include:</w:t>
      </w:r>
    </w:p>
    <w:p>
      <w:pPr>
        <w:spacing w:after="0" w:line="6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commencement, enrollment or results of our planned and future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testing and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unanticipated safety, tolerability or efficacy concerns;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any of our key research, development or management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adverse actions taken by regulatory agencies with respect to our clinical trials or manufacturers;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relationships with collaborators, manufacturers, or suppliers;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fluctuations in our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financial estimates or recommendations by securities analysts;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acquisitions;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9" w:name="page70"/>
    <w:bookmarkEnd w:id="69"/>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volume of our common stock on the Nasdaq Global Select Market;</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executive officers and directors or our stockholders or the anticipation that such sales may occur in the future;</w:t>
      </w:r>
    </w:p>
    <w:p>
      <w:pPr>
        <w:spacing w:after="0" w:line="4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or other countries where we conduct critical business;</w:t>
      </w:r>
    </w:p>
    <w:p>
      <w:pPr>
        <w:spacing w:after="0" w:line="46" w:lineRule="exact"/>
        <w:rPr>
          <w:rFonts w:ascii="Times New Roman" w:cs="Times New Roman" w:eastAsia="Times New Roman" w:hAnsi="Times New Roman"/>
          <w:sz w:val="18"/>
          <w:szCs w:val="18"/>
          <w:color w:val="auto"/>
        </w:rPr>
      </w:pPr>
    </w:p>
    <w:p>
      <w:pPr>
        <w:ind w:left="1020" w:right="128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banking crises or failures;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investors’ general perception of us and our business.</w:t>
      </w:r>
    </w:p>
    <w:p>
      <w:pPr>
        <w:spacing w:after="0" w:line="22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of our common stock at or above the price paid for the shares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7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29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trading market for our common stock will be influenced by the research and reports that equity research analysts publish about us and our business. We currently have research coverage by a limited number of equity research analysts. Equity research analysts may elect not to continue to provide research coverage of our common stock, and such lack of research coverage may adversely affect the market price of our common stock.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stock to decline.</w:t>
      </w:r>
    </w:p>
    <w:p>
      <w:pPr>
        <w:spacing w:after="0" w:line="29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are incurring significantly increased costs as a result of operating as a company whose common stock is publicly traded in the United States, and our management is devoting substantial time to new compliance initiatives.</w:t>
      </w:r>
    </w:p>
    <w:p>
      <w:pPr>
        <w:spacing w:after="0" w:line="31"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As a public company in the United States, we are incurring significant legal, accounting, and other expenses. These expenses will likely be even more significant after we no longer qualify as an emerging growth company. The Sarbanes-Oxley Act, the Dodd-Frank Wall Street Reform and Consumer Protection Act, the listing requirements of Nasdaq Global Select Market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devote a substantial amount of time to these compliance initiatives. Moreover, these rules and regulations has increased our legal and financial compliance costs and has made some activities more time-consuming and costly. We cannot predict or estimate the amount of additional costs we will incur or the timing of such costs.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right="40" w:firstLine="509"/>
        <w:spacing w:after="0" w:line="247" w:lineRule="auto"/>
        <w:rPr>
          <w:sz w:val="20"/>
          <w:szCs w:val="20"/>
          <w:color w:val="auto"/>
        </w:rPr>
      </w:pPr>
      <w:r>
        <w:rPr>
          <w:rFonts w:ascii="Arial" w:cs="Arial" w:eastAsia="Arial" w:hAnsi="Arial"/>
          <w:sz w:val="18"/>
          <w:szCs w:val="18"/>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Pursuant to Section 404, we will be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prepare for eventual compliance with Section 404,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Identifying material weaknesses could result in an adverse reaction in the financial markets due to a loss of confidence in the reliability of our financial statements.</w:t>
      </w:r>
    </w:p>
    <w:p>
      <w:pPr>
        <w:spacing w:after="0" w:line="290"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Significant disruptions of our or our vendors’ information technology systems or cybersecurity incidents could result in significant financial, legal, regulatory, business, and reputational harm to us.</w:t>
      </w:r>
    </w:p>
    <w:p>
      <w:pPr>
        <w:spacing w:after="0" w:line="3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are increasingly dependent on information technology systems and infrastructure, including mobile technologies, to operate our business. In the ordinary course of our business, we collect, store, process, and transmit large amounts of confidential information, including intellectual property, proprietary business information, personal information (including health information), and other confidential information. It is critical that we do so in a secure manner to maintain the confidentiality, integrity, and restricted availability of such information. We have also outsourced elements of our operations, including elements of our information technology infrastructure and data processing, to third parties and, as a result, we manage a number of third-party vendors who have access to our computer networks or our information. In addition, many of those third parties in turn subcontract or outsource some of their responsibilities to other third parties. While all information technology operations are inherently vulnerable to inadvertent or intentional security breaches, incidents, attacks, and exposures, the accessibility and distributed nature of our information technology systems, and the information stored on those systems, make such systems (and the information stored therein) vulnerable to risks that threaten the confidentiality, integrity and availability of these systems and information, including unintentional or malicious, internal, and external attacks on our technology environment. Vulnerabilities can be exploited by diverse threat actors and attack vectors, including through inadvertent or intentional actions of our employees, third-party vendors, business partners, or by malicious third parties. Cybersecurity incidents are increasing in their frequency, levels of persistence, sophistication, and intensity, and are being conducted by sophisticated and organized groups and individuals with a wide range of motives (including industrial espionage) and expertise, including organized criminal groups, “hacktivists,” nation states, and others, and utilizing increasingly sophisticated techniques and tools – including AI – that circumvent security controls, evade detection and remove or obfuscate forensic evidence. In addition to access to, loss of or the extraction of information, such attacks could involve the deployment of harmful malware, ransomware, denial-of-service attacks, social engineering/phishing, malicious code embedded in software, and other means to affect service reliability and threaten the confidentiality, integrity, and availability of information technology systems or information. In addition, the prevalent use of mobile devices increases the risk of cybersecurity incidents.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ind w:firstLine="509"/>
        <w:spacing w:after="0" w:line="238" w:lineRule="auto"/>
        <w:rPr>
          <w:sz w:val="20"/>
          <w:szCs w:val="20"/>
          <w:color w:val="auto"/>
        </w:rPr>
      </w:pPr>
      <w:r>
        <w:rPr>
          <w:rFonts w:ascii="Arial" w:cs="Arial" w:eastAsia="Arial" w:hAnsi="Arial"/>
          <w:sz w:val="18"/>
          <w:szCs w:val="18"/>
          <w:color w:val="auto"/>
        </w:rPr>
        <w:t>Significant disruptions of our or our third-party vendors’ or business partners’ information technology systems or other similar cybersecurity incidents could adversely affect our business operations and result in the loss, misappropriation, and unauthorized access, use or disclosure of, or the prevention of access to, information, which could result in financial, legal, regulatory, business, and reputational harm to us. In addition, any impact to the confidentiality, integrity or availability of information technology systems and the information stored therein, whether from attacks on our or third-party technology environment or from computer viruses, natural disasters, terrorism, war, telecommunication and electrical failures, or other threats, could result in a material disruption of our development programs and our business operations. For example, the loss of clinical trial data from ongoing, completed or future clinical trials could result in delays in our regulatory approval efforts and significantly increase our costs to recover or reproduce the data. We cannot ensure that our cybersecurity and data protection efforts and our investment in information technology, or the efforts or investments of CROs, consultants or other third parties with which we work, will prevent breakdowns or breaches in our or their systems or other cybersecurity incidents, including those that cause loss, destruction, unavailability, alteration, dissemination of, or damage, or unauthorized access to, or processing of, our data, including personal information, assets, and other data processed or maintained on our behalf, that could have a material adverse effect upon our reputation, business, financial condition, results of operations and growth prospects.</w:t>
      </w:r>
    </w:p>
    <w:p>
      <w:pPr>
        <w:spacing w:after="0" w:line="180"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While we have implemented security measures intended to protect our information technology systems and infrastructure, there can be no assurance that such measures will successfully prevent service interruptions or cybersecurity incidents or that our security measures and processes will be fully implemented, complied with or effective. Nor can we be certain that our third-party vendors or business partners have sufficient measures or processes in place to protect their information technology systems and infrastructure. We, our third-party vendors and business partners are, from time to time, subject to attacks and cybersecurity incidents. While we have not to our knowledge experienced an incident that has had a material impact on our operations or financial results, there is no way of knowing with certainty whether we have experienced any material cybersecurity incidents that have not been discovered. While we have no reason to believe this to be the case, attackers have become very sophisticated in the way they conceal access to systems, and many companies that have been attacked are not aware that their systems or information have been compromised. Any event that leads to unauthorized access, use, or disclosure of information, including personal information regarding our patients or employees, or other adverse impact to the availability, integrity or confidentiality of our information technology systems, infrastructure or information, could disrupt our business, harm our reputation, compel us to comply with applicable federal and state breach notification laws and foreign law and contractual equivalents, subject us to time-consuming, distracting, and expensive litigation (including class actions),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It could also result in increased costs to us, including costs to investigate, mitigate and remediate vulnerabilities and incidents, and result in significant legal and financial exposure and reputational harm. In addition, any failure or perceived failure by us or our vendors or business partners to comply with our privacy, confidentiality, or data security-related legal or other obligations to third parties, or any further cybersecurity incidents,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Moreover, cybersecurity incidents and other inappropriate access can be difficult to detect, and any delay in identifying them may lead to increased harm of the type described above. Finally, we cannot guarantee that any costs and liabilities incurred in relation to an incident will be covered by our existing insurance policies or that applicable insurance will be available to us in the future on economically reasonable terms or at all. Any of the foregoing could have a material adverse effect on our reputation, business, financial condition, results of operations and growth prospects.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520"/>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3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not being required to comply with the auditor requirements to communicate critical audit matters in the auditor’s report on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taken advantage of reduced reporting burdens in this Annual Report on Form 10-K. In particular, in this Annual Report on Form 10-K, we have provided only two comparative periods of audited financial statements. We also have not provided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3"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adhere to the listing requirements of the Nasdaq Global Select Market our common stock could be delisted.</w:t>
      </w:r>
    </w:p>
    <w:p>
      <w:pPr>
        <w:spacing w:after="0" w:line="10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If we are unable to comply with the listing requirements of the Nasdaq Global Select Market, our stock could be delisted for such failure. If our common stock is delisted from Nasdaq, we could be required to list on the over-the-counter market, which may adversely affect the price and trading liquidity of our common stock. Delisting from the Nasdaq may have other negative results, including the potential loss of confidence in us by employees and partners, the loss of institutional investor interest, fewer business development opportunities and greater difficulty in obtaining financing on favorable terms or at all.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potential future changes to U.S. and non-U.S. tax laws could materially adversely affect our company.</w:t>
      </w:r>
    </w:p>
    <w:p>
      <w:pPr>
        <w:spacing w:after="0" w:line="10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Existing, new, or future changes in tax laws, regulations, and treaties, or the interpretation thereof, in addition to tax policy initiatives and reforms under consideration in the United States or internationally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For example, the Tax Act, the CARES Act and the recently enacted IRA made many significant changes to the U.S. tax laws. The Tax Act made broad and complex changes to the Code, including, among other things, reducing the federal corporate tax rate. Additionally, beginning in 2022, the Tax Act required the capitalization of research and experimentation expenses with amortization periods over five and fifteen years pursuant to Code Section 174 (“Section 174”), which could impact our effective tax rate and cash flow. Future guidance from the U.S. Internal Revenue Service and other tax authorities with respect to any such tax legislation may affect us, and certain aspects of the previously enacted legislation could be repealed or modified in future legislation. In addition, it is uncertain if and to what extent various states will conform to the Tax Act, the CARES Act, the IRA, or any newly enacted federal tax legislation. Other legislative changes could also affect the taxation of holders of our common stock. We are unable to predict what tax reform may be proposed or enacted in the future or what effect such changes would have on our business, but such changes, to the extent they are brought into tax legislation, regulations, policies or practices, could affect our effective tax rates in the future in countries where we are subject to tax and have an adverse effect on our overall tax rate in the future, along with increasing the complexity, burden, and cost of tax compliance. We urge our stockholders to consult with their legal and tax advisors with respect to any such legislative changes and the potential tax consequences of investing in or holding our common stock.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73" w:name="page74"/>
    <w:bookmarkEnd w:id="73"/>
    <w:p>
      <w:pPr>
        <w:ind w:right="20"/>
        <w:spacing w:after="0" w:line="278" w:lineRule="auto"/>
        <w:rPr>
          <w:sz w:val="20"/>
          <w:szCs w:val="20"/>
          <w:color w:val="auto"/>
        </w:rPr>
      </w:pPr>
      <w:r>
        <w:rPr>
          <w:rFonts w:ascii="Arial" w:cs="Arial" w:eastAsia="Arial" w:hAnsi="Arial"/>
          <w:sz w:val="18"/>
          <w:szCs w:val="18"/>
          <w:b w:val="1"/>
          <w:bCs w:val="1"/>
          <w:i w:val="1"/>
          <w:iCs w:val="1"/>
          <w:color w:val="auto"/>
        </w:rPr>
        <w:t>Indemnity provisions in various agreements potentially expose us to substantial liability for intellectual property infringement, data protection, and other losses.</w:t>
      </w:r>
    </w:p>
    <w:p>
      <w:pPr>
        <w:spacing w:after="0" w:line="3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Our agreements with third parties may include indemnification provisions under which we agree to indemnify them for losses suffered or incurred as a result of claims of intellectual property infringement or other liabilities relating to or arising from our contractual obligations. Large indemnity payments could harm our business, financial condition, results of operations and growth prospects.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102" w:lineRule="exact"/>
        <w:rPr>
          <w:sz w:val="20"/>
          <w:szCs w:val="20"/>
          <w:color w:val="auto"/>
        </w:rPr>
      </w:pPr>
    </w:p>
    <w:p>
      <w:pPr>
        <w:jc w:val="both"/>
        <w:ind w:right="280" w:firstLine="509"/>
        <w:spacing w:after="0" w:line="253" w:lineRule="auto"/>
        <w:rPr>
          <w:sz w:val="20"/>
          <w:szCs w:val="20"/>
          <w:color w:val="auto"/>
        </w:rPr>
      </w:pPr>
      <w:r>
        <w:rPr>
          <w:rFonts w:ascii="Arial" w:cs="Arial" w:eastAsia="Arial" w:hAnsi="Arial"/>
          <w:sz w:val="18"/>
          <w:szCs w:val="18"/>
          <w:color w:val="auto"/>
        </w:rPr>
        <w:t>We have developed and implemented cybersecurity risk management practices intended to protect the confidentiality, integrity, and availability of our critical systems and information. Our cybersecurity risk management practices include a cybersecurity incident response plan.</w:t>
      </w:r>
    </w:p>
    <w:p>
      <w:pPr>
        <w:spacing w:after="0" w:line="169"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elements of our cybersecurity risk management practices include but are not limited to:</w:t>
      </w:r>
    </w:p>
    <w:p>
      <w:pPr>
        <w:spacing w:after="0" w:line="104" w:lineRule="exact"/>
        <w:rPr>
          <w:sz w:val="20"/>
          <w:szCs w:val="20"/>
          <w:color w:val="auto"/>
        </w:rPr>
      </w:pPr>
    </w:p>
    <w:p>
      <w:pPr>
        <w:ind w:left="1020" w:right="20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risk monitoring and assessments designed to help identify material cybersecurity risks from cybersecurity threats to our critical systems, information, products, services, and our broader enterprise IT environment;</w:t>
      </w:r>
    </w:p>
    <w:p>
      <w:pPr>
        <w:spacing w:after="0" w:line="4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internal and external IT professionals responsible for managing our (1) cybersecurity risk analysis, (2) security controls, and (3) response to cybersecurity incidents;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service providers, where appropriate, to assist with aspects of our security controls;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our employees and senior management;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breach response and cybersecurity incident response plan that includes procedures for responding to cybersecurity incidents.</w:t>
      </w:r>
    </w:p>
    <w:p>
      <w:pPr>
        <w:spacing w:after="0" w:line="224"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Although we face risks from cybersecurity threats, no known cybersecurity threats have materially affected or we believe are reasonably likely to materially affect us, including our business, financial condition, results of operations and growth prospects. See “Risk Factors – Significant disruptions of our or our vendors’ information technology systems or cybersecurity incidents could result in significant financial, legal, regulatory, business, and reputational harm to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0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Board considers cybersecurity risk as part of its risk oversight function and has delegated to the Audit Committee of our Board (the “Audit Committee”) oversight of cybersecurity risks, including oversight of management’s implementation of our cybersecurity risk management program. The Audit Committee receives reports at least annually from management on our cybersecurity risks and would be informed of any cybersecurity incidents that management considers to be significant or potentially significant.</w:t>
      </w:r>
    </w:p>
    <w:p>
      <w:pPr>
        <w:spacing w:after="0" w:line="174" w:lineRule="exact"/>
        <w:rPr>
          <w:sz w:val="20"/>
          <w:szCs w:val="20"/>
          <w:color w:val="auto"/>
        </w:rPr>
      </w:pPr>
    </w:p>
    <w:p>
      <w:pPr>
        <w:jc w:val="both"/>
        <w:ind w:right="460" w:firstLine="509"/>
        <w:spacing w:after="0" w:line="253" w:lineRule="auto"/>
        <w:rPr>
          <w:sz w:val="20"/>
          <w:szCs w:val="20"/>
          <w:color w:val="auto"/>
        </w:rPr>
      </w:pPr>
      <w:r>
        <w:rPr>
          <w:rFonts w:ascii="Arial" w:cs="Arial" w:eastAsia="Arial" w:hAnsi="Arial"/>
          <w:sz w:val="18"/>
          <w:szCs w:val="18"/>
          <w:color w:val="auto"/>
        </w:rPr>
        <w:t>Our internal cybersecurity professional reports to our CEO and is responsible for assessing and managing our material risks from cybersecurity threats. The CEO is supported by our Chief Legal Officer in exercising primary oversight for our overall cybersecurity risk management program.</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2. Properties.</w:t>
      </w:r>
    </w:p>
    <w:p>
      <w:pPr>
        <w:spacing w:after="0" w:line="10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current corporate headquarters are located in Menlo Park, California, where we lease approximately 1,731 square feet of office space pursuant to a lease agreement that commenced in May 2021 and expires in August 2025. We also lease approximately 2,500 additional square feet of adjacent office space pursuant to a lease agreement that commenced in September 2021 and expires in August 2025. Both leases contain two additional 12-month renewal options through August 2027.</w:t>
      </w:r>
    </w:p>
    <w:p>
      <w:pPr>
        <w:spacing w:after="0" w:line="17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We believe that these existing facilities will be adequate for our near-term needs. If required, we believe that suitable additional or alternative space would be available in the future on commercially reasonable terms.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in Part IV, Note 7—Commitments and Contingencies—Contingencies is incorporated herein by reference.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309" w:right="639" w:bottom="1440" w:gutter="0" w:footer="0" w:header="0"/>
        </w:sectPr>
      </w:pPr>
    </w:p>
    <w:bookmarkStart w:id="75" w:name="page76"/>
    <w:bookmarkEnd w:id="75"/>
    <w:p>
      <w:pPr>
        <w:jc w:val="center"/>
        <w:ind w:left="500"/>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1000"/>
        <w:spacing w:after="0" w:line="360"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 for Common Stock</w:t>
      </w:r>
    </w:p>
    <w:p>
      <w:pPr>
        <w:ind w:right="140" w:firstLine="509"/>
        <w:spacing w:after="0" w:line="271" w:lineRule="auto"/>
        <w:rPr>
          <w:sz w:val="20"/>
          <w:szCs w:val="20"/>
          <w:color w:val="auto"/>
        </w:rPr>
      </w:pPr>
      <w:r>
        <w:rPr>
          <w:rFonts w:ascii="Arial" w:cs="Arial" w:eastAsia="Arial" w:hAnsi="Arial"/>
          <w:sz w:val="18"/>
          <w:szCs w:val="18"/>
          <w:color w:val="auto"/>
        </w:rPr>
        <w:t>Our common stock has been listed on the Nasdaq Global Select Market under the symbol “ANTX” since March 25, 2022. Prior to that date, there was no public trading market for our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0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 Any future determination to declare or pay dividends will be made at the discretion of our Board, subject to applicable laws, and will depend upon, among other factors, our results of operations, financial condition, contractual restrictions, capital requirements general business conditions and other factors that our Board may deem relevant. Our future ability to pay cash dividends on our capital stock may be limited by the terms of any future debt or preferred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p>
    <w:p>
      <w:pPr>
        <w:spacing w:after="0" w:line="102" w:lineRule="exact"/>
        <w:rPr>
          <w:sz w:val="20"/>
          <w:szCs w:val="20"/>
          <w:color w:val="auto"/>
        </w:rPr>
      </w:pPr>
    </w:p>
    <w:p>
      <w:pPr>
        <w:jc w:val="both"/>
        <w:ind w:right="360" w:firstLine="509"/>
        <w:spacing w:after="0" w:line="275" w:lineRule="auto"/>
        <w:rPr>
          <w:sz w:val="20"/>
          <w:szCs w:val="20"/>
          <w:color w:val="auto"/>
        </w:rPr>
      </w:pPr>
      <w:r>
        <w:rPr>
          <w:rFonts w:ascii="Arial" w:cs="Arial" w:eastAsia="Arial" w:hAnsi="Arial"/>
          <w:sz w:val="17"/>
          <w:szCs w:val="17"/>
          <w:color w:val="auto"/>
        </w:rPr>
        <w:t>As of February 28, 2025, we had 29 holders of record of our common stock. The actual number of stockholders is greater than this number of record holders and includes stockholders who are beneficial owners but whose shares are held in street name by brokers and other nominees. This number of record holders also does not include stockholders whose shares may be held in trust by other entities.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02" w:lineRule="exact"/>
        <w:rPr>
          <w:sz w:val="20"/>
          <w:szCs w:val="20"/>
          <w:color w:val="auto"/>
        </w:rPr>
      </w:pPr>
    </w:p>
    <w:p>
      <w:pPr>
        <w:jc w:val="both"/>
        <w:ind w:right="440" w:firstLine="509"/>
        <w:spacing w:after="0" w:line="301" w:lineRule="auto"/>
        <w:rPr>
          <w:sz w:val="20"/>
          <w:szCs w:val="20"/>
          <w:color w:val="auto"/>
        </w:rPr>
      </w:pPr>
      <w:r>
        <w:rPr>
          <w:rFonts w:ascii="Arial" w:cs="Arial" w:eastAsia="Arial" w:hAnsi="Arial"/>
          <w:sz w:val="17"/>
          <w:szCs w:val="17"/>
          <w:color w:val="auto"/>
        </w:rPr>
        <w:t>The information required by this item is incorporated by reference to the definitive proxy statement for our 2025 annual meeting of stockholders (the “Proxy Statement”) to be filed with the SEC within 120 days after the end of our fiscal year ended December 31, 2024.</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0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March 24, 2022, our registration statement on Form S-1 (File No. 333-263295) was declared effective by the SEC for the IPO of our common stock. Our shares began trading on the Nasdaq Global Select Market on March 25, 2022, and the transaction formally closed on March 29, 2022. In connection with our IPO, we issued and sold an aggregate of 5,290,000 shares of our common stock at a price of $ 15.00 per share, which included the exercise in full of the underwriters’ option to purchase 690,000 additional shares of our common stock at the same price per share, which closed on April 12, 2022. The aggregate gross proceeds for shares sold in our IPO was $79.4 million. After deducting underwriting discounts and commissions and offering costs paid or payable by us of approximately $9.0 million, the net proceeds from the offering were approximately $70.4 million. Upon completion of the sale of the shares of our common stock referenced in this paragraph, our IPO terminated.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180"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There has been no material change in the use of proceeds from our IPO as described in our final prospectus dated March 24, 2022 pursuant to Rule 424(b)(4). We invested the funds received in interest-bearing investment-grade securities and government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6. [Reserved].</w:t>
      </w:r>
    </w:p>
    <w:p>
      <w:pPr>
        <w:spacing w:after="0" w:line="14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i w:val="1"/>
          <w:iCs w:val="1"/>
          <w:color w:val="auto"/>
        </w:rPr>
        <w:t>The following discussion and analysis of our financial condition as of December 31, 2024 and results of operations for the years ended December 31, 2024 and 2023 should be read in conjunction with our financial statements and related notes thereto included elsewhere in this Annual Report on Form 10-K (“Form 10-K”.) This section of this Form 10-K generally discusses 2024 and 2023 items and year-to-year comparisons between 2024 and 2023. Except as otherwise indicated herein or as the context otherwise requires, references in this Form 10-K to “AN2,” the “Company,” “we,” “us” and “our” refer to AN2 Therapeutics, Inc.</w:t>
      </w:r>
    </w:p>
    <w:p>
      <w:pPr>
        <w:spacing w:after="0" w:line="18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This discussion and analysis and other parts of this Form 10-K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 Item 1A of this Annual Report on Form 10-K. See also the section titled “Special Note Regarding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2"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We are a biopharmaceutical company focused on discovering and developing novel small molecule therapeutics derived from our boron chemistry platform. AN2 has a pipeline of boron-based compounds in development for Chagas disease, non-tuberculous mycobacterial (“NTM”) and melioidosis, along with early-stage programs focused on targets in infectious diseases and oncology.</w:t>
      </w:r>
    </w:p>
    <w:p>
      <w:pPr>
        <w:spacing w:after="0" w:line="169"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Our lead candidate is epetraborole, which we are studying as a potential once-daily, oral treatment with a novel mechanism of action for patients with non-tuberculous mycobacterial (“NTM”) lung disease, a rare, chronic and progressive infectious disease caused by bacteria known as mycobacteria, which leads to irreversible lung damage and can be fatal. Epetraborole is designed to produce broad-spectrum antimycobacterial activity through inhibition of an essential and universal step in bacterial protein synthesis. Its novel mechanism of action is enabled by boron chemistry, our core technology approach. We in-licensed the exclusive worldwide development and commercialization rights for epetraborole from Pfizer Inc. in 2019.</w:t>
      </w:r>
    </w:p>
    <w:p>
      <w:pPr>
        <w:spacing w:after="0" w:line="17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lead development target in NTM is treatment-refractory MAC lung disease, a condition with high unmet need where the mycobacterial infection persists despite standard front-line therapies. These patients represent complex cases for treatment, often presenting with structural lung damage, high levels of resistance to background therapies, and persistent symptoms that can significantly degrade quality of life. In 2023, the FDA issued a Guidance for Industry recommending that new potential therapies demonstrate evidence of symptom improvement, measured with patient-reported outcome tools, as the primary endpoint for approval. To date, no drugs have been approved by the FDA based on symptom improvement in a treatment refractory population. The only approved therapy for treatment-refractory MAC lung disease received accelerated approval based on the surrogate endpoint of sputum culture conversion without demonstrating symptom improvement.</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August 8, 2024, we announced topline results from the Phase 2 part of EBO-301, a Phase 2/3 study evaluating epetraborole on top of optimized background regimen (“OBR”) in treatment-refractory MAC lung disease, and terminated the Phase 3 portion of the trial with 97 patients enrolled. The Phase 2 part of the study met its primary objective of demonstrating the potential validation of a novel patient-reported outcome (PRO) tool and a higher PRO-based clinical response rate in the epetraborole + OBR arm (39.5%) vs. placebo + OBR (25.0%; treatment difference 13.9%, p=0.19). However, sputum culture conversion at Month 6, a key secondary endpoint, was similar between treatment arms (13.2% in epetraborole + OBR vs. 10.0% placebo + OBR; treatment difference 3.4%, p=0.64). Epetraborole was generally well tolerated in the trial.</w:t>
      </w:r>
    </w:p>
    <w:p>
      <w:pPr>
        <w:spacing w:after="0" w:line="185"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Consistent with the FDA’s 2023 Guidance, the primary purpose of the Phase 2 part of the EBO-301 study was to test the validity of multiple patient-reported outcome tools in a treatment refractory population, with the goal of identifying a PRO-based primary endpoint for the Phase 3 portion of the trial. To that end, we recently submitted an amended statistical analysis plan to the FDA selecting the Quality of Life – Bronchiectasis (QOL-B) respiratory domain patient reported outcome (PRO) instrument as the primary efficacy endpoint for the Phase 3 part of the EBO-301 trial. We anticipate releasing top-line Phase 3 data from the 97 Phase 3 patients in the second quarter of 2025. If these Phase 3 data confirm the Phase 2 findings, we plan to meet with the FDA to discuss potential registrational pathways in TR-MAC.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8" w:name="page79"/>
    <w:bookmarkEnd w:id="78"/>
    <w:p>
      <w:pPr>
        <w:ind w:right="40" w:firstLine="509"/>
        <w:spacing w:after="0" w:line="244" w:lineRule="auto"/>
        <w:rPr>
          <w:sz w:val="20"/>
          <w:szCs w:val="20"/>
          <w:color w:val="auto"/>
        </w:rPr>
      </w:pPr>
      <w:r>
        <w:rPr>
          <w:rFonts w:ascii="Arial" w:cs="Arial" w:eastAsia="Arial" w:hAnsi="Arial"/>
          <w:sz w:val="18"/>
          <w:szCs w:val="18"/>
          <w:color w:val="auto"/>
        </w:rPr>
        <w:t>We are also studying epetraborole for the treatment of acute melioidosis. We completed enrollment in a 200-patient observational trial (non-epetraborole treatment) in October 2024 and expect to announce topline data in the second half of 2025. These data will inform a Phase 2 proof of concept study that is planned to initiate start up activities in the second half of 2025. Melioidosis is a deadly bacterial infection and global bioterrorism threat with a 90-day mortality rate of approximately 50% using standard of care (SOC) drugs ceftazidime or meropenem. The aim of the program is to meaningfully lower the expected mortality rate by dosing epetraborole on top of SOC.</w:t>
      </w:r>
    </w:p>
    <w:p>
      <w:pPr>
        <w:spacing w:after="0" w:line="17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 xml:space="preserve">Beyond epetraborole, we are conducting Phase-1-enabling studies with AN2-502998 (formerly known as AN15368), an investigational, boron-based small molecule in development for the treatment of chronic Chagas disease, and have several research programs targeting the development of novel compounds in oncology and infectious disease based on our boron chemistry platform. In October 2023, we announced an exclusive license agreement with the University of Georgia Research Foundation to advance the development of AN2-502998, originally discovered by researchers at Anacor, in close collaboration with the University of Georgia. AN2-502998 is the only compound of which we are aware to have demonstrated curative activity in preclinical studies across multiple species, including in non-human primates with long-term, naturally acquired chronic infections of diverse </w:t>
      </w:r>
      <w:r>
        <w:rPr>
          <w:rFonts w:ascii="Arial" w:cs="Arial" w:eastAsia="Arial" w:hAnsi="Arial"/>
          <w:sz w:val="18"/>
          <w:szCs w:val="18"/>
          <w:i w:val="1"/>
          <w:iCs w:val="1"/>
          <w:color w:val="auto"/>
        </w:rPr>
        <w:t>T. cruzi</w:t>
      </w:r>
      <w:r>
        <w:rPr>
          <w:rFonts w:ascii="Arial" w:cs="Arial" w:eastAsia="Arial" w:hAnsi="Arial"/>
          <w:sz w:val="18"/>
          <w:szCs w:val="18"/>
          <w:color w:val="auto"/>
        </w:rPr>
        <w:t xml:space="preserve"> genetic types. We anticipate initiating a Phase 1 study in 2025. We also anticipate 1 to 2 new development candidates in oncology in 2025.</w:t>
      </w:r>
    </w:p>
    <w:p>
      <w:pPr>
        <w:spacing w:after="0" w:line="180"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In August 2024, we also announced a reduction of approximately 50% of our workforce, which was approved by the Board in connection with our restructuring following discontinuation of the EBO-301 study and to further extend our operating capital. In connection with the workforce reduction, we recognized severance and other charges of $2.2 million, primarily consisting of severance payments and other employee termination-related expenses.</w:t>
      </w:r>
    </w:p>
    <w:p>
      <w:pPr>
        <w:spacing w:after="0" w:line="17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have incurred significant operating losses to date. We expect that our operating expenses will increase significantly as we advance our current and future product candidates through preclinical, nonclinical, and clinical development, seek regulatory approval, and prepare for and, if approved, proceed to commercialization; acquire, discover, validate, and develop additional product candidates; obtain, maintain, protect and enforce our intellectual property portfolio; hire additional personnel; and incur costs associated with operating as a public company.</w:t>
      </w:r>
    </w:p>
    <w:p>
      <w:pPr>
        <w:spacing w:after="0" w:line="17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do not have any products approved for sale and have not generated any revenue since inception. Our net losses were $51.3 million and $64.7 million for the years ended December 31, 2024 and 2023, respectively. As of December 31, 2024, we had an accumulated deficit of $205.8 million. We have funded our operations from the sale and issuance of redeemable convertible preferred stock, proceeds from our initial public offering (“IPO”), “at-the-market” equity offering program (“ATM Offering”) and an underwritten offering (the “Underwritten Offering”). From November 2019 through October 2020, we raised an aggregate of $12.0 million from the sale of Series A redeemable convertible preferred stock. In March 2021, we raised an aggregate of $80.0 million from the sale of Series B redeemable convertible preferred stock. In March and April 2022, we completed our IPO, with gross proceeds of $79.4 million and net proceeds of $70.4 million, net of underwriting discounts, commissions and offering expenses. In June 2023, we raised gross proceeds of $20.0 million from the ATM Offering and net proceeds of $19.1 million, after deducting commissions and offering expenses. In August 2023, we raised gross proceeds of $70.0 million from the Underwritten Offering and net proceeds of $65.5 million, after deducting commissions and offering expenses.</w:t>
      </w:r>
    </w:p>
    <w:p>
      <w:pPr>
        <w:spacing w:after="0" w:line="180"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As of December 31, 2024, we had cash, cash equivalents and investments of $88.6 million. We believe that our available cash will be sufficient to fund our planned operations through at least twelve months following the date of this Form 10-K.</w:t>
      </w:r>
    </w:p>
    <w:p>
      <w:pPr>
        <w:spacing w:after="0" w:line="154"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Our ability to generate product revenue will depend on the successful development, regulatory approval and eventual commercialization of one or more of our product candidates. Until such time as we can generate revenue from our product sales, if ever, we expect to finance our operations through private or public equity or debt financings, collaborative or other arrangements with corporate sources, non-dilutive financing,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firstLine="509"/>
        <w:spacing w:after="0" w:line="244" w:lineRule="auto"/>
        <w:rPr>
          <w:sz w:val="20"/>
          <w:szCs w:val="20"/>
          <w:color w:val="auto"/>
        </w:rPr>
      </w:pPr>
      <w:r>
        <w:rPr>
          <w:rFonts w:ascii="Arial" w:cs="Arial" w:eastAsia="Arial" w:hAnsi="Arial"/>
          <w:sz w:val="18"/>
          <w:szCs w:val="18"/>
          <w:color w:val="auto"/>
        </w:rPr>
        <w:t>We plan to continue to use third-party service providers, including outside research laboratories, clinical research organizations (“CROs”), and contract manufacturing organizations (“CMOs”), to carry out our preclinical, nonclinical and clinical development, and to manufacture and supply the materials to be used during the development and commercialization of our product candidates. We do not currently have a sales force. If we obtain regulatory approval for any of our product candidates, we intend to hire and deploy a specialty sales force, which will increase our operating costs.</w:t>
      </w:r>
    </w:p>
    <w:p>
      <w:pPr>
        <w:spacing w:after="0" w:line="17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Due to ongoing developments in our business and clinical development and regulatory efforts, among other factors, our results of operations may vary substantially from year to year and from quarter to quarter and, as a result, we believe that period to period comparisons of our operating results may not be meaningful and should not be relied upon as being indicative of our future performance. For more information on the risks and uncertainties associated with our business and our clinical development and regulatory efforts, among other factors, see “Part I Item 1A—Risk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Substantially all of our research and development expenses consist of expenses incurred in connection with the development of our initial product candidate, epetraborole, and other product candidates. These expenses include fees incurred under arrangements with third parties, including CROs, CMOs, preclinical and nonclinical testing organizations, and academic and non-profit institutions. Research and development expenses also include consulting fees, license fees, payroll and personnel-related expenses, including salaries and bonuses, payroll taxes, employee benefit costs and non-cash stock-based compensation for our research and development employees. We expense both internal and external research and development expenses as they are incurred.</w:t>
      </w:r>
    </w:p>
    <w:p>
      <w:pPr>
        <w:spacing w:after="0" w:line="17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expect our research and development expenses to increase substantially in the future, as we advance our product candidates into and through clinical trials and pursue regulatory approval. The process of conducting the necessary clinical studies to obtain regulatory approval is costly and time-consuming. Clinical studies generally become larger and more costly to conduct as they advance into later stages and we are required to make estimates for expense accruals related to clinical study expenses, which involve a degree of estimation. The successful development of our product candidates is highly uncertain. The actual probability of success for our product candidates may be affected by a variety of risks and uncertainties associated with drug development, including those set forth in the section of this Form 10-K titled “Risk Factors.” At this time, we cannot reasonably estimate the nature, timing or costs required to complete the remaining development of our current or any future product candidates. As a result of these uncertainties, we are unable to determine the duration and completion costs of our research and development projects or when and to what extent we will generate revenue from the commercialization and sale of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 xml:space="preserve">Our general and administrative expenses consist primarily of payroll and personnel-related expenses, including salaries and bonuses, payroll taxes, employee benefit costs, and non-cash stock-based compensation. Other general and administrative expenses include legal costs of pursuing patent protection of our intellectual property, and professional service fees for auditing, tax, general legal services, and other external consulting and vendor services. We expect our general and administrative expenses to continue to increase in the future, including expenses related to legal, accounting, regulatory, and tax-related services associated with maintaining compliance with requirements of the </w:t>
      </w:r>
      <w:r>
        <w:rPr>
          <w:rFonts w:ascii="Arial" w:cs="Arial" w:eastAsia="Arial" w:hAnsi="Arial"/>
          <w:sz w:val="18"/>
          <w:szCs w:val="18"/>
          <w:color w:val="333333"/>
        </w:rPr>
        <w:t>Nasdaq Global Select Market</w:t>
      </w:r>
      <w:r>
        <w:rPr>
          <w:rFonts w:ascii="Arial" w:cs="Arial" w:eastAsia="Arial" w:hAnsi="Arial"/>
          <w:sz w:val="18"/>
          <w:szCs w:val="18"/>
          <w:color w:val="auto"/>
        </w:rPr>
        <w:t xml:space="preserve"> and the Securities and Exchange Commission ("SEC"), directors and officers liability insurance premiums, and investor relations activities.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restructuring charges consist primarily of employee severance payments and other employee termination-related expenses.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income and investment income earned on our cash, cash equivalents, and investments.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Other Income</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consists of income associated with foreign currency fluctuations.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2024 and 2023</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significant components of our results of operations: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60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5"/>
          </w:tcPr>
          <w:p>
            <w:pPr>
              <w:jc w:val="right"/>
              <w:ind w:right="352"/>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149"/>
        </w:trPr>
        <w:tc>
          <w:tcPr>
            <w:tcW w:w="3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60"/>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40,488</w:t>
            </w:r>
          </w:p>
        </w:tc>
        <w:tc>
          <w:tcPr>
            <w:tcW w:w="560" w:type="dxa"/>
            <w:vAlign w:val="bottom"/>
            <w:gridSpan w:val="2"/>
          </w:tcPr>
          <w:p>
            <w:pPr>
              <w:jc w:val="right"/>
              <w:ind w:right="199"/>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54,871</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(14,383 )</w:t>
            </w:r>
          </w:p>
        </w:tc>
        <w:tc>
          <w:tcPr>
            <w:tcW w:w="0" w:type="dxa"/>
            <w:vAlign w:val="bottom"/>
          </w:tcPr>
          <w:p>
            <w:pPr>
              <w:spacing w:after="0"/>
              <w:rPr>
                <w:sz w:val="1"/>
                <w:szCs w:val="1"/>
                <w:color w:val="auto"/>
              </w:rPr>
            </w:pPr>
          </w:p>
        </w:tc>
      </w:tr>
      <w:tr>
        <w:trPr>
          <w:trHeight w:val="203"/>
        </w:trPr>
        <w:tc>
          <w:tcPr>
            <w:tcW w:w="3600" w:type="dxa"/>
            <w:vAlign w:val="bottom"/>
          </w:tcPr>
          <w:p>
            <w:pPr>
              <w:ind w:left="26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7"/>
                <w:szCs w:val="17"/>
                <w:color w:val="auto"/>
              </w:rPr>
            </w:pPr>
          </w:p>
        </w:tc>
        <w:tc>
          <w:tcPr>
            <w:tcW w:w="12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14,066</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14,764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(698 )</w:t>
            </w:r>
          </w:p>
        </w:tc>
        <w:tc>
          <w:tcPr>
            <w:tcW w:w="0" w:type="dxa"/>
            <w:vAlign w:val="bottom"/>
          </w:tcPr>
          <w:p>
            <w:pPr>
              <w:spacing w:after="0"/>
              <w:rPr>
                <w:sz w:val="1"/>
                <w:szCs w:val="1"/>
                <w:color w:val="auto"/>
              </w:rPr>
            </w:pPr>
          </w:p>
        </w:tc>
      </w:tr>
      <w:tr>
        <w:trPr>
          <w:trHeight w:val="221"/>
        </w:trPr>
        <w:tc>
          <w:tcPr>
            <w:tcW w:w="3600" w:type="dxa"/>
            <w:vAlign w:val="bottom"/>
          </w:tcPr>
          <w:p>
            <w:pPr>
              <w:ind w:left="26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2,234</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196"/>
        </w:trPr>
        <w:tc>
          <w:tcPr>
            <w:tcW w:w="3600" w:type="dxa"/>
            <w:vAlign w:val="bottom"/>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56,788</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69,635</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(12,847 )</w:t>
            </w:r>
          </w:p>
        </w:tc>
        <w:tc>
          <w:tcPr>
            <w:tcW w:w="0" w:type="dxa"/>
            <w:vAlign w:val="bottom"/>
          </w:tcPr>
          <w:p>
            <w:pPr>
              <w:spacing w:after="0"/>
              <w:rPr>
                <w:sz w:val="1"/>
                <w:szCs w:val="1"/>
                <w:color w:val="auto"/>
              </w:rPr>
            </w:pPr>
          </w:p>
        </w:tc>
      </w:tr>
      <w:tr>
        <w:trPr>
          <w:trHeight w:val="177"/>
        </w:trPr>
        <w:tc>
          <w:tcPr>
            <w:tcW w:w="3600" w:type="dxa"/>
            <w:vAlign w:val="bottom"/>
          </w:tcPr>
          <w:p>
            <w:pPr>
              <w:spacing w:after="0" w:line="177" w:lineRule="exact"/>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Arial" w:cs="Arial" w:eastAsia="Arial" w:hAnsi="Arial"/>
                <w:sz w:val="18"/>
                <w:szCs w:val="18"/>
                <w:color w:val="auto"/>
              </w:rPr>
              <w:t>(56,788 )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spacing w:after="0" w:line="177" w:lineRule="exact"/>
              <w:rPr>
                <w:sz w:val="20"/>
                <w:szCs w:val="20"/>
                <w:color w:val="auto"/>
              </w:rPr>
            </w:pPr>
            <w:r>
              <w:rPr>
                <w:rFonts w:ascii="Arial" w:cs="Arial" w:eastAsia="Arial" w:hAnsi="Arial"/>
                <w:sz w:val="18"/>
                <w:szCs w:val="18"/>
                <w:color w:val="auto"/>
              </w:rPr>
              <w:t>(69,635 )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32"/>
              <w:spacing w:after="0" w:line="177" w:lineRule="exact"/>
              <w:rPr>
                <w:sz w:val="20"/>
                <w:szCs w:val="20"/>
                <w:color w:val="auto"/>
              </w:rPr>
            </w:pPr>
            <w:r>
              <w:rPr>
                <w:rFonts w:ascii="Arial" w:cs="Arial" w:eastAsia="Arial" w:hAnsi="Arial"/>
                <w:sz w:val="18"/>
                <w:szCs w:val="18"/>
                <w:color w:val="auto"/>
              </w:rPr>
              <w:t>12,847</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12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5,467</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4,860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1"/>
        </w:trPr>
        <w:tc>
          <w:tcPr>
            <w:tcW w:w="360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196"/>
        </w:trPr>
        <w:tc>
          <w:tcPr>
            <w:tcW w:w="360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(51,321 )</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199"/>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(64,732 )</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13,411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-1207770</wp:posOffset>
            </wp:positionV>
            <wp:extent cx="641223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-950595</wp:posOffset>
            </wp:positionV>
            <wp:extent cx="641223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-419735</wp:posOffset>
            </wp:positionV>
            <wp:extent cx="641223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-153670</wp:posOffset>
            </wp:positionV>
            <wp:extent cx="641223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6350</wp:posOffset>
            </wp:positionV>
            <wp:extent cx="1028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4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(26 %)</w:t>
      </w:r>
    </w:p>
    <w:p>
      <w:pPr>
        <w:spacing w:after="0" w:line="14"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(5 %)</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100 %</w:t>
      </w:r>
    </w:p>
    <w:p>
      <w:pPr>
        <w:spacing w:after="0" w:line="5"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(18 %)</w:t>
      </w:r>
    </w:p>
    <w:p>
      <w:pPr>
        <w:jc w:val="right"/>
        <w:ind w:right="580"/>
        <w:spacing w:after="0" w:line="234" w:lineRule="auto"/>
        <w:rPr>
          <w:sz w:val="20"/>
          <w:szCs w:val="20"/>
          <w:color w:val="auto"/>
        </w:rPr>
      </w:pPr>
      <w:r>
        <w:rPr>
          <w:rFonts w:ascii="Arial" w:cs="Arial" w:eastAsia="Arial" w:hAnsi="Arial"/>
          <w:sz w:val="18"/>
          <w:szCs w:val="18"/>
          <w:color w:val="auto"/>
        </w:rPr>
        <w:t>(18 %)</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12 %</w:t>
      </w:r>
    </w:p>
    <w:p>
      <w:pPr>
        <w:spacing w:after="0" w:line="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(100 %)</w:t>
      </w:r>
    </w:p>
    <w:p>
      <w:pPr>
        <w:spacing w:after="0" w:line="18"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(21 %)</w:t>
      </w:r>
    </w:p>
    <w:p>
      <w:pPr>
        <w:spacing w:after="0" w:line="630" w:lineRule="exact"/>
        <w:rPr>
          <w:sz w:val="20"/>
          <w:szCs w:val="20"/>
          <w:color w:val="auto"/>
        </w:rPr>
      </w:pPr>
    </w:p>
    <w:p>
      <w:pPr>
        <w:sectPr>
          <w:pgSz w:w="11900" w:h="16838" w:orient="portrait"/>
          <w:cols w:equalWidth="0" w:num="2">
            <w:col w:w="8940" w:space="440"/>
            <w:col w:w="1860"/>
          </w:cols>
          <w:pgMar w:left="320" w:top="1311" w:right="339" w:bottom="1440" w:gutter="0" w:footer="0" w:header="0"/>
        </w:sectPr>
      </w:pPr>
    </w:p>
    <w:p>
      <w:pPr>
        <w:ind w:right="180" w:firstLine="509"/>
        <w:spacing w:after="0" w:line="238" w:lineRule="auto"/>
        <w:rPr>
          <w:sz w:val="20"/>
          <w:szCs w:val="20"/>
          <w:color w:val="auto"/>
        </w:rPr>
      </w:pPr>
      <w:r>
        <w:rPr>
          <w:rFonts w:ascii="Arial" w:cs="Arial" w:eastAsia="Arial" w:hAnsi="Arial"/>
          <w:sz w:val="18"/>
          <w:szCs w:val="18"/>
          <w:color w:val="auto"/>
        </w:rPr>
        <w:t>Research and development expenses, including related-party research and development expenses, were $40.5 million for the year ended December 31, 2024 compared to $54.9 million for the year ended December 31, 2023. The decrease of $14.4 million was primarily due to decreases in clinical trial costs, chemistry manufacturing and controls (“CMC”) expenses, personnel-related expenses, allocated facilities and miscellaneous expenses, licensing fees, and consulting and outside services, partially offset by an increase in preclinical and research expenses. Clinical trials expenses decreased by $5.6 million due to decreased costs associated with the termination of our Phase 2/3 clinical trial in treatment refractory NTM lung disease in August 2024 and completion of our Phase 1 clinical trials in 2023. Costs related to CMC activities decreased by $4.4 million due to completion of certain activities related to epetraborole and the timing of non-dilutive funding expense offsets. Personnel-related costs decreased by $3.3 million due to our restructuring activities. Allocated facilities and miscellaneous expenses decreased by $0.9 million due to recognition of our qualified small business payroll tax credit and our non-dilutive funding expense offset. Licensing fees decreased by $0.2 million and consulting and outside services decreased by $0.1 million. These decreases were partially offset by $0.1 million increase due to the prioritization of certain research programs. During the years ended December 31, 2024 and 2023, a total reimbursement of $3.7 million and $2.5 million, respectively, of operating expenses were recognized related to our funding arrangements.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research and development expenses by type of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3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00" w:type="dxa"/>
            <w:vAlign w:val="bottom"/>
            <w:gridSpan w:val="6"/>
          </w:tcPr>
          <w:p>
            <w:pPr>
              <w:jc w:val="right"/>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Clinical trials expenses</w:t>
            </w:r>
          </w:p>
        </w:tc>
        <w:tc>
          <w:tcPr>
            <w:tcW w:w="11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15,626</w:t>
            </w:r>
          </w:p>
        </w:tc>
        <w:tc>
          <w:tcPr>
            <w:tcW w:w="4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21,200</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(5,574 )</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Personnel-related expenses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13,244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16,561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(3,317 )</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Consulting and outside services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4,707</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4,770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(63 )</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Preclinical and research study expenses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3,569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3,517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52</w:t>
            </w:r>
          </w:p>
        </w:tc>
        <w:tc>
          <w:tcPr>
            <w:tcW w:w="14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Chemistry manufacturing and controls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2,909</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7,316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(4,407 )</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Other expenses</w:t>
            </w:r>
          </w:p>
        </w:tc>
        <w:tc>
          <w:tcPr>
            <w:tcW w:w="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433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1,507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(1,074 )</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1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research and development expenses</w:t>
            </w:r>
          </w:p>
        </w:tc>
        <w:tc>
          <w:tcPr>
            <w:tcW w:w="9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15"/>
              <w:spacing w:after="0" w:line="182" w:lineRule="exact"/>
              <w:rPr>
                <w:sz w:val="20"/>
                <w:szCs w:val="20"/>
                <w:color w:val="auto"/>
              </w:rPr>
            </w:pPr>
            <w:r>
              <w:rPr>
                <w:rFonts w:ascii="Arial" w:cs="Arial" w:eastAsia="Arial" w:hAnsi="Arial"/>
                <w:sz w:val="18"/>
                <w:szCs w:val="18"/>
                <w:color w:val="auto"/>
              </w:rPr>
              <w:t>40,488</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ind w:right="12"/>
              <w:spacing w:after="0" w:line="182" w:lineRule="exact"/>
              <w:rPr>
                <w:sz w:val="20"/>
                <w:szCs w:val="20"/>
                <w:color w:val="auto"/>
              </w:rPr>
            </w:pPr>
            <w:r>
              <w:rPr>
                <w:rFonts w:ascii="Arial" w:cs="Arial" w:eastAsia="Arial" w:hAnsi="Arial"/>
                <w:sz w:val="18"/>
                <w:szCs w:val="18"/>
                <w:color w:val="auto"/>
              </w:rPr>
              <w:t>54,871</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(14,383 )</w:t>
            </w:r>
          </w:p>
        </w:tc>
        <w:tc>
          <w:tcPr>
            <w:tcW w:w="14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(26 %)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-890905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-873760</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-890905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-873760</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-890905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-873760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General and administrative expenses were $14.1 million for the year ended December 31, 2024 compared to $14.8 million for the year ended December 31, 2023. The decrease of $0.7 million was primarily attributable to $0.4 million decrease in professional services expenses, $0.4 million decrease in facilities and miscellaneous expenses and $0.2 million decrease in D&amp;O insurance expenses. These decreases were partially offset by $0.3 million increase in personnel related expenses, primarily related to stock-based compensation expense.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0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Restructuring charges were $2.2 million for the year ended December 31, 2024 consisting of severance payments and other employee termination-related expenses. We had no restructuring charges for the year ended December 31, 2023.</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Interest Income was $5.5 million for the year ended December 31, 2024 compared to $4.9 million for the year ended December 31, 2023. The increase of $0.6 million was due to higher interest rates despite lower cash, cash equivalents and short and long-term investment balances in 2024 as compared to 2023.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2"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We have incurred net losses since our inception. For the years ended December 31, 2024 and 2023, we had net losses of $51.3 million and $64.7 million, respectively, and we expect to incur substantial additional losses in future periods. As of December 31, 2024, we had an accumulated deficit of $205.8 million. As of December 31, 2024, we had cash, cash equivalents, short-term investments and long-term investments of $88.6 million. Based on our current business plan, we believe that our available cash will be sufficient to fund our planned operations for at least 12 months following the date of this Form 10-K.</w:t>
      </w:r>
    </w:p>
    <w:p>
      <w:pPr>
        <w:spacing w:after="0" w:line="176"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To date, we have funded our operations primarily through our Underwritten Offering, ATM Offering, IPO and private placements of our then existing redeemable convertible preferred stock. In August 2023, we generated approximately $65.5 million from the Underwritten Offering, after deducting commissions and offering expenses. In June 2023, we generated approximately $19.1 million in net proceeds from the ATM Offering, after deducting commissions and offering expenses. In March and April 2022, we generated aggregate net proceeds of approximately $70.4 million from our IPO, after deducting underwriting discounts and commissions and offering expenses. Prior to our IPO, we raised $91.6 million from the issuance of our redeemable convertible preferred stock. Upon the closing of our IPO, all outstanding shares of our then existing redeemable convertible preferred stock were converted into shares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do not have any products approved for sale, and we have never generated any revenue from contracts with customers. We do not expect to generate any meaningful revenue unless and until we obtain regulatory approval for and commercialize any of our current and future product candidates and we do not know when, or if, those events will occur. Historically, we have incurred operating losses and negative cash flows as a result of ongoing efforts to develop our initial drug product candidate, epetraborole, including conducting ongoing preclinical and nonclinical studies, clinical trials, registration API and drug product materials manufacturing, and providing general and administrative support for these operations. We expect our negative cash flows to increase significantly over the next several years as we advance our product candidates through clinical development, seek regulatory approval, prepare for and, if approved, proceed to commercialization, and continue our research and development efforts. We are subject to all the risks typically related to the development of new product candidates, and we may encounter unforeseen expenses, difficulties, complications, delays, and other unknown factors that may adversely affect our business. Moreover, we expect to continue to incur costs associated with operating as a public company. We anticipate that we will need substantial additional funding in connection with our continuing operations, as we do not expect positive cash flows from operations in the foreseeable future.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82" w:name="page83"/>
    <w:bookmarkEnd w:id="82"/>
    <w:p>
      <w:pPr>
        <w:ind w:firstLine="509"/>
        <w:spacing w:after="0" w:line="238" w:lineRule="auto"/>
        <w:rPr>
          <w:sz w:val="20"/>
          <w:szCs w:val="20"/>
          <w:color w:val="auto"/>
        </w:rPr>
      </w:pPr>
      <w:r>
        <w:rPr>
          <w:rFonts w:ascii="Arial" w:cs="Arial" w:eastAsia="Arial" w:hAnsi="Arial"/>
          <w:sz w:val="18"/>
          <w:szCs w:val="18"/>
          <w:color w:val="auto"/>
        </w:rPr>
        <w:t>Until we can generate a sufficient amount of revenue from the commercialization of our product candidates, if ever, we expect to finance our future cash needs through public or private equity offerings or debt financings.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current or future product candidates. If we raise additional funds by issuing equity or convertible debt securities, it could result in dilution to our existing stockholders and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candidates or grant licenses on terms that are not favorable to us. Any of the foregoing could significantly harm our business, financial condition, results of operations, and prospects.</w:t>
      </w:r>
    </w:p>
    <w:p>
      <w:pPr>
        <w:spacing w:after="0" w:line="183"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product candidates, we are unable to estimate the exact amount of our operating capital requirements. Our future capital requirements depend on many factors, including:</w:t>
      </w:r>
    </w:p>
    <w:p>
      <w:pPr>
        <w:spacing w:after="0" w:line="66" w:lineRule="exact"/>
        <w:rPr>
          <w:sz w:val="20"/>
          <w:szCs w:val="20"/>
          <w:color w:val="auto"/>
        </w:rPr>
      </w:pPr>
    </w:p>
    <w:p>
      <w:pPr>
        <w:ind w:left="1020" w:right="2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rate of progress, results and costs of our preclinical and nonclinical development activities and clinical trials for our current and future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the costs involved in, obtaining regulatory approvals for our drug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enrollment of any future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and costs of development and commercial manufacturing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our product candidates that we successfully commercialize;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building a specialty sales force in anticipation of product commercialization;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commercialization activities, including building a commercial infrastructure, marketing, sales, and distribution costs;</w:t>
      </w:r>
    </w:p>
    <w:p>
      <w:pPr>
        <w:spacing w:after="0" w:line="116" w:lineRule="exact"/>
        <w:rPr>
          <w:rFonts w:ascii="Times New Roman" w:cs="Times New Roman" w:eastAsia="Times New Roman" w:hAnsi="Times New Roman"/>
          <w:sz w:val="18"/>
          <w:szCs w:val="18"/>
          <w:color w:val="auto"/>
        </w:rPr>
      </w:pPr>
    </w:p>
    <w:p>
      <w:pPr>
        <w:jc w:val="both"/>
        <w:ind w:left="1020" w:right="260" w:hanging="503"/>
        <w:spacing w:after="0" w:line="252"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securities class action, product liability or other lawsuits related to our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expenses needed to attract, hire, and retain skilled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implementation of operational, financial, and management systems;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ongoing costs associated with being a public company;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amount of sales of any future approved products, if any.</w:t>
      </w:r>
    </w:p>
    <w:p>
      <w:pPr>
        <w:spacing w:after="0" w:line="22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 change in the outcome of any of these or other variables with respect to the development of any of our current and future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Any future debt financing into which we enter may impose upon us additional covenants that restrict our operations, including limitation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3" w:name="page84"/>
    <w:bookmarkEnd w:id="83"/>
    <w:p>
      <w:pPr>
        <w:ind w:right="80" w:firstLine="509"/>
        <w:spacing w:after="0" w:line="242" w:lineRule="auto"/>
        <w:rPr>
          <w:sz w:val="20"/>
          <w:szCs w:val="20"/>
          <w:color w:val="auto"/>
        </w:rPr>
      </w:pPr>
      <w:r>
        <w:rPr>
          <w:rFonts w:ascii="Arial" w:cs="Arial" w:eastAsia="Arial" w:hAnsi="Arial"/>
          <w:sz w:val="18"/>
          <w:szCs w:val="18"/>
          <w:color w:val="auto"/>
        </w:rPr>
        <w:t>Adequate funding may not be available to us on acceptable terms or at all. Our failure to raise capital as and when needed could have a negative impact on our financial condition and ability to pursue our business strategies. If we are unable to raise additional funds when needed, we may be required to delay, reduce or terminate some or all of our development programs and clinical trials or we may also be required to terminate rights to future product candidates.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179"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See the section titled “Risk Factors” in Part I, Item 1A of this Annual Report on Form 10-K for additional risks associated with our substantial capital requirements.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Statements of Cash Flows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primary sources and uses of cash:</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r>
      <w:tr>
        <w:trPr>
          <w:trHeight w:val="171"/>
        </w:trPr>
        <w:tc>
          <w:tcPr>
            <w:tcW w:w="6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55"/>
        </w:trPr>
        <w:tc>
          <w:tcPr>
            <w:tcW w:w="68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2023</w:t>
            </w:r>
          </w:p>
        </w:tc>
      </w:tr>
      <w:tr>
        <w:trPr>
          <w:trHeight w:val="156"/>
        </w:trPr>
        <w:tc>
          <w:tcPr>
            <w:tcW w:w="6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center"/>
              <w:ind w:left="559"/>
              <w:spacing w:after="0" w:line="155"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3"/>
                <w:szCs w:val="13"/>
                <w:color w:val="auto"/>
              </w:rPr>
            </w:pPr>
          </w:p>
        </w:tc>
      </w:tr>
      <w:tr>
        <w:trPr>
          <w:trHeight w:val="203"/>
        </w:trPr>
        <w:tc>
          <w:tcPr>
            <w:tcW w:w="6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used in operating activities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(49,257 )</w:t>
            </w:r>
          </w:p>
        </w:tc>
        <w:tc>
          <w:tcPr>
            <w:tcW w:w="62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(53,288 )</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Cash provided by (used in) investing activities</w:t>
            </w:r>
          </w:p>
        </w:tc>
        <w:tc>
          <w:tcPr>
            <w:tcW w:w="340" w:type="dxa"/>
            <w:vAlign w:val="bottom"/>
          </w:tcPr>
          <w:p>
            <w:pPr>
              <w:spacing w:after="0"/>
              <w:rPr>
                <w:sz w:val="17"/>
                <w:szCs w:val="17"/>
                <w:color w:val="auto"/>
              </w:rPr>
            </w:pPr>
          </w:p>
        </w:tc>
        <w:tc>
          <w:tcPr>
            <w:tcW w:w="11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54,589</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(43,278 )</w:t>
            </w:r>
          </w:p>
        </w:tc>
      </w:tr>
      <w:tr>
        <w:trPr>
          <w:trHeight w:val="203"/>
        </w:trPr>
        <w:tc>
          <w:tcPr>
            <w:tcW w:w="6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372</w:t>
            </w:r>
          </w:p>
        </w:tc>
        <w:tc>
          <w:tcPr>
            <w:tcW w:w="1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84,994</w:t>
            </w:r>
          </w:p>
        </w:tc>
      </w:tr>
      <w:tr>
        <w:trPr>
          <w:trHeight w:val="196"/>
        </w:trPr>
        <w:tc>
          <w:tcPr>
            <w:tcW w:w="6880" w:type="dxa"/>
            <w:vAlign w:val="bottom"/>
          </w:tcPr>
          <w:p>
            <w:pPr>
              <w:spacing w:after="0" w:line="182" w:lineRule="exact"/>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line="182" w:lineRule="exact"/>
              <w:rPr>
                <w:sz w:val="20"/>
                <w:szCs w:val="20"/>
                <w:color w:val="auto"/>
              </w:rPr>
            </w:pPr>
            <w:r>
              <w:rPr>
                <w:rFonts w:ascii="Arial" w:cs="Arial" w:eastAsia="Arial" w:hAnsi="Arial"/>
                <w:sz w:val="18"/>
                <w:szCs w:val="18"/>
                <w:color w:val="auto"/>
              </w:rPr>
              <w:t>5,704</w:t>
            </w:r>
          </w:p>
        </w:tc>
        <w:tc>
          <w:tcPr>
            <w:tcW w:w="620" w:type="dxa"/>
            <w:vAlign w:val="bottom"/>
            <w:gridSpan w:val="2"/>
          </w:tcPr>
          <w:p>
            <w:pPr>
              <w:jc w:val="right"/>
              <w:ind w:right="34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(11,572 )</w:t>
            </w:r>
          </w:p>
        </w:tc>
      </w:tr>
      <w:tr>
        <w:trPr>
          <w:trHeight w:val="20"/>
        </w:trPr>
        <w:tc>
          <w:tcPr>
            <w:tcW w:w="6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-162560</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02"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Net cash used in operating activities was $49.3 million for the year ended December 31, 2024, which consisted of a net loss of $51.3 million, primarily due to the use of funds to develop our product candidates, and a net decrease of $3.0 million in our net operating assets and liabilities offset by a net increase of $5.0 million in non-cash charges. The net decrease in our operating assets and liabilities was primarily due to a decrease of $4.5 million in accrued compensation and accrued liabilities due to a decrease in accrued research and development expenses, partially offset by an increase of $0.8 million in prepaid expenses and other current assets, an increase of $0.6 million in accounts payable and an increase of $0.1 million in other current liabilities. The non-cash charges consisted of stock-based compensation expense of $8.3 million, partially offset by net accretion of discounts on investments of $3.3 million.</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Net cash used in operating activities was $53.3 million for the year ended December 31, 2023, which consisted of a net loss of $ 64.7 million, due to the use of funds to develop our initial drug product candidate offset by a net increase of $5.8 million in our net operating assets and liabilities and $5.6 million in non-cash charges. The net increase in our operating assets and liabilities was primarily due to an increase of $6.2 million in accounts payable, accrued compensation and accrued liabilities due to an increase in accrued research and development expenses, and an increase of $0.7 million in other current liabilities, partially offset by a decrease of $1.0 million in prepaid expenses and other current assets and a decrease of $0.1 million in operating lease liabilities. The non-cash charges consisted of stock-based compensation expense of $8.4 million and non-cash operating lease expense of $0.1 million, partially offset by net accretion of discounts on investments of $2.9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0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Net cash provided by investing activities was $54.6 million for the year ended December 31, 2024, which primarily consisted of $101.3 million in proceeds from maturities of investments, partially offset by $46.7 million in purchases of investments.</w:t>
      </w:r>
    </w:p>
    <w:p>
      <w:pPr>
        <w:spacing w:after="0" w:line="154"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Net cash used in investing activities was $43.3 million for the year ended December 31, 2023, which primarily consisted of $132.2 million in purchases of investments, partially offset by $88.9 million in proceeds from maturities of investments.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02"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Net cash provided by financing activities was $0.4 million for the year ended December 31, 2024, which primarily consisted of net proceeds from the issuance of common stock under the ESPP and from the exercises of stock options.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360" w:firstLine="509"/>
        <w:spacing w:after="0" w:line="271" w:lineRule="auto"/>
        <w:rPr>
          <w:sz w:val="20"/>
          <w:szCs w:val="20"/>
          <w:color w:val="auto"/>
        </w:rPr>
      </w:pPr>
      <w:r>
        <w:rPr>
          <w:rFonts w:ascii="Arial" w:cs="Arial" w:eastAsia="Arial" w:hAnsi="Arial"/>
          <w:sz w:val="18"/>
          <w:szCs w:val="18"/>
          <w:color w:val="auto"/>
        </w:rPr>
        <w:t>Net cash provided by financing activities was $85.0 million for the year ended December 31, 2023, which primarily consisted of net proceeds from the issuance of common stock in our Underwritten Offering and ATM Offering.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November 2019, we entered into an exclusive worldwide license agreement with Anacor for certain compounds and other intellectual property controlled by Anacor for the treatment, diagnosis, or prevention of disease. In exchange for the worldwide, sublicensable, exclusive right and licenses to develop, manufacture, and commercialize the specified compounds, we paid Anacor a $2.0 million upfront payment in November 2019 and issued Anacor shares of our Series A redeemable convertible preferred stock. We agreed to make further payments to Anacor upon achievement of various development milestones for an aggregate maximum payment of $ 2.0 million,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We also agreed to pay Anacor sales royalties as a percentage of net sales ranging from single to mid-teens.</w:t>
      </w:r>
    </w:p>
    <w:p>
      <w:pPr>
        <w:spacing w:after="0" w:line="180"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We enter into contracts in the normal course of business with third-party contract organizations for preclinical and nonclinical studies and clinical trials, manufacture and supply of our preclinical, nonclinical, clinical trial, and other services and products used for operating purposes. These contracts generally provide for termination following a certain period after notice, and therefore we believe that our non-cancelable obligations under these agreements are not material.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Judgements, and Use of Estimates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(“U.S.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judgements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judgements and estimates. While our significant accounting policies are described in more detail in Part I, Note 2—Basis of Presentation and Summary of Significant Accounting Policies to our financial statements appearing elsewhere in this Form 10-K, we believe that the following accounting policies are those most critical to the judgments and estimates used in the preparation of our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have entered into various agreements with CMOs and CROs. We record research and development expenses to operations as incurred. Research and development expenses represent costs incurred by us for the discovery and development of our product candidates and the development of our technology and include: internal research and development expense, including employee-related expenses (such as salaries, bonus, benefits, travel and non-cash stock-based compensation expense); external research and development expenses incurred under arrangements with third parties, such as CROs, preclinical testing organizations, CMOs, academic and non-profit institutions and consultants; related-party milestone payments; license fees; and other expenses. Costs to develop our technologies are recorded as research and development expense as incurred.</w:t>
      </w:r>
    </w:p>
    <w:p>
      <w:pPr>
        <w:spacing w:after="0" w:line="185"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We record the estimated expenses of research and development activities conducted by third-party service providers based upon the estimated level of services performed, progress of the studies, including the receipt of deliverables or completion of agreed-upon events, and contracted costs, within research and development expense in the statements of operations and comprehensive loss. These services include the conduct of clinical, nonclinical and preclinical studies, contract manufacturing activities and consulting services.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ind w:firstLine="509"/>
        <w:spacing w:after="0"/>
        <w:rPr>
          <w:sz w:val="20"/>
          <w:szCs w:val="20"/>
          <w:color w:val="auto"/>
        </w:rPr>
      </w:pPr>
      <w:r>
        <w:rPr>
          <w:rFonts w:ascii="Arial" w:cs="Arial" w:eastAsia="Arial" w:hAnsi="Arial"/>
          <w:sz w:val="18"/>
          <w:szCs w:val="18"/>
          <w:color w:val="auto"/>
        </w:rPr>
        <w:t>Payments made to CMOs and CROs under these arrangements in advance of the performance of the related services are deferred and recognized as expense in the period in which the related goods are received or services are realized or utilized. If the costs have been prepaid, this expense reduces the prepaid expenses in the balance sheets, and if not yet invoiced, the costs are included in accrued liabilities in the balance sheets. These costs are a significant component of our research and development expenses. We record amortization of prepaid expenses or accrued expenses for these costs based on the estimated amount of work completed and in accordance with agreements established with these third parties. Such payments are evaluated for current or long-term classification based on when they will be realized. If the actual timing of the performance of services or the level of effort varies from the original estimates, we will adjust the accrual accordingly. To date, our estimated accruals have not differed materially from the actual costs.</w:t>
      </w:r>
    </w:p>
    <w:p>
      <w:pPr>
        <w:spacing w:after="0" w:line="18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Costs for certain research and development activities are recognized based on an evaluation of the progress to completion of specific tasks. We estimate the amount of work completed through discussions with internal personnel and external service providers as to the progress or stage of completion of the services and the agreed-upon fee to be paid for such services. We make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may vary from our estimates and could result in us reporting amounts that are too high or too low in any particular period. Our accrued expenses are dependent, in part, upon the receipt of timely and accurate reporting from external CROs, CMOs and other third-party service providers. To date, we have not experienced material differences between our accrued expenses and actual expenses.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use a fair value-based method to account for all stock-based compensation arrangements with employees and non-employees, which include stock options. The fair value of the option granted is recognized on a straight-line basis over the period during which an optionee is required to provide services in exchange for the option award, known as the requisite service period, which usually is the vesting period. We account for forfeitures as they occur. In determining fair value of the stock options granted, we use the Black–Scholes option pricing model, which requires the input of subjective assumptions. These assumptions include: the estimated length of time employees will retain their vested stock options before exercising them (expected term), the estimated volatility of our common stock price over the expected term (expected volatility), risk-free interest rate, and expected dividends. See Note 9—Equity Incentive Plan and Stock-Based Compensation to our audited financial statements included elsewhere in this Form 10-K for information concerning certain of the specific assumptions we used in applying the Black-Scholes option pricing model to determine the estimated fair value of our stock options granted in the years ended December 31, 2024 and 2023. Changes in the following assumptions can materially affect the estimate of fair value and ultimately how much stock-based compensation expense is recognized; and the resulting change in fair value, if any, is recognized in our statement of operations and comprehensive loss during the period the related services are rendered. These inputs are subjective and generally require significant analysis and judgment to develop.</w:t>
      </w:r>
    </w:p>
    <w:p>
      <w:pPr>
        <w:spacing w:after="0" w:line="7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Fair Value of Common Stock—See the subsection titled “Common Stock Valuations” below.</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42"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Expected Term—The expected term is calculated using the simplified method which is used when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69" w:lineRule="exact"/>
        <w:rPr>
          <w:rFonts w:ascii="Times New Roman" w:cs="Times New Roman" w:eastAsia="Times New Roman" w:hAnsi="Times New Roman"/>
          <w:sz w:val="18"/>
          <w:szCs w:val="18"/>
          <w:color w:val="auto"/>
        </w:rPr>
      </w:pPr>
    </w:p>
    <w:p>
      <w:pPr>
        <w:ind w:left="1020" w:right="60" w:hanging="503"/>
        <w:spacing w:after="0" w:line="243"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Expected Volatility—We use an average historical stock price volatility of a peer group of comparable publicly traded companies in biotechnology and pharmaceutical-related industries to be representative of our expected future stock price volatility, as we have limited trading history for our common stock. For purposes of identifying these peer companies, we consider the industry, therapeutic area, stage of development, size and financial leverage of potential comparable companies. For each grant, we measure historical volatility over a period equivalent to the expected term.</w:t>
      </w:r>
    </w:p>
    <w:p>
      <w:pPr>
        <w:spacing w:after="0" w:line="71"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Risk-Free Interest Rate—The risk-free interest rate is based on the implied yield currently available on U.S. Treasury zero-coupon issues with a remaining term equivalent to the expected term of the stock award.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ind w:left="1020" w:right="46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Expected Dividend Rate—We have not paid and do not anticipate paying any dividends in the near future. Accordingly, we estimate the dividend yield to be zero.</w:t>
      </w:r>
    </w:p>
    <w:p>
      <w:pPr>
        <w:spacing w:after="0" w:line="154"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For the years ended December 31, 2024 and 2023, there was $0.2 million and an insignificant amount of cash received upon exercise of stock options,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5"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See the section “Recently Adopted Accounting Pronouncements” in Note 2 to the Notes to Financial Statements in Part IV, Item 15 of this Annual Report on Form 10-K.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04"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JOBS Act permits an “emerging growth company” or “EGC” such as us to delay adopting new or revised accounting standards issued subsequent to the enactment of the JOBS Act until such time as those standards apply to private companies. We have elected to use this extended period for complying with new or revised accounting standards that have different effective dates for public and private companies until the earlier of the date that we (i) are no longer an EGC or (ii) 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spacing w:after="0" w:line="17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 addition, we intend to rely on other exemptions provided by the JOBS Act, including without limitation, not being required to comply with the auditor attestation requirements of Section 404(b) of the Sarbanes-Oxley Act.</w:t>
      </w:r>
    </w:p>
    <w:p>
      <w:pPr>
        <w:spacing w:after="0" w:line="154"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We will remain an EGC until the earliest to occur of: (1) the last day of our first fiscal year in which we have total annual revenues of more than $1.235 billion; (2) the date we qualify as a “large accelerated filer,” with at least $700.0 million of equity securities held by non-affiliates; (3) the date on which we have issued more than $1.0 billion in non-convertible debt securities during the prior three- year period; and (4) the last day of the fiscal year ending after the fifth anniversary of our IPO.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0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are exposed to market risk related to changes in interest rates. We had cash, cash equivalents and investments of $88.6 million as of December 31, 2024, which consisted primarily of money market funds and marketable securities, largely composed of investment grade, short and long- term fixed income securities and government securities.</w:t>
      </w:r>
    </w:p>
    <w:p>
      <w:pPr>
        <w:spacing w:after="0" w:line="16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primary objective of our investment activities is to preserve capital to fund our operations. We also seek to maximize income from our investments without assuming significant risk. To achieve our objectives, we maintain a portfolio of cash, cash equivalents, and investments in accordance with our Board-approved investment policy.</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7" w:name="page88"/>
    <w:bookmarkEnd w:id="87"/>
    <w:p>
      <w:pPr>
        <w:ind w:right="80" w:firstLine="509"/>
        <w:spacing w:after="0" w:line="247" w:lineRule="auto"/>
        <w:rPr>
          <w:sz w:val="20"/>
          <w:szCs w:val="20"/>
          <w:color w:val="auto"/>
        </w:rPr>
      </w:pPr>
      <w:r>
        <w:rPr>
          <w:rFonts w:ascii="Arial" w:cs="Arial" w:eastAsia="Arial" w:hAnsi="Arial"/>
          <w:sz w:val="18"/>
          <w:szCs w:val="18"/>
          <w:color w:val="auto"/>
        </w:rPr>
        <w:t>Our investments are subject to interest rate risk and could fall in value if market interest rates increase. A hypothetical 10% relative change in interest rates during any of the periods presented would not have had a material impact on our financial statements. We do not believe that inflation, interest rate changes or exchange rate fluctuations had a significant impact on our results of operations for any periods presented herein.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2" w:lineRule="exact"/>
        <w:rPr>
          <w:sz w:val="20"/>
          <w:szCs w:val="20"/>
          <w:color w:val="auto"/>
        </w:rPr>
      </w:pPr>
    </w:p>
    <w:p>
      <w:pPr>
        <w:jc w:val="both"/>
        <w:ind w:right="260" w:firstLine="509"/>
        <w:spacing w:after="0" w:line="253" w:lineRule="auto"/>
        <w:rPr>
          <w:sz w:val="20"/>
          <w:szCs w:val="20"/>
          <w:color w:val="auto"/>
        </w:rPr>
      </w:pPr>
      <w:r>
        <w:rPr>
          <w:rFonts w:ascii="Arial" w:cs="Arial" w:eastAsia="Arial" w:hAnsi="Arial"/>
          <w:sz w:val="18"/>
          <w:szCs w:val="18"/>
          <w:color w:val="auto"/>
        </w:rPr>
        <w:t>A small portion of our expenses are denominated in foreign currencies. Future fluctuations in the value of the U.S. Dollar may affect the price we pay for services performed outside the United States. We were not exposed to material foreign currency risk during the year ended December 31, 2024.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02"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Inflation generally affects us by increasing our cost of labor and operating costs including clinical trial, non-clinical study and manufacturing costs. We believe that inflation has not had a material effect on our financial statements included elsewhere in this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4"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The financial statements and related financial statement schedules required to be filed are listed in Part IV, Item 15 of this Annual Report on Form 10-K.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Form 10-K.</w:t>
      </w:r>
    </w:p>
    <w:p>
      <w:pPr>
        <w:spacing w:after="0" w:line="16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CEO and CFO,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Our CEO and CFO have concluded that as of December 31, 2024, our disclosure controls and procedures were not effective due to material weaknesses in internal control over financial reporting, as described below.</w:t>
      </w:r>
    </w:p>
    <w:p>
      <w:pPr>
        <w:spacing w:after="0" w:line="15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Notwithstanding the identified material weaknesses, management, including our CEO and CFO, have determined, based on the procedures we have performed, that the financial statements included in this Annual Report on Form 10-K were prepared in accordance with U.S. GAAP.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GAAP.</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8" w:name="page89"/>
    <w:bookmarkEnd w:id="88"/>
    <w:p>
      <w:pPr>
        <w:ind w:right="40" w:firstLine="509"/>
        <w:spacing w:after="0" w:line="247" w:lineRule="auto"/>
        <w:rPr>
          <w:sz w:val="20"/>
          <w:szCs w:val="20"/>
          <w:color w:val="auto"/>
        </w:rPr>
      </w:pPr>
      <w:r>
        <w:rPr>
          <w:rFonts w:ascii="Arial" w:cs="Arial" w:eastAsia="Arial" w:hAnsi="Arial"/>
          <w:sz w:val="18"/>
          <w:szCs w:val="18"/>
          <w:color w:val="auto"/>
        </w:rPr>
        <w:t xml:space="preserve">Management has evaluated the effectiveness of our internal control over financial reporting as of December 31, 2024 using the criteria set forth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its evaluation, management has concluded that as of December 31, 2024, our internal control over financial reporting was not effective due to material weaknesses in internal control over financial reporting, as described below.</w:t>
      </w:r>
    </w:p>
    <w:p>
      <w:pPr>
        <w:spacing w:after="0" w:line="174"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During the course of preparing for our March 2022 IPO, we identified material weaknesses in our internal control over financial reporting. A material weakness is a deficiency, or a combination of deficiencies, in internal control over financial reporting such that there is a reasonable possibility that a material misstatement of its annual or interim financial statements will not be prevented or detected on a timely basis.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material weaknesses identified were as follows, and continue to exist as of December 31, 2024:</w:t>
      </w:r>
    </w:p>
    <w:p>
      <w:pPr>
        <w:spacing w:after="0" w:line="10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spacing w:after="0" w:line="75" w:lineRule="exact"/>
        <w:rPr>
          <w:rFonts w:ascii="Times New Roman" w:cs="Times New Roman" w:eastAsia="Times New Roman" w:hAnsi="Times New Roman"/>
          <w:sz w:val="18"/>
          <w:szCs w:val="18"/>
          <w:color w:val="auto"/>
        </w:rPr>
      </w:pPr>
    </w:p>
    <w:p>
      <w:pPr>
        <w:ind w:left="1020" w:right="160" w:hanging="503"/>
        <w:spacing w:after="0" w:line="246"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spacing w:after="0" w:line="17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above material weaknesses resulted in adjustments to accrued expenses balances, which were recorded prior to the issuance of the financial statements, as of and for the years ended December 31, 2019 and 2020. Additionally, these material weaknesses could result in a misstatement of substantially all of our accounts or disclosures that would result in a material misstatement to the annual or interim financial statements that would not be prevented or detected.</w:t>
      </w:r>
    </w:p>
    <w:p>
      <w:pPr>
        <w:spacing w:after="0" w:line="66" w:lineRule="exact"/>
        <w:rPr>
          <w:sz w:val="20"/>
          <w:szCs w:val="20"/>
          <w:color w:val="auto"/>
        </w:rPr>
      </w:pPr>
    </w:p>
    <w:p>
      <w:pPr>
        <w:ind w:left="1020" w:right="120" w:hanging="503"/>
        <w:spacing w:after="0" w:line="239"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86"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Attestation Report of Independent Registered Public Accounting Firm</w:t>
      </w:r>
    </w:p>
    <w:p>
      <w:pPr>
        <w:spacing w:after="0" w:line="10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This Annual Report on Form 10-K does not include an attestation report from our independent registered public accounting firm on our internal control over financial reporting due to an exemption established by the JOBS Act for EGCs.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Remediation of Prior Material Weakness</w:t>
      </w:r>
    </w:p>
    <w:p>
      <w:pPr>
        <w:spacing w:after="0" w:line="104"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Management previously identified a material weakness in the design and operating effectiveness of controls related to the accounting for certain non-routine or complex transactions, including the proper application of U.S. GAAP to such transactions. As of September 30, 2023, we finalized the design and were validating the effectiveness of controls to account for and disclose complex transactions. As of December 31, 2023, we validated the effectiveness of controls to account for and disclose complex transactions. The applicable controls have been in operation for a sufficient period of time, and management has concluded, through testing, that these controls are operating effectively. Accordingly, the material weakness associated with the accounting for certain non-routine or complex transactions, including the proper application of U.S. GAAP, was remediated as of December 31,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 for Remaining Material Weaknesses</w:t>
      </w:r>
    </w:p>
    <w:p>
      <w:pPr>
        <w:spacing w:after="0" w:line="102"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The Company is committed to remediating the material weaknesses in our internal control over financial reporting. We have implemented measures designed to improve our internal control over financial reporting to remediate these material weaknesses, and are refining the design and validating the effectiveness of these controls, including (i) ongoing hiring of additional accounting personnel; (ii) designing and implementing internal controls in our financial control environment, including establishing formal accounting policies and procedures and financial reporting controls; and (iii) implementing an accounting system upgrade with IT controls to ensure appropriate and restricted access to our accounting applications, programs, and data, including upgrading of our accounting system.</w:t>
      </w:r>
    </w:p>
    <w:p>
      <w:pPr>
        <w:spacing w:after="0" w:line="17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Other than the material weakness associated with the accounting for certain non-route or complex transactions, including the proper application of U.S. GAAP, which has been remediated, the remaining material weaknesses will not be considered remediated until the design requirements described above have been finalized, and the applicable controls have operated for a sufficient period of time and management has concluded, through testing, that these controls are operating effectively. Accordingly, the material weaknesses related to lack of sufficient resources, insufficient segregation of duties, lack of designing and maintaining formal accounting policies, procedures and controls and lack of designing and maintaining effective controls over IT, were not remediated as of December 31, 2024.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102"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year ended December 31, 2024 that materially affected, or are reasonably likely to materially affect, our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During the fourth quarter of 2024, none of our directors or officers (as defined in Section 16 of the Securities Exchange Act of 1934, as amended)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0" w:name="page91"/>
    <w:bookmarkEnd w:id="90"/>
    <w:p>
      <w:pPr>
        <w:jc w:val="center"/>
        <w:ind w:left="440"/>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after the end of our fiscal year ended December 31, 2024.</w:t>
      </w:r>
    </w:p>
    <w:p>
      <w:pPr>
        <w:spacing w:after="0" w:line="154"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We have adopted insider trading policies and procedures governing the purchase, sale and other dispositions of our securities by directors, officers and employees that are designed to promote compliance with insider trading laws, rules and regulations, and applicable Nasdaq listing standards, as well as procedures designed to further the foregoing purposes. A copy of our insider trading policy is filed with this Annual Report on Form 10-K as Exhibit 19.1.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after the end of our fiscal year ended December 31, 2024.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after the end of our fiscal year ended December 31, 2024.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after the end of our fiscal year ended December 31, 2024.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after the end of our fiscal year ended December 31, 2024.</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47"/>
        </w:trPr>
        <w:tc>
          <w:tcPr>
            <w:tcW w:w="15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5"/>
          </w:tcPr>
          <w:p>
            <w:pPr>
              <w:ind w:left="1280"/>
              <w:spacing w:after="0"/>
              <w:rPr>
                <w:sz w:val="20"/>
                <w:szCs w:val="20"/>
                <w:color w:val="auto"/>
              </w:rPr>
            </w:pPr>
            <w:r>
              <w:rPr>
                <w:rFonts w:ascii="Arial" w:cs="Arial" w:eastAsia="Arial" w:hAnsi="Arial"/>
                <w:sz w:val="18"/>
                <w:szCs w:val="18"/>
                <w:b w:val="1"/>
                <w:bCs w:val="1"/>
                <w:color w:val="auto"/>
              </w:rPr>
              <w:t>PART IV</w:t>
            </w:r>
          </w:p>
        </w:tc>
        <w:tc>
          <w:tcPr>
            <w:tcW w:w="1560" w:type="dxa"/>
            <w:vAlign w:val="bottom"/>
          </w:tcPr>
          <w:p>
            <w:pPr>
              <w:spacing w:after="0"/>
              <w:rPr>
                <w:sz w:val="21"/>
                <w:szCs w:val="21"/>
                <w:color w:val="auto"/>
              </w:rPr>
            </w:pPr>
          </w:p>
        </w:tc>
      </w:tr>
      <w:tr>
        <w:trPr>
          <w:trHeight w:val="527"/>
        </w:trPr>
        <w:tc>
          <w:tcPr>
            <w:tcW w:w="9660" w:type="dxa"/>
            <w:vAlign w:val="bottom"/>
            <w:gridSpan w:val="8"/>
          </w:tcPr>
          <w:p>
            <w:pPr>
              <w:jc w:val="center"/>
              <w:ind w:right="5440"/>
              <w:spacing w:after="0"/>
              <w:rPr>
                <w:sz w:val="20"/>
                <w:szCs w:val="20"/>
                <w:color w:val="auto"/>
              </w:rPr>
            </w:pPr>
            <w:r>
              <w:rPr>
                <w:rFonts w:ascii="Arial" w:cs="Arial" w:eastAsia="Arial" w:hAnsi="Arial"/>
                <w:sz w:val="18"/>
                <w:szCs w:val="18"/>
                <w:b w:val="1"/>
                <w:bCs w:val="1"/>
                <w:color w:val="auto"/>
                <w:w w:val="99"/>
              </w:rPr>
              <w:t>Item 15. Exhibits, Financial Statement Schedules.</w:t>
            </w:r>
          </w:p>
        </w:tc>
        <w:tc>
          <w:tcPr>
            <w:tcW w:w="1560" w:type="dxa"/>
            <w:vAlign w:val="bottom"/>
          </w:tcPr>
          <w:p>
            <w:pPr>
              <w:spacing w:after="0"/>
              <w:rPr>
                <w:sz w:val="24"/>
                <w:szCs w:val="24"/>
                <w:color w:val="auto"/>
              </w:rPr>
            </w:pPr>
          </w:p>
        </w:tc>
      </w:tr>
      <w:tr>
        <w:trPr>
          <w:trHeight w:val="303"/>
        </w:trPr>
        <w:tc>
          <w:tcPr>
            <w:tcW w:w="9660" w:type="dxa"/>
            <w:vAlign w:val="bottom"/>
            <w:gridSpan w:val="8"/>
          </w:tcPr>
          <w:p>
            <w:pPr>
              <w:ind w:left="520"/>
              <w:spacing w:after="0"/>
              <w:rPr>
                <w:sz w:val="20"/>
                <w:szCs w:val="20"/>
                <w:color w:val="auto"/>
              </w:rPr>
            </w:pPr>
            <w:r>
              <w:rPr>
                <w:rFonts w:ascii="Arial" w:cs="Arial" w:eastAsia="Arial" w:hAnsi="Arial"/>
                <w:sz w:val="18"/>
                <w:szCs w:val="18"/>
                <w:color w:val="auto"/>
              </w:rPr>
              <w:t>(a)   The following documents are filed as a part of this Annual Report:</w:t>
            </w:r>
          </w:p>
        </w:tc>
        <w:tc>
          <w:tcPr>
            <w:tcW w:w="1560" w:type="dxa"/>
            <w:vAlign w:val="bottom"/>
          </w:tcPr>
          <w:p>
            <w:pPr>
              <w:spacing w:after="0"/>
              <w:rPr>
                <w:sz w:val="24"/>
                <w:szCs w:val="24"/>
                <w:color w:val="auto"/>
              </w:rPr>
            </w:pPr>
          </w:p>
        </w:tc>
      </w:tr>
      <w:tr>
        <w:trPr>
          <w:trHeight w:val="311"/>
        </w:trPr>
        <w:tc>
          <w:tcPr>
            <w:tcW w:w="9660" w:type="dxa"/>
            <w:vAlign w:val="bottom"/>
            <w:gridSpan w:val="8"/>
          </w:tcPr>
          <w:p>
            <w:pPr>
              <w:jc w:val="center"/>
              <w:ind w:right="5420"/>
              <w:spacing w:after="0"/>
              <w:rPr>
                <w:sz w:val="20"/>
                <w:szCs w:val="20"/>
                <w:color w:val="auto"/>
              </w:rPr>
            </w:pPr>
            <w:r>
              <w:rPr>
                <w:rFonts w:ascii="Arial" w:cs="Arial" w:eastAsia="Arial" w:hAnsi="Arial"/>
                <w:sz w:val="18"/>
                <w:szCs w:val="18"/>
                <w:i w:val="1"/>
                <w:iCs w:val="1"/>
                <w:color w:val="auto"/>
              </w:rPr>
              <w:t>(1)   Financial Statements:</w:t>
            </w:r>
          </w:p>
        </w:tc>
        <w:tc>
          <w:tcPr>
            <w:tcW w:w="1560" w:type="dxa"/>
            <w:vAlign w:val="bottom"/>
          </w:tcPr>
          <w:p>
            <w:pPr>
              <w:spacing w:after="0"/>
              <w:rPr>
                <w:sz w:val="24"/>
                <w:szCs w:val="24"/>
                <w:color w:val="auto"/>
              </w:rPr>
            </w:pPr>
          </w:p>
        </w:tc>
      </w:tr>
      <w:tr>
        <w:trPr>
          <w:trHeight w:val="266"/>
        </w:trPr>
        <w:tc>
          <w:tcPr>
            <w:tcW w:w="1500" w:type="dxa"/>
            <w:vAlign w:val="bottom"/>
          </w:tcPr>
          <w:p>
            <w:pPr>
              <w:spacing w:after="0"/>
              <w:rPr>
                <w:sz w:val="23"/>
                <w:szCs w:val="23"/>
                <w:color w:val="auto"/>
              </w:rPr>
            </w:pPr>
          </w:p>
        </w:tc>
        <w:tc>
          <w:tcPr>
            <w:tcW w:w="8160" w:type="dxa"/>
            <w:vAlign w:val="bottom"/>
            <w:gridSpan w:val="7"/>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1560" w:type="dxa"/>
            <w:vAlign w:val="bottom"/>
          </w:tcPr>
          <w:p>
            <w:pPr>
              <w:ind w:left="1300"/>
              <w:spacing w:after="0"/>
              <w:rPr>
                <w:sz w:val="20"/>
                <w:szCs w:val="20"/>
                <w:color w:val="auto"/>
              </w:rPr>
            </w:pPr>
            <w:r>
              <w:rPr>
                <w:rFonts w:ascii="Arial" w:cs="Arial" w:eastAsia="Arial" w:hAnsi="Arial"/>
                <w:sz w:val="18"/>
                <w:szCs w:val="18"/>
                <w:color w:val="auto"/>
                <w:w w:val="88"/>
              </w:rPr>
              <w:t>F-2</w:t>
            </w:r>
          </w:p>
        </w:tc>
      </w:tr>
      <w:tr>
        <w:trPr>
          <w:trHeight w:val="183"/>
        </w:trPr>
        <w:tc>
          <w:tcPr>
            <w:tcW w:w="1500" w:type="dxa"/>
            <w:vAlign w:val="bottom"/>
          </w:tcPr>
          <w:p>
            <w:pPr>
              <w:spacing w:after="0"/>
              <w:rPr>
                <w:sz w:val="15"/>
                <w:szCs w:val="15"/>
                <w:color w:val="auto"/>
              </w:rPr>
            </w:pPr>
          </w:p>
        </w:tc>
        <w:tc>
          <w:tcPr>
            <w:tcW w:w="460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Balance Sheets as of December 31, 2024 and 2023</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60" w:type="dxa"/>
            <w:vAlign w:val="bottom"/>
          </w:tcPr>
          <w:p>
            <w:pPr>
              <w:ind w:left="1300"/>
              <w:spacing w:after="0" w:line="182" w:lineRule="exact"/>
              <w:rPr>
                <w:sz w:val="20"/>
                <w:szCs w:val="20"/>
                <w:color w:val="auto"/>
              </w:rPr>
            </w:pPr>
            <w:r>
              <w:rPr>
                <w:rFonts w:ascii="Arial" w:cs="Arial" w:eastAsia="Arial" w:hAnsi="Arial"/>
                <w:sz w:val="18"/>
                <w:szCs w:val="18"/>
                <w:color w:val="auto"/>
                <w:w w:val="88"/>
              </w:rPr>
              <w:t>F-3</w:t>
            </w:r>
          </w:p>
        </w:tc>
      </w:tr>
      <w:tr>
        <w:trPr>
          <w:trHeight w:val="183"/>
        </w:trPr>
        <w:tc>
          <w:tcPr>
            <w:tcW w:w="1500" w:type="dxa"/>
            <w:vAlign w:val="bottom"/>
          </w:tcPr>
          <w:p>
            <w:pPr>
              <w:spacing w:after="0"/>
              <w:rPr>
                <w:sz w:val="15"/>
                <w:szCs w:val="15"/>
                <w:color w:val="auto"/>
              </w:rPr>
            </w:pPr>
          </w:p>
        </w:tc>
        <w:tc>
          <w:tcPr>
            <w:tcW w:w="41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Statements of Operations and Comprehensive Loss</w:t>
            </w:r>
          </w:p>
        </w:tc>
        <w:tc>
          <w:tcPr>
            <w:tcW w:w="4040" w:type="dxa"/>
            <w:vAlign w:val="bottom"/>
            <w:tcBorders>
              <w:bottom w:val="single" w:sz="8" w:color="0000FF"/>
            </w:tcBorders>
            <w:gridSpan w:val="4"/>
          </w:tcPr>
          <w:p>
            <w:pPr>
              <w:ind w:left="60"/>
              <w:spacing w:after="0" w:line="182" w:lineRule="exact"/>
              <w:rPr>
                <w:sz w:val="20"/>
                <w:szCs w:val="20"/>
                <w:color w:val="auto"/>
              </w:rPr>
            </w:pPr>
            <w:r>
              <w:rPr>
                <w:rFonts w:ascii="Arial" w:cs="Arial" w:eastAsia="Arial" w:hAnsi="Arial"/>
                <w:sz w:val="18"/>
                <w:szCs w:val="18"/>
                <w:color w:val="0000FF"/>
                <w:w w:val="99"/>
              </w:rPr>
              <w:t>for the years ended December 31, 2024 and 2023</w:t>
            </w:r>
          </w:p>
        </w:tc>
        <w:tc>
          <w:tcPr>
            <w:tcW w:w="1560" w:type="dxa"/>
            <w:vAlign w:val="bottom"/>
          </w:tcPr>
          <w:p>
            <w:pPr>
              <w:ind w:left="1300"/>
              <w:spacing w:after="0" w:line="182" w:lineRule="exact"/>
              <w:rPr>
                <w:sz w:val="20"/>
                <w:szCs w:val="20"/>
                <w:color w:val="auto"/>
              </w:rPr>
            </w:pPr>
            <w:r>
              <w:rPr>
                <w:rFonts w:ascii="Arial" w:cs="Arial" w:eastAsia="Arial" w:hAnsi="Arial"/>
                <w:sz w:val="18"/>
                <w:szCs w:val="18"/>
                <w:color w:val="auto"/>
                <w:w w:val="88"/>
              </w:rPr>
              <w:t>F-4</w:t>
            </w:r>
          </w:p>
        </w:tc>
      </w:tr>
      <w:tr>
        <w:trPr>
          <w:trHeight w:val="183"/>
        </w:trPr>
        <w:tc>
          <w:tcPr>
            <w:tcW w:w="1500" w:type="dxa"/>
            <w:vAlign w:val="bottom"/>
          </w:tcPr>
          <w:p>
            <w:pPr>
              <w:spacing w:after="0"/>
              <w:rPr>
                <w:sz w:val="15"/>
                <w:szCs w:val="15"/>
                <w:color w:val="auto"/>
              </w:rPr>
            </w:pPr>
          </w:p>
        </w:tc>
        <w:tc>
          <w:tcPr>
            <w:tcW w:w="8160" w:type="dxa"/>
            <w:vAlign w:val="bottom"/>
            <w:gridSpan w:val="7"/>
          </w:tcPr>
          <w:p>
            <w:pPr>
              <w:spacing w:after="0" w:line="182" w:lineRule="exact"/>
              <w:rPr>
                <w:sz w:val="20"/>
                <w:szCs w:val="20"/>
                <w:color w:val="auto"/>
              </w:rPr>
            </w:pPr>
            <w:r>
              <w:rPr>
                <w:rFonts w:ascii="Arial" w:cs="Arial" w:eastAsia="Arial" w:hAnsi="Arial"/>
                <w:sz w:val="18"/>
                <w:szCs w:val="18"/>
                <w:color w:val="0000FF"/>
              </w:rPr>
              <w:t>Statements of Stockholders’ Equity for the years ended December 31, 2024 and 2023</w:t>
            </w:r>
          </w:p>
        </w:tc>
        <w:tc>
          <w:tcPr>
            <w:tcW w:w="1560" w:type="dxa"/>
            <w:vAlign w:val="bottom"/>
          </w:tcPr>
          <w:p>
            <w:pPr>
              <w:ind w:left="1300"/>
              <w:spacing w:after="0" w:line="182" w:lineRule="exact"/>
              <w:rPr>
                <w:sz w:val="20"/>
                <w:szCs w:val="20"/>
                <w:color w:val="auto"/>
              </w:rPr>
            </w:pPr>
            <w:r>
              <w:rPr>
                <w:rFonts w:ascii="Arial" w:cs="Arial" w:eastAsia="Arial" w:hAnsi="Arial"/>
                <w:sz w:val="18"/>
                <w:szCs w:val="18"/>
                <w:color w:val="auto"/>
                <w:w w:val="88"/>
              </w:rPr>
              <w:t>F-5</w:t>
            </w:r>
          </w:p>
        </w:tc>
      </w:tr>
      <w:tr>
        <w:trPr>
          <w:trHeight w:val="183"/>
        </w:trPr>
        <w:tc>
          <w:tcPr>
            <w:tcW w:w="1500" w:type="dxa"/>
            <w:vAlign w:val="bottom"/>
          </w:tcPr>
          <w:p>
            <w:pPr>
              <w:spacing w:after="0"/>
              <w:rPr>
                <w:sz w:val="15"/>
                <w:szCs w:val="15"/>
                <w:color w:val="auto"/>
              </w:rPr>
            </w:pPr>
          </w:p>
        </w:tc>
        <w:tc>
          <w:tcPr>
            <w:tcW w:w="682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Statements of Cash Flows for the years ended December 31, 2024 and 2023</w:t>
            </w:r>
          </w:p>
        </w:tc>
        <w:tc>
          <w:tcPr>
            <w:tcW w:w="1340" w:type="dxa"/>
            <w:vAlign w:val="bottom"/>
          </w:tcPr>
          <w:p>
            <w:pPr>
              <w:spacing w:after="0"/>
              <w:rPr>
                <w:sz w:val="15"/>
                <w:szCs w:val="15"/>
                <w:color w:val="auto"/>
              </w:rPr>
            </w:pPr>
          </w:p>
        </w:tc>
        <w:tc>
          <w:tcPr>
            <w:tcW w:w="1560" w:type="dxa"/>
            <w:vAlign w:val="bottom"/>
          </w:tcPr>
          <w:p>
            <w:pPr>
              <w:ind w:left="1300"/>
              <w:spacing w:after="0" w:line="182" w:lineRule="exact"/>
              <w:rPr>
                <w:sz w:val="20"/>
                <w:szCs w:val="20"/>
                <w:color w:val="auto"/>
              </w:rPr>
            </w:pPr>
            <w:r>
              <w:rPr>
                <w:rFonts w:ascii="Arial" w:cs="Arial" w:eastAsia="Arial" w:hAnsi="Arial"/>
                <w:sz w:val="18"/>
                <w:szCs w:val="18"/>
                <w:color w:val="auto"/>
                <w:w w:val="88"/>
              </w:rPr>
              <w:t>F-6</w:t>
            </w:r>
          </w:p>
        </w:tc>
      </w:tr>
      <w:tr>
        <w:trPr>
          <w:trHeight w:val="183"/>
        </w:trPr>
        <w:tc>
          <w:tcPr>
            <w:tcW w:w="1500" w:type="dxa"/>
            <w:vAlign w:val="bottom"/>
          </w:tcPr>
          <w:p>
            <w:pPr>
              <w:spacing w:after="0"/>
              <w:rPr>
                <w:sz w:val="15"/>
                <w:szCs w:val="15"/>
                <w:color w:val="auto"/>
              </w:rPr>
            </w:pPr>
          </w:p>
        </w:tc>
        <w:tc>
          <w:tcPr>
            <w:tcW w:w="27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Notes to the Financial Statements</w:t>
            </w:r>
          </w:p>
        </w:tc>
        <w:tc>
          <w:tcPr>
            <w:tcW w:w="20" w:type="dxa"/>
            <w:vAlign w:val="bottom"/>
            <w:tcBorders>
              <w:top w:val="single" w:sz="8" w:color="0000FF"/>
              <w:bottom w:val="single" w:sz="8" w:color="0000EE"/>
            </w:tcBorders>
          </w:tcPr>
          <w:p>
            <w:pPr>
              <w:spacing w:after="0"/>
              <w:rPr>
                <w:sz w:val="15"/>
                <w:szCs w:val="15"/>
                <w:color w:val="auto"/>
              </w:rPr>
            </w:pPr>
          </w:p>
        </w:tc>
        <w:tc>
          <w:tcPr>
            <w:tcW w:w="3400" w:type="dxa"/>
            <w:vAlign w:val="bottom"/>
            <w:tcBorders>
              <w:top w:val="single" w:sz="8" w:color="0000FF"/>
            </w:tcBorders>
            <w:gridSpan w:val="3"/>
          </w:tcPr>
          <w:p>
            <w:pPr>
              <w:spacing w:after="0"/>
              <w:rPr>
                <w:sz w:val="15"/>
                <w:szCs w:val="15"/>
                <w:color w:val="auto"/>
              </w:rPr>
            </w:pPr>
          </w:p>
        </w:tc>
        <w:tc>
          <w:tcPr>
            <w:tcW w:w="2040" w:type="dxa"/>
            <w:vAlign w:val="bottom"/>
            <w:gridSpan w:val="2"/>
          </w:tcPr>
          <w:p>
            <w:pPr>
              <w:spacing w:after="0"/>
              <w:rPr>
                <w:sz w:val="15"/>
                <w:szCs w:val="15"/>
                <w:color w:val="auto"/>
              </w:rPr>
            </w:pPr>
          </w:p>
        </w:tc>
        <w:tc>
          <w:tcPr>
            <w:tcW w:w="1560" w:type="dxa"/>
            <w:vAlign w:val="bottom"/>
          </w:tcPr>
          <w:p>
            <w:pPr>
              <w:ind w:left="1300"/>
              <w:spacing w:after="0" w:line="182" w:lineRule="exact"/>
              <w:rPr>
                <w:sz w:val="20"/>
                <w:szCs w:val="20"/>
                <w:color w:val="auto"/>
              </w:rPr>
            </w:pPr>
            <w:r>
              <w:rPr>
                <w:rFonts w:ascii="Arial" w:cs="Arial" w:eastAsia="Arial" w:hAnsi="Arial"/>
                <w:sz w:val="18"/>
                <w:szCs w:val="18"/>
                <w:color w:val="auto"/>
                <w:w w:val="88"/>
              </w:rPr>
              <w:t>F-7</w:t>
            </w:r>
          </w:p>
        </w:tc>
      </w:tr>
    </w:tbl>
    <w:p>
      <w:pPr>
        <w:spacing w:after="0" w:line="199" w:lineRule="exact"/>
        <w:rPr>
          <w:sz w:val="20"/>
          <w:szCs w:val="20"/>
          <w:color w:val="auto"/>
        </w:rPr>
      </w:pPr>
    </w:p>
    <w:p>
      <w:pPr>
        <w:ind w:left="1500" w:hanging="504"/>
        <w:spacing w:after="0"/>
        <w:tabs>
          <w:tab w:leader="none" w:pos="150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101" w:lineRule="exact"/>
        <w:rPr>
          <w:rFonts w:ascii="Arial" w:cs="Arial" w:eastAsia="Arial" w:hAnsi="Arial"/>
          <w:sz w:val="18"/>
          <w:szCs w:val="18"/>
          <w:i w:val="1"/>
          <w:iCs w:val="1"/>
          <w:color w:val="auto"/>
        </w:rPr>
      </w:pPr>
    </w:p>
    <w:p>
      <w:pPr>
        <w:ind w:left="1500" w:right="480"/>
        <w:spacing w:after="0" w:line="271" w:lineRule="auto"/>
        <w:rPr>
          <w:rFonts w:ascii="Arial" w:cs="Arial" w:eastAsia="Arial" w:hAnsi="Arial"/>
          <w:sz w:val="18"/>
          <w:szCs w:val="18"/>
          <w:i w:val="1"/>
          <w:iCs w:val="1"/>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55" w:lineRule="exact"/>
        <w:rPr>
          <w:rFonts w:ascii="Arial" w:cs="Arial" w:eastAsia="Arial" w:hAnsi="Arial"/>
          <w:sz w:val="18"/>
          <w:szCs w:val="18"/>
          <w:i w:val="1"/>
          <w:iCs w:val="1"/>
          <w:color w:val="auto"/>
        </w:rPr>
      </w:pPr>
    </w:p>
    <w:p>
      <w:pPr>
        <w:ind w:left="1500" w:hanging="504"/>
        <w:spacing w:after="0"/>
        <w:tabs>
          <w:tab w:leader="none" w:pos="150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01" w:lineRule="exact"/>
        <w:rPr>
          <w:rFonts w:ascii="Arial" w:cs="Arial" w:eastAsia="Arial" w:hAnsi="Arial"/>
          <w:sz w:val="18"/>
          <w:szCs w:val="18"/>
          <w:i w:val="1"/>
          <w:iCs w:val="1"/>
          <w:color w:val="auto"/>
        </w:rPr>
      </w:pPr>
    </w:p>
    <w:p>
      <w:pPr>
        <w:ind w:left="150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list of exhibits filed with this Annual Report on Form 10-K is set forth in the Exhibit Index preceding the signature page and is incorporated herein by reference or filed with this Annual Report, in each case as indicated therein (numbered in accordance with Item 601 of Regulation S-K).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8"/>
          </w:tcPr>
          <w:p>
            <w:pPr>
              <w:jc w:val="center"/>
              <w:spacing w:after="0"/>
              <w:rPr>
                <w:sz w:val="20"/>
                <w:szCs w:val="20"/>
                <w:color w:val="auto"/>
              </w:rPr>
            </w:pPr>
            <w:r>
              <w:rPr>
                <w:rFonts w:ascii="Arial" w:cs="Arial" w:eastAsia="Arial" w:hAnsi="Arial"/>
                <w:sz w:val="18"/>
                <w:szCs w:val="18"/>
                <w:b w:val="1"/>
                <w:bCs w:val="1"/>
                <w:color w:val="auto"/>
                <w:w w:val="99"/>
              </w:rPr>
              <w:t>Exhibit Index</w:t>
            </w:r>
          </w:p>
        </w:tc>
        <w:tc>
          <w:tcPr>
            <w:tcW w:w="0" w:type="dxa"/>
            <w:vAlign w:val="bottom"/>
          </w:tcPr>
          <w:p>
            <w:pPr>
              <w:spacing w:after="0"/>
              <w:rPr>
                <w:sz w:val="1"/>
                <w:szCs w:val="1"/>
                <w:color w:val="auto"/>
              </w:rPr>
            </w:pPr>
          </w:p>
        </w:tc>
      </w:tr>
      <w:tr>
        <w:trPr>
          <w:trHeight w:val="482"/>
        </w:trPr>
        <w:tc>
          <w:tcPr>
            <w:tcW w:w="102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42"/>
          </w:tcPr>
          <w:p>
            <w:pPr>
              <w:ind w:left="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820" w:type="dxa"/>
            <w:vAlign w:val="bottom"/>
            <w:tcBorders>
              <w:top w:val="single" w:sz="8" w:color="auto"/>
            </w:tcBorders>
            <w:gridSpan w:val="3"/>
          </w:tcPr>
          <w:p>
            <w:pPr>
              <w:spacing w:after="0" w:line="169" w:lineRule="exact"/>
              <w:rPr>
                <w:rFonts w:ascii="Arial" w:cs="Arial" w:eastAsia="Arial" w:hAnsi="Arial"/>
                <w:sz w:val="18"/>
                <w:szCs w:val="18"/>
                <w:color w:val="0000FF"/>
              </w:rPr>
            </w:pPr>
            <w:hyperlink r:id="rId122">
              <w:r>
                <w:rPr>
                  <w:rFonts w:ascii="Arial" w:cs="Arial" w:eastAsia="Arial" w:hAnsi="Arial"/>
                  <w:sz w:val="18"/>
                  <w:szCs w:val="18"/>
                  <w:color w:val="0000FF"/>
                </w:rPr>
                <w:t>Amended</w:t>
              </w:r>
            </w:hyperlink>
          </w:p>
        </w:tc>
        <w:tc>
          <w:tcPr>
            <w:tcW w:w="4180" w:type="dxa"/>
            <w:vAlign w:val="bottom"/>
            <w:tcBorders>
              <w:top w:val="single" w:sz="8" w:color="auto"/>
            </w:tcBorders>
            <w:gridSpan w:val="48"/>
          </w:tcPr>
          <w:p>
            <w:pPr>
              <w:spacing w:after="0" w:line="169" w:lineRule="exact"/>
              <w:rPr>
                <w:rFonts w:ascii="Arial" w:cs="Arial" w:eastAsia="Arial" w:hAnsi="Arial"/>
                <w:sz w:val="18"/>
                <w:szCs w:val="18"/>
                <w:color w:val="0000FF"/>
              </w:rPr>
            </w:pPr>
            <w:hyperlink r:id="rId122">
              <w:r>
                <w:rPr>
                  <w:rFonts w:ascii="Arial" w:cs="Arial" w:eastAsia="Arial" w:hAnsi="Arial"/>
                  <w:sz w:val="18"/>
                  <w:szCs w:val="18"/>
                  <w:color w:val="0000FF"/>
                </w:rPr>
                <w:t>and Restated Certificate of Incorporation</w:t>
              </w:r>
            </w:hyperlink>
            <w:r>
              <w:rPr>
                <w:rFonts w:ascii="Arial" w:cs="Arial" w:eastAsia="Arial" w:hAnsi="Arial"/>
                <w:sz w:val="18"/>
                <w:szCs w:val="18"/>
                <w:color w:val="000000"/>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123">
              <w:r>
                <w:rPr>
                  <w:rFonts w:ascii="Arial" w:cs="Arial" w:eastAsia="Arial" w:hAnsi="Arial"/>
                  <w:sz w:val="18"/>
                  <w:szCs w:val="18"/>
                  <w:color w:val="0000FF"/>
                  <w:w w:val="99"/>
                </w:rPr>
                <w:t>Amended and Restated Bylaws.</w:t>
              </w:r>
            </w:hyperlink>
          </w:p>
        </w:tc>
        <w:tc>
          <w:tcPr>
            <w:tcW w:w="20" w:type="dxa"/>
            <w:vAlign w:val="bottom"/>
            <w:tcBorders>
              <w:top w:val="single" w:sz="8" w:color="0000FF"/>
              <w:bottom w:val="single" w:sz="8" w:color="0000EE"/>
            </w:tcBorders>
          </w:tcPr>
          <w:p>
            <w:pPr>
              <w:spacing w:after="0"/>
              <w:rPr>
                <w:sz w:val="15"/>
                <w:szCs w:val="15"/>
                <w:color w:val="auto"/>
              </w:rPr>
            </w:pPr>
          </w:p>
        </w:tc>
        <w:tc>
          <w:tcPr>
            <w:tcW w:w="1460" w:type="dxa"/>
            <w:vAlign w:val="bottom"/>
            <w:tcBorders>
              <w:top w:val="single" w:sz="8" w:color="0000FF"/>
            </w:tcBorders>
            <w:gridSpan w:val="12"/>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3.3</w:t>
            </w:r>
          </w:p>
        </w:tc>
        <w:tc>
          <w:tcPr>
            <w:tcW w:w="140" w:type="dxa"/>
            <w:vAlign w:val="bottom"/>
          </w:tcPr>
          <w:p>
            <w:pPr>
              <w:spacing w:after="0"/>
              <w:rPr>
                <w:sz w:val="15"/>
                <w:szCs w:val="15"/>
                <w:color w:val="auto"/>
              </w:rPr>
            </w:pPr>
          </w:p>
        </w:tc>
        <w:tc>
          <w:tcPr>
            <w:tcW w:w="5020" w:type="dxa"/>
            <w:vAlign w:val="bottom"/>
            <w:gridSpan w:val="52"/>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Certificate of Designations of Series A Junior Participating</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32"/>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Preferred Stock of AN2 Therapeutics, Inc. filed with the</w:t>
              </w:r>
            </w:hyperlink>
          </w:p>
        </w:tc>
        <w:tc>
          <w:tcPr>
            <w:tcW w:w="24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gridSpan w:val="52"/>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Secretary of State of the State of Delaware on August 15,</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5"/>
                <w:szCs w:val="15"/>
                <w:color w:val="auto"/>
              </w:rPr>
            </w:pPr>
          </w:p>
        </w:tc>
        <w:tc>
          <w:tcPr>
            <w:tcW w:w="80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2024.</w:t>
              </w:r>
            </w:hyperlink>
          </w:p>
        </w:tc>
        <w:tc>
          <w:tcPr>
            <w:tcW w:w="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top w:val="single" w:sz="8" w:color="0000FF"/>
            </w:tcBorders>
          </w:tcPr>
          <w:p>
            <w:pPr>
              <w:spacing w:after="0" w:line="182" w:lineRule="exact"/>
              <w:rPr>
                <w:rFonts w:ascii="Arial" w:cs="Arial" w:eastAsia="Arial" w:hAnsi="Arial"/>
                <w:sz w:val="18"/>
                <w:szCs w:val="18"/>
                <w:color w:val="0000FF"/>
                <w:w w:val="99"/>
              </w:rPr>
            </w:pPr>
            <w:hyperlink r:id="rId125">
              <w:r>
                <w:rPr>
                  <w:rFonts w:ascii="Arial" w:cs="Arial" w:eastAsia="Arial" w:hAnsi="Arial"/>
                  <w:sz w:val="18"/>
                  <w:szCs w:val="18"/>
                  <w:color w:val="0000FF"/>
                  <w:w w:val="99"/>
                </w:rPr>
                <w:t>Form</w:t>
              </w:r>
            </w:hyperlink>
          </w:p>
        </w:tc>
        <w:tc>
          <w:tcPr>
            <w:tcW w:w="4580" w:type="dxa"/>
            <w:vAlign w:val="bottom"/>
            <w:gridSpan w:val="51"/>
          </w:tcPr>
          <w:p>
            <w:pPr>
              <w:ind w:left="20"/>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of Common Stock Certificate.</w:t>
              </w:r>
            </w:hyperlink>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5"/>
                <w:szCs w:val="15"/>
                <w:color w:val="auto"/>
              </w:rPr>
            </w:pPr>
          </w:p>
        </w:tc>
        <w:tc>
          <w:tcPr>
            <w:tcW w:w="280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Amended and Restated Investors’</w:t>
              </w:r>
            </w:hyperlink>
          </w:p>
        </w:tc>
        <w:tc>
          <w:tcPr>
            <w:tcW w:w="2220" w:type="dxa"/>
            <w:vAlign w:val="bottom"/>
            <w:gridSpan w:val="36"/>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Rights Agreement, by and</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00" w:type="dxa"/>
            <w:vAlign w:val="bottom"/>
            <w:tcBorders>
              <w:top w:val="single" w:sz="8" w:color="0000FF"/>
            </w:tcBorders>
            <w:gridSpan w:val="46"/>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among the Registrant and certain of its stockholders, dated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5"/>
                <w:szCs w:val="15"/>
                <w:color w:val="auto"/>
              </w:rPr>
            </w:pPr>
          </w:p>
        </w:tc>
        <w:tc>
          <w:tcPr>
            <w:tcW w:w="12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126">
              <w:r>
                <w:rPr>
                  <w:rFonts w:ascii="Arial" w:cs="Arial" w:eastAsia="Arial" w:hAnsi="Arial"/>
                  <w:sz w:val="18"/>
                  <w:szCs w:val="18"/>
                  <w:color w:val="0000FF"/>
                  <w:w w:val="98"/>
                </w:rPr>
                <w:t>March 5,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3520" w:type="dxa"/>
            <w:vAlign w:val="bottom"/>
            <w:tcBorders>
              <w:top w:val="single" w:sz="8" w:color="0000FF"/>
            </w:tcBorders>
            <w:gridSpan w:val="3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6"/>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Description of</w:t>
              </w:r>
            </w:hyperlink>
          </w:p>
        </w:tc>
        <w:tc>
          <w:tcPr>
            <w:tcW w:w="3800" w:type="dxa"/>
            <w:vAlign w:val="bottom"/>
            <w:gridSpan w:val="46"/>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Securities</w:t>
              </w:r>
            </w:hyperlink>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5"/>
                <w:szCs w:val="15"/>
                <w:color w:val="auto"/>
              </w:rPr>
            </w:pPr>
          </w:p>
        </w:tc>
        <w:tc>
          <w:tcPr>
            <w:tcW w:w="1940" w:type="dxa"/>
            <w:vAlign w:val="bottom"/>
            <w:tcBorders>
              <w:top w:val="single" w:sz="8" w:color="0000FF"/>
            </w:tcBorders>
            <w:gridSpan w:val="10"/>
          </w:tcPr>
          <w:p>
            <w:pPr>
              <w:spacing w:after="0" w:line="182" w:lineRule="exact"/>
              <w:rPr>
                <w:rFonts w:ascii="Arial" w:cs="Arial" w:eastAsia="Arial" w:hAnsi="Arial"/>
                <w:sz w:val="18"/>
                <w:szCs w:val="18"/>
                <w:color w:val="0000FF"/>
                <w:w w:val="96"/>
              </w:rPr>
            </w:pPr>
            <w:hyperlink r:id="rId128">
              <w:r>
                <w:rPr>
                  <w:rFonts w:ascii="Arial" w:cs="Arial" w:eastAsia="Arial" w:hAnsi="Arial"/>
                  <w:sz w:val="18"/>
                  <w:szCs w:val="18"/>
                  <w:color w:val="0000FF"/>
                  <w:w w:val="96"/>
                </w:rPr>
                <w:t>Rights Agreement, dated</w:t>
              </w:r>
            </w:hyperlink>
          </w:p>
        </w:tc>
        <w:tc>
          <w:tcPr>
            <w:tcW w:w="3080" w:type="dxa"/>
            <w:vAlign w:val="bottom"/>
            <w:gridSpan w:val="42"/>
          </w:tcPr>
          <w:p>
            <w:pPr>
              <w:ind w:left="100"/>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as of August 15, 2024, between AN2</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40" w:type="dxa"/>
            <w:vAlign w:val="bottom"/>
            <w:tcBorders>
              <w:top w:val="single" w:sz="8" w:color="0000FF"/>
              <w:bottom w:val="single" w:sz="8" w:color="0000FF"/>
            </w:tcBorders>
            <w:gridSpan w:val="40"/>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Therapeutics, Inc. and Equiniti Trust Company, LLC, which</w:t>
              </w:r>
            </w:hyperlink>
          </w:p>
        </w:tc>
        <w:tc>
          <w:tcPr>
            <w:tcW w:w="240" w:type="dxa"/>
            <w:vAlign w:val="bottom"/>
            <w:tcBorders>
              <w:top w:val="single" w:sz="8" w:color="0000FF"/>
            </w:tcBorders>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gridSpan w:val="52"/>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includes Form of Certificate of Designations of Series A Junior</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Borders>
              <w:top w:val="single" w:sz="8" w:color="0000FF"/>
            </w:tcBorders>
            <w:gridSpan w:val="50"/>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Participating Preferred Stock as Exhibit A, the Form of Rights</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20" w:type="dxa"/>
            <w:vAlign w:val="bottom"/>
            <w:tcBorders>
              <w:top w:val="single" w:sz="8" w:color="0000FF"/>
            </w:tcBorders>
            <w:gridSpan w:val="47"/>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Certificate as Exhibit B and the Summary of Rights 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8"/>
              </w:rPr>
            </w:pPr>
            <w:hyperlink r:id="rId128">
              <w:r>
                <w:rPr>
                  <w:rFonts w:ascii="Arial" w:cs="Arial" w:eastAsia="Arial" w:hAnsi="Arial"/>
                  <w:sz w:val="18"/>
                  <w:szCs w:val="18"/>
                  <w:color w:val="0000FF"/>
                  <w:w w:val="98"/>
                </w:rPr>
                <w:t>Purchase Preferred Stock as Exhibit C.</w:t>
              </w:r>
            </w:hyperlink>
          </w:p>
        </w:tc>
        <w:tc>
          <w:tcPr>
            <w:tcW w:w="20" w:type="dxa"/>
            <w:vAlign w:val="bottom"/>
            <w:tcBorders>
              <w:top w:val="single" w:sz="8" w:color="0000FF"/>
              <w:bottom w:val="single" w:sz="8" w:color="0000EE"/>
            </w:tcBorders>
          </w:tcPr>
          <w:p>
            <w:pPr>
              <w:spacing w:after="0"/>
              <w:rPr>
                <w:sz w:val="15"/>
                <w:szCs w:val="15"/>
                <w:color w:val="auto"/>
              </w:rPr>
            </w:pPr>
          </w:p>
        </w:tc>
        <w:tc>
          <w:tcPr>
            <w:tcW w:w="1140" w:type="dxa"/>
            <w:vAlign w:val="bottom"/>
            <w:tcBorders>
              <w:top w:val="single" w:sz="8" w:color="0000FF"/>
            </w:tcBorders>
            <w:gridSpan w:val="8"/>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gridSpan w:val="52"/>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AN2 Therapeutics, Inc. 2017 Equity Incentive Plan, as</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5"/>
                <w:szCs w:val="15"/>
                <w:color w:val="auto"/>
              </w:rPr>
            </w:pPr>
          </w:p>
        </w:tc>
        <w:tc>
          <w:tcPr>
            <w:tcW w:w="8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7"/>
              </w:rPr>
            </w:pPr>
            <w:hyperlink r:id="rId129">
              <w:r>
                <w:rPr>
                  <w:rFonts w:ascii="Arial" w:cs="Arial" w:eastAsia="Arial" w:hAnsi="Arial"/>
                  <w:sz w:val="18"/>
                  <w:szCs w:val="18"/>
                  <w:color w:val="0000FF"/>
                  <w:w w:val="97"/>
                </w:rPr>
                <w:t>amended.</w:t>
              </w:r>
            </w:hyperlink>
          </w:p>
        </w:tc>
        <w:tc>
          <w:tcPr>
            <w:tcW w:w="20" w:type="dxa"/>
            <w:vAlign w:val="bottom"/>
            <w:tcBorders>
              <w:top w:val="single" w:sz="8" w:color="0000FF"/>
              <w:bottom w:val="single" w:sz="8" w:color="0000EE"/>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Forms of</w:t>
              </w:r>
            </w:hyperlink>
          </w:p>
        </w:tc>
        <w:tc>
          <w:tcPr>
            <w:tcW w:w="4200" w:type="dxa"/>
            <w:vAlign w:val="bottom"/>
            <w:gridSpan w:val="49"/>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Stock Option Grant Notice, Stock Option Agreement</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tcBorders>
              <w:top w:val="single" w:sz="8" w:color="0000FF"/>
            </w:tcBorders>
            <w:gridSpan w:val="49"/>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and Notice of Exercise and Early Exercise Stock Purchase</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00" w:type="dxa"/>
            <w:vAlign w:val="bottom"/>
            <w:tcBorders>
              <w:top w:val="single" w:sz="8" w:color="0000FF"/>
            </w:tcBorders>
            <w:gridSpan w:val="39"/>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Agreement under the AN2 Therapeutics, Inc. 2017 Equity</w:t>
              </w:r>
            </w:hyperlink>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130">
              <w:r>
                <w:rPr>
                  <w:rFonts w:ascii="Arial" w:cs="Arial" w:eastAsia="Arial" w:hAnsi="Arial"/>
                  <w:sz w:val="18"/>
                  <w:szCs w:val="18"/>
                  <w:color w:val="0000FF"/>
                  <w:w w:val="98"/>
                </w:rPr>
                <w:t>Incentive Plan.</w:t>
              </w:r>
            </w:hyperlink>
          </w:p>
        </w:tc>
        <w:tc>
          <w:tcPr>
            <w:tcW w:w="20" w:type="dxa"/>
            <w:vAlign w:val="bottom"/>
            <w:tcBorders>
              <w:top w:val="single" w:sz="8" w:color="0000FF"/>
              <w:bottom w:val="single" w:sz="8" w:color="0000EE"/>
            </w:tcBorders>
          </w:tcPr>
          <w:p>
            <w:pPr>
              <w:spacing w:after="0"/>
              <w:rPr>
                <w:sz w:val="15"/>
                <w:szCs w:val="15"/>
                <w:color w:val="auto"/>
              </w:rPr>
            </w:pPr>
          </w:p>
        </w:tc>
        <w:tc>
          <w:tcPr>
            <w:tcW w:w="3420" w:type="dxa"/>
            <w:vAlign w:val="bottom"/>
            <w:tcBorders>
              <w:top w:val="single" w:sz="8" w:color="0000FF"/>
            </w:tcBorders>
            <w:gridSpan w:val="3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gridSpan w:val="52"/>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AN2 Therapeutics, Inc. 2022 Equity Incentive Plan</w:t>
              </w:r>
            </w:hyperlink>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5"/>
                <w:szCs w:val="15"/>
                <w:color w:val="auto"/>
              </w:rPr>
            </w:pPr>
          </w:p>
        </w:tc>
        <w:tc>
          <w:tcPr>
            <w:tcW w:w="4000" w:type="dxa"/>
            <w:vAlign w:val="bottom"/>
            <w:tcBorders>
              <w:top w:val="single" w:sz="8" w:color="0000FF"/>
            </w:tcBorders>
            <w:gridSpan w:val="25"/>
          </w:tcPr>
          <w:p>
            <w:pPr>
              <w:spacing w:after="0" w:line="182" w:lineRule="exact"/>
              <w:rPr>
                <w:rFonts w:ascii="Arial" w:cs="Arial" w:eastAsia="Arial" w:hAnsi="Arial"/>
                <w:sz w:val="18"/>
                <w:szCs w:val="18"/>
                <w:color w:val="0000FF"/>
                <w:w w:val="99"/>
              </w:rPr>
            </w:pPr>
            <w:hyperlink r:id="rId132">
              <w:r>
                <w:rPr>
                  <w:rFonts w:ascii="Arial" w:cs="Arial" w:eastAsia="Arial" w:hAnsi="Arial"/>
                  <w:sz w:val="18"/>
                  <w:szCs w:val="18"/>
                  <w:color w:val="0000FF"/>
                  <w:w w:val="99"/>
                </w:rPr>
                <w:t>Forms of Stock Option Grant Notice, Stock Option</w:t>
              </w:r>
            </w:hyperlink>
          </w:p>
        </w:tc>
        <w:tc>
          <w:tcPr>
            <w:tcW w:w="1020" w:type="dxa"/>
            <w:vAlign w:val="bottom"/>
            <w:gridSpan w:val="27"/>
          </w:tcPr>
          <w:p>
            <w:pPr>
              <w:jc w:val="center"/>
              <w:ind w:right="100"/>
              <w:spacing w:after="0" w:line="182" w:lineRule="exact"/>
              <w:rPr>
                <w:rFonts w:ascii="Arial" w:cs="Arial" w:eastAsia="Arial" w:hAnsi="Arial"/>
                <w:sz w:val="18"/>
                <w:szCs w:val="18"/>
                <w:color w:val="0000FF"/>
                <w:w w:val="99"/>
              </w:rPr>
            </w:pPr>
            <w:hyperlink r:id="rId132">
              <w:r>
                <w:rPr>
                  <w:rFonts w:ascii="Arial" w:cs="Arial" w:eastAsia="Arial" w:hAnsi="Arial"/>
                  <w:sz w:val="18"/>
                  <w:szCs w:val="18"/>
                  <w:color w:val="0000FF"/>
                  <w:w w:val="99"/>
                </w:rPr>
                <w:t>Agreement</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tcBorders>
              <w:top w:val="single" w:sz="8" w:color="0000FF"/>
            </w:tcBorders>
            <w:gridSpan w:val="49"/>
          </w:tcPr>
          <w:p>
            <w:pPr>
              <w:spacing w:after="0" w:line="182" w:lineRule="exact"/>
              <w:rPr>
                <w:rFonts w:ascii="Arial" w:cs="Arial" w:eastAsia="Arial" w:hAnsi="Arial"/>
                <w:sz w:val="18"/>
                <w:szCs w:val="18"/>
                <w:color w:val="0000FF"/>
                <w:w w:val="99"/>
              </w:rPr>
            </w:pPr>
            <w:hyperlink r:id="rId132">
              <w:r>
                <w:rPr>
                  <w:rFonts w:ascii="Arial" w:cs="Arial" w:eastAsia="Arial" w:hAnsi="Arial"/>
                  <w:sz w:val="18"/>
                  <w:szCs w:val="18"/>
                  <w:color w:val="0000FF"/>
                  <w:w w:val="99"/>
                </w:rPr>
                <w:t>and Notice of Exercise under the AN2 Therapeutics, Inc. 2022</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5"/>
                <w:szCs w:val="15"/>
                <w:color w:val="auto"/>
              </w:rPr>
            </w:pPr>
          </w:p>
        </w:tc>
        <w:tc>
          <w:tcPr>
            <w:tcW w:w="4980" w:type="dxa"/>
            <w:vAlign w:val="bottom"/>
            <w:tcBorders>
              <w:top w:val="single" w:sz="8" w:color="0000FF"/>
            </w:tcBorders>
            <w:gridSpan w:val="50"/>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Equity Incentive Plan.</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360" w:type="dxa"/>
            <w:vAlign w:val="bottom"/>
            <w:tcBorders>
              <w:bottom w:val="single" w:sz="8" w:color="0000FF"/>
            </w:tcBorders>
            <w:gridSpan w:val="30"/>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Form of Restricted Stock Unit Grant Notice and Award</w:t>
              </w:r>
            </w:hyperlink>
          </w:p>
        </w:tc>
        <w:tc>
          <w:tcPr>
            <w:tcW w:w="66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gridSpan w:val="52"/>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Agreement under the AN2 Therapeutics, Inc. 2022 Equity</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133">
              <w:r>
                <w:rPr>
                  <w:rFonts w:ascii="Arial" w:cs="Arial" w:eastAsia="Arial" w:hAnsi="Arial"/>
                  <w:sz w:val="18"/>
                  <w:szCs w:val="18"/>
                  <w:color w:val="0000FF"/>
                  <w:w w:val="98"/>
                </w:rPr>
                <w:t>Incentive Plan.</w:t>
              </w:r>
            </w:hyperlink>
          </w:p>
        </w:tc>
        <w:tc>
          <w:tcPr>
            <w:tcW w:w="20" w:type="dxa"/>
            <w:vAlign w:val="bottom"/>
            <w:tcBorders>
              <w:top w:val="single" w:sz="8" w:color="0000FF"/>
              <w:bottom w:val="single" w:sz="8" w:color="0000EE"/>
            </w:tcBorders>
          </w:tcPr>
          <w:p>
            <w:pPr>
              <w:spacing w:after="0"/>
              <w:rPr>
                <w:sz w:val="15"/>
                <w:szCs w:val="15"/>
                <w:color w:val="auto"/>
              </w:rPr>
            </w:pPr>
          </w:p>
        </w:tc>
        <w:tc>
          <w:tcPr>
            <w:tcW w:w="3420" w:type="dxa"/>
            <w:vAlign w:val="bottom"/>
            <w:tcBorders>
              <w:top w:val="single" w:sz="8" w:color="0000FF"/>
            </w:tcBorders>
            <w:gridSpan w:val="3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gridSpan w:val="52"/>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AN2 Therapeutics, Inc 1022 Employee Stock Purchase Plan.</w:t>
              </w:r>
            </w:hyperlink>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10.7#</w:t>
            </w:r>
          </w:p>
        </w:tc>
        <w:tc>
          <w:tcPr>
            <w:tcW w:w="140" w:type="dxa"/>
            <w:vAlign w:val="bottom"/>
          </w:tcPr>
          <w:p>
            <w:pPr>
              <w:spacing w:after="0"/>
              <w:rPr>
                <w:sz w:val="15"/>
                <w:szCs w:val="15"/>
                <w:color w:val="auto"/>
              </w:rPr>
            </w:pPr>
          </w:p>
        </w:tc>
        <w:tc>
          <w:tcPr>
            <w:tcW w:w="4840" w:type="dxa"/>
            <w:vAlign w:val="bottom"/>
            <w:tcBorders>
              <w:top w:val="single" w:sz="8" w:color="0000FF"/>
            </w:tcBorders>
            <w:gridSpan w:val="43"/>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AN2 Therapeutics, Inc. 2022 Non-Employee Director</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8"/>
              </w:rPr>
            </w:pPr>
            <w:hyperlink r:id="rId135">
              <w:r>
                <w:rPr>
                  <w:rFonts w:ascii="Arial" w:cs="Arial" w:eastAsia="Arial" w:hAnsi="Arial"/>
                  <w:sz w:val="18"/>
                  <w:szCs w:val="18"/>
                  <w:color w:val="0000FF"/>
                  <w:w w:val="98"/>
                </w:rPr>
                <w:t>Compensation Policy.</w:t>
              </w:r>
            </w:hyperlink>
          </w:p>
        </w:tc>
        <w:tc>
          <w:tcPr>
            <w:tcW w:w="20" w:type="dxa"/>
            <w:vAlign w:val="bottom"/>
            <w:tcBorders>
              <w:top w:val="single" w:sz="8" w:color="0000FF"/>
              <w:bottom w:val="single" w:sz="8" w:color="0000EE"/>
            </w:tcBorders>
          </w:tcPr>
          <w:p>
            <w:pPr>
              <w:spacing w:after="0"/>
              <w:rPr>
                <w:sz w:val="15"/>
                <w:szCs w:val="15"/>
                <w:color w:val="auto"/>
              </w:rPr>
            </w:pPr>
          </w:p>
        </w:tc>
        <w:tc>
          <w:tcPr>
            <w:tcW w:w="2480" w:type="dxa"/>
            <w:vAlign w:val="bottom"/>
            <w:tcBorders>
              <w:top w:val="single" w:sz="8" w:color="0000FF"/>
            </w:tcBorders>
            <w:gridSpan w:val="18"/>
          </w:tcPr>
          <w:p>
            <w:pPr>
              <w:spacing w:after="0"/>
              <w:rPr>
                <w:sz w:val="15"/>
                <w:szCs w:val="15"/>
                <w:color w:val="auto"/>
              </w:rPr>
            </w:pPr>
          </w:p>
        </w:tc>
        <w:tc>
          <w:tcPr>
            <w:tcW w:w="16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136">
              <w:r>
                <w:rPr>
                  <w:rFonts w:ascii="Arial" w:cs="Arial" w:eastAsia="Arial" w:hAnsi="Arial"/>
                  <w:sz w:val="18"/>
                  <w:szCs w:val="18"/>
                  <w:color w:val="0000FF"/>
                  <w:w w:val="99"/>
                </w:rPr>
                <w:t>AN2 Therapeutics, Inc. Officer Severance Plan.</w:t>
              </w:r>
            </w:hyperlink>
          </w:p>
        </w:tc>
        <w:tc>
          <w:tcPr>
            <w:tcW w:w="20" w:type="dxa"/>
            <w:vAlign w:val="bottom"/>
            <w:tcBorders>
              <w:bottom w:val="single" w:sz="8" w:color="0000EE"/>
            </w:tcBorders>
          </w:tcPr>
          <w:p>
            <w:pPr>
              <w:spacing w:after="0"/>
              <w:rPr>
                <w:sz w:val="15"/>
                <w:szCs w:val="15"/>
                <w:color w:val="auto"/>
              </w:rPr>
            </w:pPr>
          </w:p>
        </w:tc>
        <w:tc>
          <w:tcPr>
            <w:tcW w:w="1220" w:type="dxa"/>
            <w:vAlign w:val="bottom"/>
            <w:gridSpan w:val="3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10.9#</w:t>
            </w:r>
          </w:p>
        </w:tc>
        <w:tc>
          <w:tcPr>
            <w:tcW w:w="140" w:type="dxa"/>
            <w:vAlign w:val="bottom"/>
          </w:tcPr>
          <w:p>
            <w:pPr>
              <w:spacing w:after="0"/>
              <w:rPr>
                <w:sz w:val="15"/>
                <w:szCs w:val="15"/>
                <w:color w:val="auto"/>
              </w:rPr>
            </w:pPr>
          </w:p>
        </w:tc>
        <w:tc>
          <w:tcPr>
            <w:tcW w:w="3800" w:type="dxa"/>
            <w:vAlign w:val="bottom"/>
            <w:gridSpan w:val="22"/>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Form of Indemnity Agreement by and between</w:t>
              </w:r>
            </w:hyperlink>
          </w:p>
        </w:tc>
        <w:tc>
          <w:tcPr>
            <w:tcW w:w="1220" w:type="dxa"/>
            <w:vAlign w:val="bottom"/>
            <w:gridSpan w:val="30"/>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the Registrant</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5"/>
                <w:szCs w:val="15"/>
                <w:color w:val="auto"/>
              </w:rPr>
            </w:pPr>
          </w:p>
        </w:tc>
        <w:tc>
          <w:tcPr>
            <w:tcW w:w="4940" w:type="dxa"/>
            <w:vAlign w:val="bottom"/>
            <w:tcBorders>
              <w:top w:val="single" w:sz="8" w:color="0000FF"/>
            </w:tcBorders>
            <w:gridSpan w:val="48"/>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and its directors and executive officers.</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2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gridSpan w:val="52"/>
          </w:tcPr>
          <w:p>
            <w:pPr>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Offer Letter by and between the Registrant and Eric Easom,</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5"/>
                <w:szCs w:val="15"/>
                <w:color w:val="auto"/>
              </w:rPr>
            </w:pPr>
          </w:p>
        </w:tc>
        <w:tc>
          <w:tcPr>
            <w:tcW w:w="4820" w:type="dxa"/>
            <w:vAlign w:val="bottom"/>
            <w:tcBorders>
              <w:top w:val="single" w:sz="8" w:color="0000FF"/>
            </w:tcBorders>
            <w:gridSpan w:val="42"/>
          </w:tcPr>
          <w:p>
            <w:pPr>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dated November 19, 2019.</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Borders>
              <w:top w:val="single" w:sz="8" w:color="0000FF"/>
            </w:tcBorders>
            <w:gridSpan w:val="11"/>
          </w:tcPr>
          <w:p>
            <w:pPr>
              <w:spacing w:after="0" w:line="182" w:lineRule="exact"/>
              <w:rPr>
                <w:rFonts w:ascii="Arial" w:cs="Arial" w:eastAsia="Arial" w:hAnsi="Arial"/>
                <w:sz w:val="18"/>
                <w:szCs w:val="18"/>
                <w:color w:val="0000FF"/>
                <w:w w:val="94"/>
              </w:rPr>
            </w:pPr>
            <w:hyperlink r:id="rId139">
              <w:r>
                <w:rPr>
                  <w:rFonts w:ascii="Arial" w:cs="Arial" w:eastAsia="Arial" w:hAnsi="Arial"/>
                  <w:sz w:val="18"/>
                  <w:szCs w:val="18"/>
                  <w:color w:val="0000FF"/>
                  <w:w w:val="94"/>
                </w:rPr>
                <w:t>Offer Letter by and between</w:t>
              </w:r>
            </w:hyperlink>
          </w:p>
        </w:tc>
        <w:tc>
          <w:tcPr>
            <w:tcW w:w="20" w:type="dxa"/>
            <w:vAlign w:val="bottom"/>
            <w:tcBorders>
              <w:top w:val="single" w:sz="8" w:color="0000EE"/>
            </w:tcBorders>
          </w:tcPr>
          <w:p>
            <w:pPr>
              <w:spacing w:after="0"/>
              <w:rPr>
                <w:sz w:val="15"/>
                <w:szCs w:val="15"/>
                <w:color w:val="auto"/>
              </w:rPr>
            </w:pPr>
          </w:p>
        </w:tc>
        <w:tc>
          <w:tcPr>
            <w:tcW w:w="2880" w:type="dxa"/>
            <w:vAlign w:val="bottom"/>
            <w:gridSpan w:val="40"/>
          </w:tcPr>
          <w:p>
            <w:pPr>
              <w:ind w:left="140"/>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the Registrant and Lucy Day,</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5"/>
                <w:szCs w:val="15"/>
                <w:color w:val="auto"/>
              </w:rPr>
            </w:pPr>
          </w:p>
        </w:tc>
        <w:tc>
          <w:tcPr>
            <w:tcW w:w="4640" w:type="dxa"/>
            <w:vAlign w:val="bottom"/>
            <w:tcBorders>
              <w:top w:val="single" w:sz="8" w:color="0000FF"/>
            </w:tcBorders>
            <w:gridSpan w:val="36"/>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dated November 19, 2019.</w:t>
              </w:r>
            </w:hyperlink>
          </w:p>
        </w:tc>
        <w:tc>
          <w:tcPr>
            <w:tcW w:w="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Borders>
              <w:top w:val="single" w:sz="8" w:color="0000FF"/>
            </w:tcBorders>
            <w:gridSpan w:val="11"/>
          </w:tcPr>
          <w:p>
            <w:pPr>
              <w:spacing w:after="0" w:line="182" w:lineRule="exact"/>
              <w:rPr>
                <w:rFonts w:ascii="Arial" w:cs="Arial" w:eastAsia="Arial" w:hAnsi="Arial"/>
                <w:sz w:val="18"/>
                <w:szCs w:val="18"/>
                <w:color w:val="0000FF"/>
                <w:w w:val="94"/>
              </w:rPr>
            </w:pPr>
            <w:hyperlink r:id="rId140">
              <w:r>
                <w:rPr>
                  <w:rFonts w:ascii="Arial" w:cs="Arial" w:eastAsia="Arial" w:hAnsi="Arial"/>
                  <w:sz w:val="18"/>
                  <w:szCs w:val="18"/>
                  <w:color w:val="0000FF"/>
                  <w:w w:val="94"/>
                </w:rPr>
                <w:t>Offer Letter by and between</w:t>
              </w:r>
            </w:hyperlink>
          </w:p>
        </w:tc>
        <w:tc>
          <w:tcPr>
            <w:tcW w:w="20" w:type="dxa"/>
            <w:vAlign w:val="bottom"/>
            <w:tcBorders>
              <w:top w:val="single" w:sz="8" w:color="0000EE"/>
            </w:tcBorders>
          </w:tcPr>
          <w:p>
            <w:pPr>
              <w:spacing w:after="0"/>
              <w:rPr>
                <w:sz w:val="15"/>
                <w:szCs w:val="15"/>
                <w:color w:val="auto"/>
              </w:rPr>
            </w:pPr>
          </w:p>
        </w:tc>
        <w:tc>
          <w:tcPr>
            <w:tcW w:w="2880" w:type="dxa"/>
            <w:vAlign w:val="bottom"/>
            <w:gridSpan w:val="40"/>
          </w:tcPr>
          <w:p>
            <w:pPr>
              <w:ind w:left="140"/>
              <w:spacing w:after="0" w:line="182" w:lineRule="exact"/>
              <w:rPr>
                <w:rFonts w:ascii="Arial" w:cs="Arial" w:eastAsia="Arial" w:hAnsi="Arial"/>
                <w:sz w:val="18"/>
                <w:szCs w:val="18"/>
                <w:color w:val="0000FF"/>
              </w:rPr>
            </w:pPr>
            <w:hyperlink r:id="rId140">
              <w:r>
                <w:rPr>
                  <w:rFonts w:ascii="Arial" w:cs="Arial" w:eastAsia="Arial" w:hAnsi="Arial"/>
                  <w:sz w:val="18"/>
                  <w:szCs w:val="18"/>
                  <w:color w:val="0000FF"/>
                </w:rPr>
                <w:t>the Registrant and Sanjay</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15"/>
                <w:szCs w:val="15"/>
                <w:color w:val="auto"/>
              </w:rPr>
            </w:pPr>
          </w:p>
        </w:tc>
        <w:tc>
          <w:tcPr>
            <w:tcW w:w="286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Chanda, dated November 19,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1520" w:type="dxa"/>
            <w:vAlign w:val="bottom"/>
            <w:tcBorders>
              <w:top w:val="single" w:sz="8" w:color="0000FF"/>
            </w:tcBorders>
            <w:gridSpan w:val="13"/>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141">
              <w:r>
                <w:rPr>
                  <w:rFonts w:ascii="Arial" w:cs="Arial" w:eastAsia="Arial" w:hAnsi="Arial"/>
                  <w:sz w:val="18"/>
                  <w:szCs w:val="18"/>
                  <w:color w:val="0000FF"/>
                  <w:w w:val="99"/>
                </w:rPr>
                <w:t>License Agreement by and between</w:t>
              </w:r>
            </w:hyperlink>
          </w:p>
        </w:tc>
        <w:tc>
          <w:tcPr>
            <w:tcW w:w="1560" w:type="dxa"/>
            <w:vAlign w:val="bottom"/>
            <w:tcBorders>
              <w:bottom w:val="single" w:sz="8" w:color="0000FF"/>
            </w:tcBorders>
            <w:gridSpan w:val="15"/>
          </w:tcPr>
          <w:p>
            <w:pPr>
              <w:ind w:left="40"/>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the Registrant and</w:t>
              </w:r>
            </w:hyperlink>
          </w:p>
        </w:tc>
        <w:tc>
          <w:tcPr>
            <w:tcW w:w="58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gridSpan w:val="52"/>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Anacor Pharmaceuticals, Inc., dated November 20, 2019, as</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15"/>
                <w:szCs w:val="15"/>
                <w:color w:val="auto"/>
              </w:rPr>
            </w:pPr>
          </w:p>
        </w:tc>
        <w:tc>
          <w:tcPr>
            <w:tcW w:w="25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141">
              <w:r>
                <w:rPr>
                  <w:rFonts w:ascii="Arial" w:cs="Arial" w:eastAsia="Arial" w:hAnsi="Arial"/>
                  <w:sz w:val="18"/>
                  <w:szCs w:val="18"/>
                  <w:color w:val="0000FF"/>
                  <w:w w:val="99"/>
                </w:rPr>
                <w:t>amended on December 3,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2260" w:type="dxa"/>
            <w:vAlign w:val="bottom"/>
            <w:tcBorders>
              <w:top w:val="single" w:sz="8" w:color="0000FF"/>
            </w:tcBorders>
            <w:gridSpan w:val="29"/>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gridSpan w:val="52"/>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License Agreement by and between the Registrant and Brii</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5"/>
                <w:szCs w:val="15"/>
                <w:color w:val="auto"/>
              </w:rPr>
            </w:pPr>
          </w:p>
        </w:tc>
        <w:tc>
          <w:tcPr>
            <w:tcW w:w="382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w w:val="99"/>
              </w:rPr>
            </w:pPr>
            <w:hyperlink r:id="rId142">
              <w:r>
                <w:rPr>
                  <w:rFonts w:ascii="Arial" w:cs="Arial" w:eastAsia="Arial" w:hAnsi="Arial"/>
                  <w:sz w:val="18"/>
                  <w:szCs w:val="18"/>
                  <w:color w:val="0000FF"/>
                  <w:w w:val="99"/>
                </w:rPr>
                <w:t>Biosciences Limited, dated November 20,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920" w:type="dxa"/>
            <w:vAlign w:val="bottom"/>
            <w:tcBorders>
              <w:top w:val="single" w:sz="8" w:color="0000FF"/>
            </w:tcBorders>
            <w:gridSpan w:val="17"/>
          </w:tcPr>
          <w:p>
            <w:pPr>
              <w:spacing w:after="0"/>
              <w:rPr>
                <w:sz w:val="15"/>
                <w:szCs w:val="15"/>
                <w:color w:val="auto"/>
              </w:rPr>
            </w:pPr>
          </w:p>
        </w:tc>
        <w:tc>
          <w:tcPr>
            <w:tcW w:w="120" w:type="dxa"/>
            <w:vAlign w:val="bottom"/>
            <w:gridSpan w:val="4"/>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40" w:type="dxa"/>
            <w:vAlign w:val="bottom"/>
            <w:gridSpan w:val="24"/>
          </w:tcPr>
          <w:p>
            <w:pPr>
              <w:spacing w:after="0" w:line="182" w:lineRule="exact"/>
              <w:rPr>
                <w:rFonts w:ascii="Arial" w:cs="Arial" w:eastAsia="Arial" w:hAnsi="Arial"/>
                <w:sz w:val="18"/>
                <w:szCs w:val="18"/>
                <w:color w:val="0000FF"/>
                <w:w w:val="96"/>
              </w:rPr>
            </w:pPr>
            <w:hyperlink r:id="rId143">
              <w:r>
                <w:rPr>
                  <w:rFonts w:ascii="Arial" w:cs="Arial" w:eastAsia="Arial" w:hAnsi="Arial"/>
                  <w:sz w:val="18"/>
                  <w:szCs w:val="18"/>
                  <w:color w:val="0000FF"/>
                  <w:w w:val="96"/>
                </w:rPr>
                <w:t>Amended and Restated Global Health Agreement</w:t>
              </w:r>
            </w:hyperlink>
          </w:p>
        </w:tc>
        <w:tc>
          <w:tcPr>
            <w:tcW w:w="1180" w:type="dxa"/>
            <w:vAlign w:val="bottom"/>
            <w:gridSpan w:val="28"/>
          </w:tcPr>
          <w:p>
            <w:pPr>
              <w:ind w:left="160"/>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by and</w:t>
              </w:r>
            </w:hyperlink>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0" w:type="dxa"/>
            <w:vAlign w:val="bottom"/>
            <w:tcBorders>
              <w:top w:val="single" w:sz="8" w:color="0000FF"/>
              <w:bottom w:val="single" w:sz="8" w:color="0000FF"/>
            </w:tcBorders>
            <w:gridSpan w:val="34"/>
          </w:tcPr>
          <w:p>
            <w:pPr>
              <w:spacing w:after="0" w:line="182" w:lineRule="exact"/>
              <w:rPr>
                <w:rFonts w:ascii="Arial" w:cs="Arial" w:eastAsia="Arial" w:hAnsi="Arial"/>
                <w:sz w:val="18"/>
                <w:szCs w:val="18"/>
                <w:color w:val="0000FF"/>
                <w:w w:val="98"/>
              </w:rPr>
            </w:pPr>
            <w:hyperlink r:id="rId143">
              <w:r>
                <w:rPr>
                  <w:rFonts w:ascii="Arial" w:cs="Arial" w:eastAsia="Arial" w:hAnsi="Arial"/>
                  <w:sz w:val="18"/>
                  <w:szCs w:val="18"/>
                  <w:color w:val="0000FF"/>
                  <w:w w:val="98"/>
                </w:rPr>
                <w:t>among the Registrant, Adjuvant Global Health Technology</w:t>
              </w:r>
            </w:hyperlink>
          </w:p>
        </w:tc>
        <w:tc>
          <w:tcPr>
            <w:tcW w:w="80" w:type="dxa"/>
            <w:vAlign w:val="bottom"/>
            <w:tcBorders>
              <w:bottom w:val="single" w:sz="8" w:color="0000FF"/>
            </w:tcBorders>
            <w:gridSpan w:val="4"/>
          </w:tcPr>
          <w:p>
            <w:pPr>
              <w:spacing w:after="0"/>
              <w:rPr>
                <w:sz w:val="15"/>
                <w:szCs w:val="15"/>
                <w:color w:val="auto"/>
              </w:rPr>
            </w:pPr>
          </w:p>
        </w:tc>
        <w:tc>
          <w:tcPr>
            <w:tcW w:w="200" w:type="dxa"/>
            <w:vAlign w:val="bottom"/>
            <w:gridSpan w:val="7"/>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gridSpan w:val="52"/>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Fund L.P., and Adjuvant Global Health Technology Fund DE</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8"/>
              </w:rPr>
            </w:pPr>
            <w:hyperlink r:id="rId143">
              <w:r>
                <w:rPr>
                  <w:rFonts w:ascii="Arial" w:cs="Arial" w:eastAsia="Arial" w:hAnsi="Arial"/>
                  <w:sz w:val="18"/>
                  <w:szCs w:val="18"/>
                  <w:color w:val="0000FF"/>
                  <w:w w:val="98"/>
                </w:rPr>
                <w:t>L.P., dated March 5, 2021.</w:t>
              </w:r>
            </w:hyperlink>
          </w:p>
        </w:tc>
        <w:tc>
          <w:tcPr>
            <w:tcW w:w="2760" w:type="dxa"/>
            <w:vAlign w:val="bottom"/>
            <w:tcBorders>
              <w:top w:val="single" w:sz="8" w:color="0000FF"/>
            </w:tcBorders>
            <w:gridSpan w:val="34"/>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588"/>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31"/>
          </w:tcPr>
          <w:p>
            <w:pPr>
              <w:jc w:val="center"/>
              <w:ind w:left="3430"/>
              <w:spacing w:after="0"/>
              <w:rPr>
                <w:sz w:val="20"/>
                <w:szCs w:val="20"/>
                <w:color w:val="auto"/>
              </w:rPr>
            </w:pPr>
            <w:r>
              <w:rPr>
                <w:rFonts w:ascii="Times New Roman" w:cs="Times New Roman" w:eastAsia="Times New Roman" w:hAnsi="Times New Roman"/>
                <w:sz w:val="18"/>
                <w:szCs w:val="18"/>
                <w:color w:val="auto"/>
                <w:w w:val="99"/>
              </w:rPr>
              <w:t>91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1457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19"/>
                <w:szCs w:val="19"/>
                <w:color w:val="auto"/>
              </w:rPr>
            </w:pP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r>
      <w:tr>
        <w:trPr>
          <w:trHeight w:val="177"/>
        </w:trPr>
        <w:tc>
          <w:tcPr>
            <w:tcW w:w="680" w:type="dxa"/>
            <w:vAlign w:val="bottom"/>
          </w:tcPr>
          <w:p>
            <w:pPr>
              <w:jc w:val="center"/>
              <w:spacing w:after="0" w:line="177" w:lineRule="exact"/>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5"/>
                <w:szCs w:val="15"/>
                <w:color w:val="auto"/>
              </w:rPr>
            </w:pPr>
          </w:p>
        </w:tc>
        <w:tc>
          <w:tcPr>
            <w:tcW w:w="1340" w:type="dxa"/>
            <w:vAlign w:val="bottom"/>
          </w:tcPr>
          <w:p>
            <w:pPr>
              <w:jc w:val="center"/>
              <w:spacing w:after="0" w:line="177" w:lineRule="exact"/>
              <w:rPr>
                <w:sz w:val="20"/>
                <w:szCs w:val="20"/>
                <w:color w:val="auto"/>
              </w:rPr>
            </w:pPr>
            <w:r>
              <w:rPr>
                <w:rFonts w:ascii="Arial" w:cs="Arial" w:eastAsia="Arial" w:hAnsi="Arial"/>
                <w:sz w:val="18"/>
                <w:szCs w:val="18"/>
                <w:color w:val="auto"/>
                <w:w w:val="99"/>
              </w:rPr>
              <w:t>001-41331</w:t>
            </w:r>
          </w:p>
        </w:tc>
        <w:tc>
          <w:tcPr>
            <w:tcW w:w="100" w:type="dxa"/>
            <w:vAlign w:val="bottom"/>
          </w:tcPr>
          <w:p>
            <w:pPr>
              <w:spacing w:after="0"/>
              <w:rPr>
                <w:sz w:val="15"/>
                <w:szCs w:val="15"/>
                <w:color w:val="auto"/>
              </w:rPr>
            </w:pPr>
          </w:p>
        </w:tc>
        <w:tc>
          <w:tcPr>
            <w:tcW w:w="1000" w:type="dxa"/>
            <w:vAlign w:val="bottom"/>
          </w:tcPr>
          <w:p>
            <w:pPr>
              <w:jc w:val="center"/>
              <w:spacing w:after="0" w:line="177"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600" w:type="dxa"/>
            <w:vAlign w:val="bottom"/>
          </w:tcPr>
          <w:p>
            <w:pPr>
              <w:jc w:val="center"/>
              <w:spacing w:after="0" w:line="177" w:lineRule="exact"/>
              <w:rPr>
                <w:sz w:val="20"/>
                <w:szCs w:val="20"/>
                <w:color w:val="auto"/>
              </w:rPr>
            </w:pPr>
            <w:r>
              <w:rPr>
                <w:rFonts w:ascii="Arial" w:cs="Arial" w:eastAsia="Arial" w:hAnsi="Arial"/>
                <w:sz w:val="18"/>
                <w:szCs w:val="18"/>
                <w:color w:val="auto"/>
                <w:w w:val="98"/>
              </w:rPr>
              <w:t>June 24 2025</w:t>
            </w:r>
          </w:p>
        </w:tc>
      </w:tr>
      <w:tr>
        <w:trPr>
          <w:trHeight w:val="203"/>
        </w:trPr>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9"/>
              </w:rPr>
              <w:t>S-1</w:t>
            </w:r>
          </w:p>
        </w:tc>
        <w:tc>
          <w:tcPr>
            <w:tcW w:w="146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333-263295</w:t>
            </w:r>
          </w:p>
        </w:tc>
        <w:tc>
          <w:tcPr>
            <w:tcW w:w="110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rPr>
              <w:t>March 4, 2022</w:t>
            </w:r>
          </w:p>
        </w:tc>
      </w:tr>
      <w:tr>
        <w:trPr>
          <w:trHeight w:val="239"/>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001-41331</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August 19, 2024</w:t>
            </w:r>
          </w:p>
        </w:tc>
      </w:tr>
      <w:tr>
        <w:trPr>
          <w:trHeight w:val="774"/>
        </w:trPr>
        <w:tc>
          <w:tcPr>
            <w:tcW w:w="6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333-263295</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March 21, 2022</w:t>
            </w:r>
          </w:p>
        </w:tc>
      </w:tr>
      <w:tr>
        <w:trPr>
          <w:trHeight w:val="239"/>
        </w:trPr>
        <w:tc>
          <w:tcPr>
            <w:tcW w:w="6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333-263295</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March 4, 2022</w:t>
            </w:r>
          </w:p>
        </w:tc>
      </w:tr>
      <w:tr>
        <w:trPr>
          <w:trHeight w:val="571"/>
        </w:trPr>
        <w:tc>
          <w:tcPr>
            <w:tcW w:w="6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001-41331</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March 29, 2023</w:t>
            </w:r>
          </w:p>
        </w:tc>
      </w:tr>
      <w:tr>
        <w:trPr>
          <w:trHeight w:val="239"/>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001-41331</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August 19,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60" w:type="dxa"/>
        <w:tblCellMar>
          <w:top w:w="0" w:type="dxa"/>
          <w:left w:w="0" w:type="dxa"/>
          <w:bottom w:w="0" w:type="dxa"/>
          <w:right w:w="0" w:type="dxa"/>
        </w:tblCellMar>
      </w:tblPr>
      <w:tr>
        <w:trPr>
          <w:trHeight w:val="239"/>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r>
        <w:trPr>
          <w:trHeight w:val="405"/>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r>
        <w:trPr>
          <w:trHeight w:val="774"/>
        </w:trPr>
        <w:tc>
          <w:tcPr>
            <w:tcW w:w="60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001-41331</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99"/>
              </w:rPr>
              <w:t>March 29, 2024</w:t>
            </w:r>
          </w:p>
        </w:tc>
      </w:tr>
      <w:tr>
        <w:trPr>
          <w:trHeight w:val="239"/>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r>
        <w:trPr>
          <w:trHeight w:val="608"/>
        </w:trPr>
        <w:tc>
          <w:tcPr>
            <w:tcW w:w="60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001-41331</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99"/>
              </w:rPr>
              <w:t>March 29, 2024</w:t>
            </w:r>
          </w:p>
        </w:tc>
      </w:tr>
      <w:tr>
        <w:trPr>
          <w:trHeight w:val="571"/>
        </w:trPr>
        <w:tc>
          <w:tcPr>
            <w:tcW w:w="60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001-41331</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99"/>
              </w:rPr>
              <w:t>March 29, 2024</w:t>
            </w:r>
          </w:p>
        </w:tc>
      </w:tr>
      <w:tr>
        <w:trPr>
          <w:trHeight w:val="239"/>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r>
        <w:trPr>
          <w:trHeight w:val="369"/>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r>
        <w:trPr>
          <w:trHeight w:val="239"/>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r>
        <w:trPr>
          <w:trHeight w:val="405"/>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rPr>
              <w:t>10.10</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r>
        <w:trPr>
          <w:trHeight w:val="405"/>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rPr>
              <w:t>10.11</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r>
        <w:trPr>
          <w:trHeight w:val="405"/>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rPr>
              <w:t>10.12</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r>
        <w:trPr>
          <w:trHeight w:val="405"/>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rPr>
              <w:t>10.13</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r>
        <w:trPr>
          <w:trHeight w:val="608"/>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rPr>
              <w:t>10.14</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r>
        <w:trPr>
          <w:trHeight w:val="405"/>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20" w:type="dxa"/>
            <w:vAlign w:val="bottom"/>
          </w:tcPr>
          <w:p>
            <w:pPr>
              <w:jc w:val="center"/>
              <w:spacing w:after="0"/>
              <w:rPr>
                <w:sz w:val="20"/>
                <w:szCs w:val="20"/>
                <w:color w:val="auto"/>
              </w:rPr>
            </w:pPr>
            <w:r>
              <w:rPr>
                <w:rFonts w:ascii="Arial" w:cs="Arial" w:eastAsia="Arial" w:hAnsi="Arial"/>
                <w:sz w:val="18"/>
                <w:szCs w:val="18"/>
                <w:color w:val="auto"/>
              </w:rPr>
              <w:t>10.15</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rPr>
              <w:t>March 4, 2022</w:t>
            </w:r>
          </w:p>
        </w:tc>
      </w:tr>
    </w:tbl>
    <w:p>
      <w:pPr>
        <w:sectPr>
          <w:pgSz w:w="11900" w:h="16838" w:orient="portrait"/>
          <w:cols w:equalWidth="0" w:num="2">
            <w:col w:w="6180" w:space="100"/>
            <w:col w:w="4960"/>
          </w:cols>
          <w:pgMar w:left="320" w:top="985"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40" w:type="dxa"/>
            <w:vAlign w:val="bottom"/>
            <w:gridSpan w:val="26"/>
          </w:tcPr>
          <w:p>
            <w:pPr>
              <w:ind w:left="520"/>
              <w:spacing w:after="0"/>
              <w:rPr>
                <w:sz w:val="20"/>
                <w:szCs w:val="20"/>
                <w:color w:val="auto"/>
              </w:rPr>
            </w:pPr>
            <w:r>
              <w:rPr>
                <w:rFonts w:ascii="Arial" w:cs="Arial" w:eastAsia="Arial" w:hAnsi="Arial"/>
                <w:sz w:val="18"/>
                <w:szCs w:val="18"/>
                <w:b w:val="1"/>
                <w:bCs w:val="1"/>
                <w:color w:val="auto"/>
              </w:rPr>
              <w:t>Description</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10.16#</w:t>
            </w:r>
          </w:p>
        </w:tc>
        <w:tc>
          <w:tcPr>
            <w:tcW w:w="140" w:type="dxa"/>
            <w:vAlign w:val="bottom"/>
          </w:tcPr>
          <w:p>
            <w:pPr>
              <w:spacing w:after="0"/>
              <w:rPr>
                <w:sz w:val="14"/>
                <w:szCs w:val="14"/>
                <w:color w:val="auto"/>
              </w:rPr>
            </w:pPr>
          </w:p>
        </w:tc>
        <w:tc>
          <w:tcPr>
            <w:tcW w:w="5020" w:type="dxa"/>
            <w:vAlign w:val="bottom"/>
            <w:tcBorders>
              <w:top w:val="single" w:sz="8" w:color="auto"/>
            </w:tcBorders>
            <w:gridSpan w:val="26"/>
          </w:tcPr>
          <w:p>
            <w:pPr>
              <w:spacing w:after="0" w:line="169" w:lineRule="exact"/>
              <w:rPr>
                <w:rFonts w:ascii="Arial" w:cs="Arial" w:eastAsia="Arial" w:hAnsi="Arial"/>
                <w:sz w:val="18"/>
                <w:szCs w:val="18"/>
                <w:color w:val="0000FF"/>
              </w:rPr>
            </w:pPr>
            <w:hyperlink r:id="rId146">
              <w:r>
                <w:rPr>
                  <w:rFonts w:ascii="Arial" w:cs="Arial" w:eastAsia="Arial" w:hAnsi="Arial"/>
                  <w:sz w:val="18"/>
                  <w:szCs w:val="18"/>
                  <w:color w:val="0000FF"/>
                </w:rPr>
                <w:t>Offer Letter by and between the Registrant and Joshua Eizen,</w:t>
              </w:r>
            </w:hyperlink>
          </w:p>
        </w:tc>
        <w:tc>
          <w:tcPr>
            <w:tcW w:w="100" w:type="dxa"/>
            <w:vAlign w:val="bottom"/>
          </w:tcPr>
          <w:p>
            <w:pPr>
              <w:spacing w:after="0"/>
              <w:rPr>
                <w:sz w:val="14"/>
                <w:szCs w:val="14"/>
                <w:color w:val="auto"/>
              </w:rPr>
            </w:pPr>
          </w:p>
        </w:tc>
        <w:tc>
          <w:tcPr>
            <w:tcW w:w="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10-Q</w:t>
            </w:r>
          </w:p>
        </w:tc>
        <w:tc>
          <w:tcPr>
            <w:tcW w:w="120" w:type="dxa"/>
            <w:vAlign w:val="bottom"/>
          </w:tcPr>
          <w:p>
            <w:pPr>
              <w:spacing w:after="0"/>
              <w:rPr>
                <w:sz w:val="14"/>
                <w:szCs w:val="14"/>
                <w:color w:val="auto"/>
              </w:rPr>
            </w:pPr>
          </w:p>
        </w:tc>
        <w:tc>
          <w:tcPr>
            <w:tcW w:w="13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001-41331</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14"/>
                <w:szCs w:val="14"/>
                <w:color w:val="auto"/>
              </w:rPr>
            </w:pPr>
          </w:p>
        </w:tc>
        <w:tc>
          <w:tcPr>
            <w:tcW w:w="16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November 9, 2022</w:t>
            </w: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5"/>
                <w:szCs w:val="15"/>
                <w:color w:val="auto"/>
              </w:rPr>
            </w:pPr>
          </w:p>
        </w:tc>
        <w:tc>
          <w:tcPr>
            <w:tcW w:w="21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146">
              <w:r>
                <w:rPr>
                  <w:rFonts w:ascii="Arial" w:cs="Arial" w:eastAsia="Arial" w:hAnsi="Arial"/>
                  <w:sz w:val="18"/>
                  <w:szCs w:val="18"/>
                  <w:color w:val="0000FF"/>
                  <w:w w:val="98"/>
                </w:rPr>
                <w:t>dated September 19, 2022.</w:t>
              </w:r>
            </w:hyperlink>
          </w:p>
        </w:tc>
        <w:tc>
          <w:tcPr>
            <w:tcW w:w="20" w:type="dxa"/>
            <w:vAlign w:val="bottom"/>
            <w:tcBorders>
              <w:top w:val="single" w:sz="8" w:color="0000FF"/>
              <w:bottom w:val="single" w:sz="8" w:color="0000EE"/>
            </w:tcBorders>
          </w:tcPr>
          <w:p>
            <w:pPr>
              <w:spacing w:after="0"/>
              <w:rPr>
                <w:sz w:val="15"/>
                <w:szCs w:val="15"/>
                <w:color w:val="auto"/>
              </w:rPr>
            </w:pPr>
          </w:p>
        </w:tc>
        <w:tc>
          <w:tcPr>
            <w:tcW w:w="278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spacing w:after="0" w:line="182" w:lineRule="exact"/>
              <w:rPr>
                <w:sz w:val="20"/>
                <w:szCs w:val="20"/>
                <w:color w:val="auto"/>
              </w:rPr>
            </w:pPr>
            <w:r>
              <w:rPr>
                <w:rFonts w:ascii="Arial" w:cs="Arial" w:eastAsia="Arial" w:hAnsi="Arial"/>
                <w:sz w:val="18"/>
                <w:szCs w:val="18"/>
                <w:color w:val="0000FF"/>
                <w:w w:val="95"/>
              </w:rPr>
              <w:t>AN2 Therapeutics, Inc. 2024</w:t>
            </w:r>
          </w:p>
        </w:tc>
        <w:tc>
          <w:tcPr>
            <w:tcW w:w="2920" w:type="dxa"/>
            <w:vAlign w:val="bottom"/>
            <w:gridSpan w:val="22"/>
          </w:tcPr>
          <w:p>
            <w:pPr>
              <w:ind w:left="120"/>
              <w:spacing w:after="0" w:line="182" w:lineRule="exact"/>
              <w:rPr>
                <w:sz w:val="20"/>
                <w:szCs w:val="20"/>
                <w:color w:val="auto"/>
              </w:rPr>
            </w:pPr>
            <w:r>
              <w:rPr>
                <w:rFonts w:ascii="Arial" w:cs="Arial" w:eastAsia="Arial" w:hAnsi="Arial"/>
                <w:sz w:val="18"/>
                <w:szCs w:val="18"/>
                <w:color w:val="0000FF"/>
              </w:rPr>
              <w:t>Amended Non-Employee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10.18</w:t>
            </w: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38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Director Compensation Policy</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27"/>
          </w:tcPr>
          <w:p>
            <w:pPr>
              <w:spacing w:after="0" w:line="182" w:lineRule="exact"/>
              <w:rPr>
                <w:sz w:val="20"/>
                <w:szCs w:val="20"/>
                <w:color w:val="auto"/>
              </w:rPr>
            </w:pPr>
            <w:r>
              <w:rPr>
                <w:rFonts w:ascii="Arial" w:cs="Arial" w:eastAsia="Arial" w:hAnsi="Arial"/>
                <w:sz w:val="18"/>
                <w:szCs w:val="18"/>
                <w:color w:val="0000FF"/>
              </w:rPr>
              <w:t>Exclusive Patent License Agreement, dated October 10, 2023,</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by and between the Registrant and the University of Georgia</w:t>
            </w:r>
          </w:p>
        </w:tc>
        <w:tc>
          <w:tcPr>
            <w:tcW w:w="12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Research Foundation, Inc</w:t>
            </w:r>
          </w:p>
        </w:tc>
        <w:tc>
          <w:tcPr>
            <w:tcW w:w="20" w:type="dxa"/>
            <w:vAlign w:val="bottom"/>
            <w:tcBorders>
              <w:top w:val="single" w:sz="8" w:color="0000FF"/>
              <w:bottom w:val="single" w:sz="8" w:color="0000EE"/>
            </w:tcBorders>
          </w:tcPr>
          <w:p>
            <w:pPr>
              <w:spacing w:after="0"/>
              <w:rPr>
                <w:sz w:val="15"/>
                <w:szCs w:val="15"/>
                <w:color w:val="auto"/>
              </w:rPr>
            </w:pPr>
          </w:p>
        </w:tc>
        <w:tc>
          <w:tcPr>
            <w:tcW w:w="2800" w:type="dxa"/>
            <w:vAlign w:val="bottom"/>
            <w:tcBorders>
              <w:top w:val="single" w:sz="8" w:color="0000FF"/>
            </w:tcBorders>
            <w:gridSpan w:val="19"/>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6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9"/>
              </w:rPr>
              <w:t>AN2 Therapeutics, Inc. 2022 Insider Trading Policy</w:t>
            </w:r>
          </w:p>
        </w:tc>
        <w:tc>
          <w:tcPr>
            <w:tcW w:w="20" w:type="dxa"/>
            <w:vAlign w:val="bottom"/>
            <w:tcBorders>
              <w:bottom w:val="single" w:sz="8" w:color="0000EE"/>
            </w:tcBorders>
          </w:tcPr>
          <w:p>
            <w:pPr>
              <w:spacing w:after="0"/>
              <w:rPr>
                <w:sz w:val="15"/>
                <w:szCs w:val="15"/>
                <w:color w:val="auto"/>
              </w:rPr>
            </w:pPr>
          </w:p>
        </w:tc>
        <w:tc>
          <w:tcPr>
            <w:tcW w:w="1040" w:type="dxa"/>
            <w:vAlign w:val="bottom"/>
            <w:gridSpan w:val="14"/>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23.1*</w:t>
            </w:r>
          </w:p>
        </w:tc>
        <w:tc>
          <w:tcPr>
            <w:tcW w:w="140" w:type="dxa"/>
            <w:vAlign w:val="bottom"/>
          </w:tcPr>
          <w:p>
            <w:pPr>
              <w:spacing w:after="0"/>
              <w:rPr>
                <w:sz w:val="15"/>
                <w:szCs w:val="15"/>
                <w:color w:val="auto"/>
              </w:rPr>
            </w:pPr>
          </w:p>
        </w:tc>
        <w:tc>
          <w:tcPr>
            <w:tcW w:w="5120" w:type="dxa"/>
            <w:vAlign w:val="bottom"/>
            <w:gridSpan w:val="27"/>
          </w:tcPr>
          <w:p>
            <w:pPr>
              <w:spacing w:after="0" w:line="182" w:lineRule="exact"/>
              <w:rPr>
                <w:sz w:val="20"/>
                <w:szCs w:val="20"/>
                <w:color w:val="auto"/>
              </w:rPr>
            </w:pPr>
            <w:r>
              <w:rPr>
                <w:rFonts w:ascii="Arial" w:cs="Arial" w:eastAsia="Arial" w:hAnsi="Arial"/>
                <w:sz w:val="18"/>
                <w:szCs w:val="18"/>
                <w:color w:val="0000FF"/>
              </w:rPr>
              <w:t>Consent of PricewaterhouseCoopers LLP, independent</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5"/>
                <w:szCs w:val="15"/>
                <w:color w:val="auto"/>
              </w:rPr>
            </w:pPr>
          </w:p>
        </w:tc>
        <w:tc>
          <w:tcPr>
            <w:tcW w:w="444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registered public accounting firm.</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27"/>
          </w:tcPr>
          <w:p>
            <w:pPr>
              <w:spacing w:after="0" w:line="182" w:lineRule="exact"/>
              <w:rPr>
                <w:sz w:val="20"/>
                <w:szCs w:val="20"/>
                <w:color w:val="auto"/>
              </w:rPr>
            </w:pPr>
            <w:r>
              <w:rPr>
                <w:rFonts w:ascii="Arial" w:cs="Arial" w:eastAsia="Arial" w:hAnsi="Arial"/>
                <w:sz w:val="18"/>
                <w:szCs w:val="18"/>
                <w:color w:val="0000FF"/>
              </w:rPr>
              <w:t>Power of Attorney (incorporated by reference to the signature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5"/>
                <w:szCs w:val="15"/>
                <w:color w:val="auto"/>
              </w:rPr>
            </w:pPr>
          </w:p>
        </w:tc>
        <w:tc>
          <w:tcPr>
            <w:tcW w:w="492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page to this Annual Report on Form 10-K.)</w:t>
            </w:r>
          </w:p>
        </w:tc>
        <w:tc>
          <w:tcPr>
            <w:tcW w:w="20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Certification of Principal Executive Officer</w:t>
            </w:r>
          </w:p>
        </w:tc>
        <w:tc>
          <w:tcPr>
            <w:tcW w:w="20" w:type="dxa"/>
            <w:vAlign w:val="bottom"/>
            <w:tcBorders>
              <w:top w:val="single" w:sz="8" w:color="0000EE"/>
            </w:tcBorders>
          </w:tcPr>
          <w:p>
            <w:pPr>
              <w:spacing w:after="0"/>
              <w:rPr>
                <w:sz w:val="15"/>
                <w:szCs w:val="15"/>
                <w:color w:val="auto"/>
              </w:rPr>
            </w:pPr>
          </w:p>
        </w:tc>
        <w:tc>
          <w:tcPr>
            <w:tcW w:w="1720" w:type="dxa"/>
            <w:vAlign w:val="bottom"/>
            <w:gridSpan w:val="16"/>
          </w:tcPr>
          <w:p>
            <w:pPr>
              <w:spacing w:after="0" w:line="182" w:lineRule="exact"/>
              <w:rPr>
                <w:sz w:val="20"/>
                <w:szCs w:val="20"/>
                <w:color w:val="auto"/>
              </w:rPr>
            </w:pPr>
            <w:r>
              <w:rPr>
                <w:rFonts w:ascii="Arial" w:cs="Arial" w:eastAsia="Arial" w:hAnsi="Arial"/>
                <w:sz w:val="18"/>
                <w:szCs w:val="18"/>
                <w:color w:val="0000FF"/>
              </w:rPr>
              <w:t>Pursuant to Rules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2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13a-14(a) and 15d-14(a) under the Securities Exchange Act</w:t>
            </w:r>
          </w:p>
        </w:tc>
        <w:tc>
          <w:tcPr>
            <w:tcW w:w="300" w:type="dxa"/>
            <w:vAlign w:val="bottom"/>
            <w:gridSpan w:val="7"/>
          </w:tcPr>
          <w:p>
            <w:pPr>
              <w:spacing w:after="0" w:line="182" w:lineRule="exact"/>
              <w:rPr>
                <w:sz w:val="20"/>
                <w:szCs w:val="20"/>
                <w:color w:val="auto"/>
              </w:rPr>
            </w:pPr>
            <w:r>
              <w:rPr>
                <w:rFonts w:ascii="Arial" w:cs="Arial" w:eastAsia="Arial" w:hAnsi="Arial"/>
                <w:sz w:val="18"/>
                <w:szCs w:val="18"/>
                <w:color w:val="0000FF"/>
              </w:rPr>
              <w:t>of</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1934, as Adopted Pursuant to Section 302 of the Sarbanes-</w:t>
            </w:r>
          </w:p>
        </w:tc>
        <w:tc>
          <w:tcPr>
            <w:tcW w:w="12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5"/>
                <w:szCs w:val="15"/>
                <w:color w:val="auto"/>
              </w:rPr>
            </w:pPr>
          </w:p>
        </w:tc>
        <w:tc>
          <w:tcPr>
            <w:tcW w:w="476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Oxley Act of 2002.</w:t>
            </w: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27"/>
          </w:tcPr>
          <w:p>
            <w:pPr>
              <w:spacing w:after="0" w:line="182" w:lineRule="exact"/>
              <w:rPr>
                <w:sz w:val="20"/>
                <w:szCs w:val="20"/>
                <w:color w:val="auto"/>
              </w:rPr>
            </w:pPr>
            <w:r>
              <w:rPr>
                <w:rFonts w:ascii="Arial" w:cs="Arial" w:eastAsia="Arial" w:hAnsi="Arial"/>
                <w:sz w:val="18"/>
                <w:szCs w:val="18"/>
                <w:color w:val="0000FF"/>
              </w:rPr>
              <w:t>Certification of Principal Financial Officer Pursuant to Rules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8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w w:val="99"/>
              </w:rPr>
              <w:t>13a-14(a) and 15d-14(a) under the Securities Exchange Act</w:t>
            </w:r>
          </w:p>
        </w:tc>
        <w:tc>
          <w:tcPr>
            <w:tcW w:w="340" w:type="dxa"/>
            <w:vAlign w:val="bottom"/>
            <w:gridSpan w:val="8"/>
          </w:tcPr>
          <w:p>
            <w:pPr>
              <w:ind w:left="40"/>
              <w:spacing w:after="0" w:line="182" w:lineRule="exact"/>
              <w:rPr>
                <w:sz w:val="20"/>
                <w:szCs w:val="20"/>
                <w:color w:val="auto"/>
              </w:rPr>
            </w:pPr>
            <w:r>
              <w:rPr>
                <w:rFonts w:ascii="Arial" w:cs="Arial" w:eastAsia="Arial" w:hAnsi="Arial"/>
                <w:sz w:val="18"/>
                <w:szCs w:val="18"/>
                <w:color w:val="0000FF"/>
              </w:rPr>
              <w:t>of</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1934, as Adopted Pursuant to Section 302 of the Sarbanes-</w:t>
            </w:r>
          </w:p>
        </w:tc>
        <w:tc>
          <w:tcPr>
            <w:tcW w:w="12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5"/>
                <w:szCs w:val="15"/>
                <w:color w:val="auto"/>
              </w:rPr>
            </w:pPr>
          </w:p>
        </w:tc>
        <w:tc>
          <w:tcPr>
            <w:tcW w:w="476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Oxley Act of 2002.</w:t>
            </w:r>
          </w:p>
        </w:tc>
        <w:tc>
          <w:tcPr>
            <w:tcW w:w="100" w:type="dxa"/>
            <w:vAlign w:val="bottom"/>
            <w:gridSpan w:val="3"/>
          </w:tcPr>
          <w:p>
            <w:pPr>
              <w:spacing w:after="0"/>
              <w:rPr>
                <w:sz w:val="15"/>
                <w:szCs w:val="15"/>
                <w:color w:val="auto"/>
              </w:rPr>
            </w:pPr>
          </w:p>
        </w:tc>
        <w:tc>
          <w:tcPr>
            <w:tcW w:w="26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27"/>
          </w:tcPr>
          <w:p>
            <w:pPr>
              <w:spacing w:after="0" w:line="182" w:lineRule="exact"/>
              <w:rPr>
                <w:sz w:val="20"/>
                <w:szCs w:val="20"/>
                <w:color w:val="auto"/>
              </w:rPr>
            </w:pPr>
            <w:r>
              <w:rPr>
                <w:rFonts w:ascii="Arial" w:cs="Arial" w:eastAsia="Arial" w:hAnsi="Arial"/>
                <w:sz w:val="18"/>
                <w:szCs w:val="18"/>
                <w:color w:val="0000FF"/>
              </w:rPr>
              <w:t>Certification of Principal Executive Officer Pursuant to 18</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w w:val="98"/>
              </w:rPr>
              <w:t>U.S.C. Section 1350, as Adopted Pursuant to Section 906</w:t>
            </w:r>
          </w:p>
        </w:tc>
        <w:tc>
          <w:tcPr>
            <w:tcW w:w="560" w:type="dxa"/>
            <w:vAlign w:val="bottom"/>
            <w:gridSpan w:val="10"/>
          </w:tcPr>
          <w:p>
            <w:pPr>
              <w:ind w:left="100"/>
              <w:spacing w:after="0" w:line="182" w:lineRule="exact"/>
              <w:rPr>
                <w:sz w:val="20"/>
                <w:szCs w:val="20"/>
                <w:color w:val="auto"/>
              </w:rPr>
            </w:pPr>
            <w:r>
              <w:rPr>
                <w:rFonts w:ascii="Arial" w:cs="Arial" w:eastAsia="Arial" w:hAnsi="Arial"/>
                <w:sz w:val="18"/>
                <w:szCs w:val="18"/>
                <w:color w:val="0000FF"/>
              </w:rPr>
              <w:t>of</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5"/>
                <w:szCs w:val="15"/>
                <w:color w:val="auto"/>
              </w:rPr>
            </w:pPr>
          </w:p>
        </w:tc>
        <w:tc>
          <w:tcPr>
            <w:tcW w:w="264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the Sarbanes-Oxley Act of 2002.</w:t>
            </w:r>
          </w:p>
        </w:tc>
        <w:tc>
          <w:tcPr>
            <w:tcW w:w="2220" w:type="dxa"/>
            <w:vAlign w:val="bottom"/>
            <w:tcBorders>
              <w:top w:val="single" w:sz="8" w:color="0000FF"/>
            </w:tcBorders>
            <w:gridSpan w:val="12"/>
          </w:tcPr>
          <w:p>
            <w:pPr>
              <w:spacing w:after="0"/>
              <w:rPr>
                <w:sz w:val="15"/>
                <w:szCs w:val="15"/>
                <w:color w:val="auto"/>
              </w:rPr>
            </w:pPr>
          </w:p>
        </w:tc>
        <w:tc>
          <w:tcPr>
            <w:tcW w:w="26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7"/>
              </w:rPr>
              <w:t>Certification of Principal Financial</w:t>
            </w:r>
          </w:p>
        </w:tc>
        <w:tc>
          <w:tcPr>
            <w:tcW w:w="1860" w:type="dxa"/>
            <w:vAlign w:val="bottom"/>
            <w:tcBorders>
              <w:bottom w:val="single" w:sz="8" w:color="0000FF"/>
            </w:tcBorders>
            <w:gridSpan w:val="7"/>
          </w:tcPr>
          <w:p>
            <w:pPr>
              <w:jc w:val="center"/>
              <w:spacing w:after="0" w:line="182" w:lineRule="exact"/>
              <w:rPr>
                <w:sz w:val="20"/>
                <w:szCs w:val="20"/>
                <w:color w:val="auto"/>
              </w:rPr>
            </w:pPr>
            <w:r>
              <w:rPr>
                <w:rFonts w:ascii="Arial" w:cs="Arial" w:eastAsia="Arial" w:hAnsi="Arial"/>
                <w:sz w:val="18"/>
                <w:szCs w:val="18"/>
                <w:color w:val="0000FF"/>
              </w:rPr>
              <w:t>Officer Pursuant to 18</w:t>
            </w:r>
          </w:p>
        </w:tc>
        <w:tc>
          <w:tcPr>
            <w:tcW w:w="620" w:type="dxa"/>
            <w:vAlign w:val="bottom"/>
            <w:gridSpan w:val="11"/>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27"/>
          </w:tcPr>
          <w:p>
            <w:pPr>
              <w:spacing w:after="0" w:line="182" w:lineRule="exact"/>
              <w:rPr>
                <w:sz w:val="20"/>
                <w:szCs w:val="20"/>
                <w:color w:val="auto"/>
              </w:rPr>
            </w:pPr>
            <w:r>
              <w:rPr>
                <w:rFonts w:ascii="Arial" w:cs="Arial" w:eastAsia="Arial" w:hAnsi="Arial"/>
                <w:sz w:val="18"/>
                <w:szCs w:val="18"/>
                <w:color w:val="0000FF"/>
              </w:rPr>
              <w:t>U.S.C. Section 1350, as Adopted Pursuant to Section 906 of</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97.1</w:t>
            </w:r>
          </w:p>
        </w:tc>
        <w:tc>
          <w:tcPr>
            <w:tcW w:w="140" w:type="dxa"/>
            <w:vAlign w:val="bottom"/>
          </w:tcPr>
          <w:p>
            <w:pPr>
              <w:spacing w:after="0"/>
              <w:rPr>
                <w:sz w:val="15"/>
                <w:szCs w:val="15"/>
                <w:color w:val="auto"/>
              </w:rPr>
            </w:pPr>
          </w:p>
        </w:tc>
        <w:tc>
          <w:tcPr>
            <w:tcW w:w="486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the Sarbanes-Oxley Act of 2002.</w:t>
            </w:r>
          </w:p>
        </w:tc>
        <w:tc>
          <w:tcPr>
            <w:tcW w:w="260" w:type="dxa"/>
            <w:vAlign w:val="bottom"/>
            <w:gridSpan w:val="6"/>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9"/>
              </w:rPr>
              <w:t>001-41331</w:t>
            </w:r>
          </w:p>
        </w:tc>
        <w:tc>
          <w:tcPr>
            <w:tcW w:w="11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6"/>
              </w:rPr>
              <w:t>97.1</w:t>
            </w:r>
          </w:p>
        </w:tc>
        <w:tc>
          <w:tcPr>
            <w:tcW w:w="120" w:type="dxa"/>
            <w:vAlign w:val="bottom"/>
          </w:tcPr>
          <w:p>
            <w:pPr>
              <w:spacing w:after="0"/>
              <w:rPr>
                <w:sz w:val="15"/>
                <w:szCs w:val="15"/>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March 29, 2024</w:t>
            </w: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Compensation Recovery Policy.</w:t>
              </w:r>
            </w:hyperlink>
          </w:p>
        </w:tc>
        <w:tc>
          <w:tcPr>
            <w:tcW w:w="2480" w:type="dxa"/>
            <w:vAlign w:val="bottom"/>
            <w:gridSpan w:val="18"/>
          </w:tcPr>
          <w:p>
            <w:pPr>
              <w:spacing w:after="0"/>
              <w:rPr>
                <w:sz w:val="15"/>
                <w:szCs w:val="15"/>
                <w:color w:val="auto"/>
              </w:rPr>
            </w:pPr>
          </w:p>
        </w:tc>
        <w:tc>
          <w:tcPr>
            <w:tcW w:w="68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20" w:type="dxa"/>
            <w:vAlign w:val="bottom"/>
          </w:tcPr>
          <w:p>
            <w:pPr>
              <w:ind w:left="20"/>
              <w:spacing w:after="0" w:line="191" w:lineRule="exact"/>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6"/>
                <w:szCs w:val="16"/>
                <w:color w:val="auto"/>
              </w:rPr>
            </w:pPr>
          </w:p>
        </w:tc>
        <w:tc>
          <w:tcPr>
            <w:tcW w:w="2540" w:type="dxa"/>
            <w:vAlign w:val="bottom"/>
            <w:tcBorders>
              <w:top w:val="single" w:sz="8" w:color="0000FF"/>
            </w:tcBorders>
            <w:gridSpan w:val="7"/>
          </w:tcPr>
          <w:p>
            <w:pPr>
              <w:spacing w:after="0" w:line="191" w:lineRule="exact"/>
              <w:rPr>
                <w:sz w:val="20"/>
                <w:szCs w:val="20"/>
                <w:color w:val="auto"/>
              </w:rPr>
            </w:pPr>
            <w:r>
              <w:rPr>
                <w:rFonts w:ascii="Arial" w:cs="Arial" w:eastAsia="Arial" w:hAnsi="Arial"/>
                <w:sz w:val="18"/>
                <w:szCs w:val="18"/>
                <w:color w:val="auto"/>
                <w:w w:val="98"/>
              </w:rPr>
              <w:t>Inline XBRL Instance Document</w:t>
            </w:r>
          </w:p>
        </w:tc>
        <w:tc>
          <w:tcPr>
            <w:tcW w:w="20" w:type="dxa"/>
            <w:vAlign w:val="bottom"/>
            <w:tcBorders>
              <w:top w:val="single" w:sz="8" w:color="0000EE"/>
            </w:tcBorders>
          </w:tcPr>
          <w:p>
            <w:pPr>
              <w:spacing w:after="0"/>
              <w:rPr>
                <w:sz w:val="16"/>
                <w:szCs w:val="16"/>
                <w:color w:val="auto"/>
              </w:rPr>
            </w:pPr>
          </w:p>
        </w:tc>
        <w:tc>
          <w:tcPr>
            <w:tcW w:w="2560" w:type="dxa"/>
            <w:vAlign w:val="bottom"/>
            <w:gridSpan w:val="19"/>
          </w:tcPr>
          <w:p>
            <w:pPr>
              <w:jc w:val="center"/>
              <w:ind w:right="520"/>
              <w:spacing w:after="0" w:line="191" w:lineRule="exact"/>
              <w:rPr>
                <w:sz w:val="20"/>
                <w:szCs w:val="20"/>
                <w:color w:val="auto"/>
              </w:rPr>
            </w:pPr>
            <w:r>
              <w:rPr>
                <w:rFonts w:ascii="Arial" w:cs="Arial" w:eastAsia="Arial" w:hAnsi="Arial"/>
                <w:sz w:val="18"/>
                <w:szCs w:val="18"/>
                <w:color w:val="auto"/>
                <w:w w:val="99"/>
              </w:rPr>
              <w:t>– the instance document</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27"/>
          </w:tcPr>
          <w:p>
            <w:pPr>
              <w:spacing w:after="0" w:line="202" w:lineRule="exact"/>
              <w:rPr>
                <w:sz w:val="20"/>
                <w:szCs w:val="20"/>
                <w:color w:val="auto"/>
              </w:rPr>
            </w:pPr>
            <w:r>
              <w:rPr>
                <w:rFonts w:ascii="Arial" w:cs="Arial" w:eastAsia="Arial" w:hAnsi="Arial"/>
                <w:sz w:val="18"/>
                <w:szCs w:val="18"/>
                <w:color w:val="auto"/>
              </w:rPr>
              <w:t>does not appear in the Interactive Data File because XBRL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27"/>
          </w:tcPr>
          <w:p>
            <w:pPr>
              <w:spacing w:after="0" w:line="202" w:lineRule="exact"/>
              <w:rPr>
                <w:sz w:val="20"/>
                <w:szCs w:val="20"/>
                <w:color w:val="auto"/>
              </w:rPr>
            </w:pPr>
            <w:r>
              <w:rPr>
                <w:rFonts w:ascii="Arial" w:cs="Arial" w:eastAsia="Arial" w:hAnsi="Arial"/>
                <w:sz w:val="18"/>
                <w:szCs w:val="18"/>
                <w:color w:val="auto"/>
              </w:rPr>
              <w:t>tags are embedded within the Inline XBRL document.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7"/>
                <w:szCs w:val="17"/>
                <w:color w:val="auto"/>
              </w:rPr>
            </w:pPr>
          </w:p>
        </w:tc>
        <w:tc>
          <w:tcPr>
            <w:tcW w:w="5120" w:type="dxa"/>
            <w:vAlign w:val="bottom"/>
            <w:gridSpan w:val="27"/>
          </w:tcPr>
          <w:p>
            <w:pPr>
              <w:spacing w:after="0" w:line="202" w:lineRule="exact"/>
              <w:rPr>
                <w:sz w:val="20"/>
                <w:szCs w:val="20"/>
                <w:color w:val="auto"/>
              </w:rPr>
            </w:pPr>
            <w:r>
              <w:rPr>
                <w:rFonts w:ascii="Arial" w:cs="Arial" w:eastAsia="Arial" w:hAnsi="Arial"/>
                <w:sz w:val="18"/>
                <w:szCs w:val="18"/>
                <w:color w:val="auto"/>
              </w:rPr>
              <w:t>Inline XBRL Taxonomy Extension Schema With Embedded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20" w:type="dxa"/>
            <w:vAlign w:val="bottom"/>
            <w:gridSpan w:val="27"/>
          </w:tcPr>
          <w:p>
            <w:pPr>
              <w:spacing w:after="0"/>
              <w:rPr>
                <w:sz w:val="20"/>
                <w:szCs w:val="20"/>
                <w:color w:val="auto"/>
              </w:rPr>
            </w:pPr>
            <w:r>
              <w:rPr>
                <w:rFonts w:ascii="Arial" w:cs="Arial" w:eastAsia="Arial" w:hAnsi="Arial"/>
                <w:sz w:val="18"/>
                <w:szCs w:val="18"/>
                <w:color w:val="auto"/>
              </w:rPr>
              <w:t>Linkbase Documents**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160" w:right="5240" w:hanging="1139"/>
        <w:spacing w:after="0" w:line="250" w:lineRule="auto"/>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9512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09" w:lineRule="exact"/>
        <w:rPr>
          <w:sz w:val="20"/>
          <w:szCs w:val="20"/>
          <w:color w:val="auto"/>
        </w:rPr>
      </w:pPr>
    </w:p>
    <w:p>
      <w:pPr>
        <w:ind w:right="240" w:firstLine="8"/>
        <w:spacing w:after="0" w:line="285" w:lineRule="auto"/>
        <w:tabs>
          <w:tab w:leader="none" w:pos="1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Portions of this exhibit (indicated by [*]) have been omitted because the registrant has determined that the information is both not material and is the type that the registrant treats as private or confidential.</w:t>
      </w:r>
    </w:p>
    <w:p>
      <w:pPr>
        <w:spacing w:after="0" w:line="50" w:lineRule="exact"/>
        <w:rPr>
          <w:sz w:val="20"/>
          <w:szCs w:val="20"/>
          <w:color w:val="auto"/>
        </w:rPr>
      </w:pPr>
    </w:p>
    <w:p>
      <w:pPr>
        <w:ind w:right="40" w:firstLine="8"/>
        <w:spacing w:after="0" w:line="258" w:lineRule="auto"/>
        <w:tabs>
          <w:tab w:leader="none" w:pos="152"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following materials are formatted in Inline XBRL (Extensible Business Reporting Language): (i) the cover page; (ii) the Balance Sheets as of December 31, 2024 and 2023; (iii) the Statements of Operations and Comprehensive Loss for the years ended December 31, 2024 and 2023; (iv) the Statements of Stockholders’ Equity for the years ended December 31, 2024 and 2023; (vi) the Statements of Cash Flows for the years ended December 31, 2024 and 2023; (vii) Notes to Financial Statements tagged as blocks of text.</w:t>
      </w:r>
    </w:p>
    <w:p>
      <w:pPr>
        <w:spacing w:after="0" w:line="250" w:lineRule="exact"/>
        <w:rPr>
          <w:sz w:val="20"/>
          <w:szCs w:val="20"/>
          <w:color w:val="auto"/>
        </w:rPr>
      </w:pPr>
    </w:p>
    <w:p>
      <w:pPr>
        <w:jc w:val="both"/>
        <w:ind w:right="60" w:firstLine="8"/>
        <w:spacing w:after="0" w:line="263" w:lineRule="auto"/>
        <w:tabs>
          <w:tab w:leader="none" w:pos="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certification attached as Exhibit 32.1 and Exhibit 32.2 that accompany this Annual Report is not deemed filed with the Securities and Exchange Commission and is not to be incorporated by reference into any filing of the Company under the Securities Act of 1933, as amended, or the Securities Exchange Act of 1934, as amended, whether made before or after the date of this Annual Report, irrespective of any general incorporation language contained in such filing.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4" w:name="page95"/>
    <w:bookmarkEnd w:id="94"/>
    <w:p>
      <w:pPr>
        <w:jc w:val="center"/>
        <w:ind w:left="480"/>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ind w:right="280" w:firstLine="509"/>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March 25, 2025</w:t>
      </w:r>
      <w:r>
        <w:rPr>
          <w:rFonts w:ascii="Arial" w:cs="Arial" w:eastAsia="Arial" w:hAnsi="Arial"/>
          <w:sz w:val="18"/>
          <w:szCs w:val="18"/>
          <w:b w:val="1"/>
          <w:bCs w:val="1"/>
          <w:color w:val="auto"/>
        </w:rPr>
        <w:t>.</w:t>
      </w:r>
    </w:p>
    <w:p>
      <w:pPr>
        <w:spacing w:after="0" w:line="1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AN2 Therapeutics, Inc.</w:t>
      </w:r>
    </w:p>
    <w:p>
      <w:pPr>
        <w:spacing w:after="0" w:line="198" w:lineRule="exact"/>
        <w:rPr>
          <w:sz w:val="20"/>
          <w:szCs w:val="20"/>
          <w:color w:val="auto"/>
        </w:rPr>
      </w:pPr>
    </w:p>
    <w:p>
      <w:pPr>
        <w:ind w:left="5580"/>
        <w:spacing w:after="0"/>
        <w:tabs>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Easom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8890</wp:posOffset>
            </wp:positionV>
            <wp:extent cx="32658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Eric Easom</w:t>
      </w:r>
    </w:p>
    <w:p>
      <w:pPr>
        <w:jc w:val="center"/>
        <w:ind w:left="606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180" w:lineRule="exact"/>
        <w:rPr>
          <w:sz w:val="20"/>
          <w:szCs w:val="20"/>
          <w:color w:val="auto"/>
        </w:rPr>
      </w:pPr>
    </w:p>
    <w:p>
      <w:pPr>
        <w:ind w:left="558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Lucy O.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8890</wp:posOffset>
            </wp:positionV>
            <wp:extent cx="32658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Lucy O. Day</w:t>
      </w:r>
    </w:p>
    <w:p>
      <w:pPr>
        <w:ind w:left="768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3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KNOW ALL PERSONS BY THESE PRESENTS, that each person whose signature appears below constitutes and appoints Eric Easom and Lucy O. Day,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95" w:name="page96"/>
    <w:bookmarkEnd w:id="95"/>
    <w:p>
      <w:pPr>
        <w:ind w:right="2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03" w:right="339" w:bottom="1440" w:gutter="0" w:footer="0" w:header="0"/>
        </w:sectPr>
      </w:pPr>
    </w:p>
    <w:p>
      <w:pPr>
        <w:spacing w:after="0" w:line="190"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571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5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Eric Easom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571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Eric Easom</w:t>
      </w:r>
    </w:p>
    <w:p>
      <w:pPr>
        <w:spacing w:after="0" w:line="24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Lucy O.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571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Lucy O. Day</w:t>
      </w:r>
    </w:p>
    <w:p>
      <w:pPr>
        <w:spacing w:after="0" w:line="5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Maggie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571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Maggie FItzPatrick</w:t>
      </w:r>
    </w:p>
    <w:p>
      <w:pPr>
        <w:spacing w:after="0" w:line="5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Kabeer Aziz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571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Kabeer Aziz</w:t>
      </w:r>
    </w:p>
    <w:p>
      <w:pPr>
        <w:spacing w:after="0" w:line="5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Gilbert L.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571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Gilbert L. Marks</w:t>
      </w:r>
    </w:p>
    <w:p>
      <w:pPr>
        <w:spacing w:after="0" w:line="59"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Patricia (Patty)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3571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Patricia (Patty) Martin</w:t>
      </w:r>
    </w:p>
    <w:p>
      <w:pPr>
        <w:spacing w:after="0" w:line="5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Rob Readnour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571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Rob Readnour</w:t>
      </w:r>
    </w:p>
    <w:p>
      <w:pPr>
        <w:spacing w:after="0" w:line="5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Melvin Spigelman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571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Melvin Spigelman</w:t>
      </w:r>
    </w:p>
    <w:p>
      <w:pPr>
        <w:spacing w:after="0" w:line="5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Stephanie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571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Stephanie Wong</w:t>
      </w:r>
    </w:p>
    <w:p>
      <w:pPr>
        <w:spacing w:after="0" w:line="27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571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Joseph Zakrzewski</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58"/>
        </w:trPr>
        <w:tc>
          <w:tcPr>
            <w:tcW w:w="4880" w:type="dxa"/>
            <w:vAlign w:val="bottom"/>
          </w:tcPr>
          <w:p>
            <w:pPr>
              <w:jc w:val="center"/>
              <w:spacing w:after="0"/>
              <w:rPr>
                <w:sz w:val="20"/>
                <w:szCs w:val="20"/>
                <w:color w:val="auto"/>
              </w:rPr>
            </w:pPr>
            <w:r>
              <w:rPr>
                <w:rFonts w:ascii="Arial" w:cs="Arial" w:eastAsia="Arial" w:hAnsi="Arial"/>
                <w:sz w:val="18"/>
                <w:szCs w:val="18"/>
                <w:color w:val="auto"/>
              </w:rPr>
              <w:t>Chief Executive Officer, Chair and Director</w:t>
            </w:r>
          </w:p>
        </w:tc>
        <w:tc>
          <w:tcPr>
            <w:tcW w:w="10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39"/>
        </w:trPr>
        <w:tc>
          <w:tcPr>
            <w:tcW w:w="488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25, 2025</w:t>
            </w:r>
          </w:p>
        </w:tc>
      </w:tr>
      <w:tr>
        <w:trPr>
          <w:trHeight w:val="409"/>
        </w:trPr>
        <w:tc>
          <w:tcPr>
            <w:tcW w:w="488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9"/>
        </w:trPr>
        <w:tc>
          <w:tcPr>
            <w:tcW w:w="4880" w:type="dxa"/>
            <w:vAlign w:val="bottom"/>
          </w:tcPr>
          <w:p>
            <w:pPr>
              <w:jc w:val="center"/>
              <w:spacing w:after="0"/>
              <w:rPr>
                <w:sz w:val="20"/>
                <w:szCs w:val="20"/>
                <w:color w:val="auto"/>
              </w:rPr>
            </w:pPr>
            <w:r>
              <w:rPr>
                <w:rFonts w:ascii="Arial" w:cs="Arial" w:eastAsia="Arial" w:hAnsi="Arial"/>
                <w:sz w:val="18"/>
                <w:szCs w:val="18"/>
                <w:color w:val="auto"/>
                <w:w w:val="99"/>
              </w:rPr>
              <w:t>(Principal Financial Officer and Principal Accounting Officer)</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25, 2025</w:t>
            </w:r>
          </w:p>
        </w:tc>
      </w:tr>
      <w:tr>
        <w:trPr>
          <w:trHeight w:val="459"/>
        </w:trPr>
        <w:tc>
          <w:tcPr>
            <w:tcW w:w="4880" w:type="dxa"/>
            <w:vAlign w:val="bottom"/>
          </w:tcPr>
          <w:p>
            <w:pPr>
              <w:jc w:val="center"/>
              <w:spacing w:after="0"/>
              <w:rPr>
                <w:sz w:val="20"/>
                <w:szCs w:val="20"/>
                <w:color w:val="auto"/>
              </w:rPr>
            </w:pPr>
            <w:r>
              <w:rPr>
                <w:rFonts w:ascii="Arial" w:cs="Arial" w:eastAsia="Arial" w:hAnsi="Arial"/>
                <w:sz w:val="18"/>
                <w:szCs w:val="18"/>
                <w:color w:val="auto"/>
                <w:w w:val="99"/>
              </w:rPr>
              <w:t>Lead Independent 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25, 2025</w:t>
            </w:r>
          </w:p>
        </w:tc>
      </w:tr>
      <w:tr>
        <w:trPr>
          <w:trHeight w:val="459"/>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25, 2025</w:t>
            </w:r>
          </w:p>
        </w:tc>
      </w:tr>
      <w:tr>
        <w:trPr>
          <w:trHeight w:val="459"/>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25, 2025</w:t>
            </w:r>
          </w:p>
        </w:tc>
      </w:tr>
      <w:tr>
        <w:trPr>
          <w:trHeight w:val="459"/>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25, 2025</w:t>
            </w:r>
          </w:p>
        </w:tc>
      </w:tr>
      <w:tr>
        <w:trPr>
          <w:trHeight w:val="459"/>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25, 2025</w:t>
            </w:r>
          </w:p>
        </w:tc>
      </w:tr>
      <w:tr>
        <w:trPr>
          <w:trHeight w:val="459"/>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25, 2025</w:t>
            </w:r>
          </w:p>
        </w:tc>
      </w:tr>
      <w:tr>
        <w:trPr>
          <w:trHeight w:val="459"/>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25, 2025</w:t>
            </w:r>
          </w:p>
        </w:tc>
      </w:tr>
      <w:tr>
        <w:trPr>
          <w:trHeight w:val="675"/>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25, 2025</w:t>
            </w:r>
          </w:p>
        </w:tc>
      </w:tr>
    </w:tbl>
    <w:p>
      <w:pPr>
        <w:spacing w:after="0" w:line="347" w:lineRule="exact"/>
        <w:rPr>
          <w:sz w:val="20"/>
          <w:szCs w:val="20"/>
          <w:color w:val="auto"/>
        </w:rPr>
      </w:pPr>
    </w:p>
    <w:p>
      <w:pPr>
        <w:sectPr>
          <w:pgSz w:w="11900" w:h="16838" w:orient="portrait"/>
          <w:cols w:equalWidth="0" w:num="2">
            <w:col w:w="3120" w:space="720"/>
            <w:col w:w="7400"/>
          </w:cols>
          <w:pgMar w:left="320" w:top="1403" w:right="339" w:bottom="1440" w:gutter="0" w:footer="0" w:header="0"/>
          <w:type w:val="continuous"/>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type w:val="continuous"/>
        </w:sectPr>
      </w:pPr>
    </w:p>
    <w:bookmarkStart w:id="96" w:name="page97"/>
    <w:bookmarkEnd w:id="96"/>
    <w:tbl>
      <w:tblPr>
        <w:tblLayout w:type="fixed"/>
        <w:tblInd w:w="10" w:type="dxa"/>
        <w:tblCellMar>
          <w:top w:w="0" w:type="dxa"/>
          <w:left w:w="0" w:type="dxa"/>
          <w:bottom w:w="0" w:type="dxa"/>
          <w:right w:w="0" w:type="dxa"/>
        </w:tblCellMar>
      </w:tblPr>
      <w:tr>
        <w:trPr>
          <w:trHeight w:val="247"/>
        </w:trPr>
        <w:tc>
          <w:tcPr>
            <w:tcW w:w="27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20" w:type="dxa"/>
            <w:vAlign w:val="bottom"/>
            <w:gridSpan w:val="6"/>
          </w:tcPr>
          <w:p>
            <w:pPr>
              <w:ind w:left="140"/>
              <w:spacing w:after="0"/>
              <w:rPr>
                <w:sz w:val="20"/>
                <w:szCs w:val="20"/>
                <w:color w:val="auto"/>
              </w:rPr>
            </w:pPr>
            <w:r>
              <w:rPr>
                <w:rFonts w:ascii="Arial" w:cs="Arial" w:eastAsia="Arial" w:hAnsi="Arial"/>
                <w:sz w:val="18"/>
                <w:szCs w:val="18"/>
                <w:b w:val="1"/>
                <w:bCs w:val="1"/>
                <w:color w:val="auto"/>
              </w:rPr>
              <w:t>INDEX TO FINANCIAL STATEMENTS</w:t>
            </w:r>
          </w:p>
        </w:tc>
        <w:tc>
          <w:tcPr>
            <w:tcW w:w="1640" w:type="dxa"/>
            <w:vAlign w:val="bottom"/>
          </w:tcPr>
          <w:p>
            <w:pPr>
              <w:spacing w:after="0"/>
              <w:rPr>
                <w:sz w:val="21"/>
                <w:szCs w:val="21"/>
                <w:color w:val="auto"/>
              </w:rPr>
            </w:pPr>
          </w:p>
        </w:tc>
      </w:tr>
      <w:tr>
        <w:trPr>
          <w:trHeight w:val="393"/>
        </w:trPr>
        <w:tc>
          <w:tcPr>
            <w:tcW w:w="956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1640" w:type="dxa"/>
            <w:vAlign w:val="bottom"/>
          </w:tcPr>
          <w:p>
            <w:pPr>
              <w:ind w:left="1380"/>
              <w:spacing w:after="0"/>
              <w:rPr>
                <w:sz w:val="20"/>
                <w:szCs w:val="20"/>
                <w:color w:val="auto"/>
              </w:rPr>
            </w:pPr>
            <w:r>
              <w:rPr>
                <w:rFonts w:ascii="Arial" w:cs="Arial" w:eastAsia="Arial" w:hAnsi="Arial"/>
                <w:sz w:val="18"/>
                <w:szCs w:val="18"/>
                <w:color w:val="auto"/>
                <w:w w:val="88"/>
              </w:rPr>
              <w:t>F-2</w:t>
            </w:r>
          </w:p>
        </w:tc>
      </w:tr>
      <w:tr>
        <w:trPr>
          <w:trHeight w:val="20"/>
        </w:trPr>
        <w:tc>
          <w:tcPr>
            <w:tcW w:w="272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85"/>
        </w:trPr>
        <w:tc>
          <w:tcPr>
            <w:tcW w:w="9560" w:type="dxa"/>
            <w:vAlign w:val="bottom"/>
            <w:gridSpan w:val="8"/>
          </w:tcPr>
          <w:p>
            <w:pPr>
              <w:spacing w:after="0"/>
              <w:rPr>
                <w:sz w:val="20"/>
                <w:szCs w:val="20"/>
                <w:color w:val="auto"/>
              </w:rPr>
            </w:pPr>
            <w:r>
              <w:rPr>
                <w:rFonts w:ascii="Arial" w:cs="Arial" w:eastAsia="Arial" w:hAnsi="Arial"/>
                <w:sz w:val="18"/>
                <w:szCs w:val="18"/>
                <w:color w:val="0000FF"/>
              </w:rPr>
              <w:t>Balance Sheets as of December 31, 2024 and 2023</w:t>
            </w:r>
          </w:p>
        </w:tc>
        <w:tc>
          <w:tcPr>
            <w:tcW w:w="1640" w:type="dxa"/>
            <w:vAlign w:val="bottom"/>
          </w:tcPr>
          <w:p>
            <w:pPr>
              <w:ind w:left="1380"/>
              <w:spacing w:after="0"/>
              <w:rPr>
                <w:sz w:val="20"/>
                <w:szCs w:val="20"/>
                <w:color w:val="auto"/>
              </w:rPr>
            </w:pPr>
            <w:r>
              <w:rPr>
                <w:rFonts w:ascii="Arial" w:cs="Arial" w:eastAsia="Arial" w:hAnsi="Arial"/>
                <w:sz w:val="18"/>
                <w:szCs w:val="18"/>
                <w:color w:val="auto"/>
                <w:w w:val="88"/>
              </w:rPr>
              <w:t>F-3</w:t>
            </w:r>
          </w:p>
        </w:tc>
      </w:tr>
      <w:tr>
        <w:trPr>
          <w:trHeight w:val="20"/>
        </w:trPr>
        <w:tc>
          <w:tcPr>
            <w:tcW w:w="27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85"/>
        </w:trPr>
        <w:tc>
          <w:tcPr>
            <w:tcW w:w="9560" w:type="dxa"/>
            <w:vAlign w:val="bottom"/>
            <w:gridSpan w:val="8"/>
          </w:tcPr>
          <w:p>
            <w:pPr>
              <w:spacing w:after="0"/>
              <w:rPr>
                <w:sz w:val="20"/>
                <w:szCs w:val="20"/>
                <w:color w:val="auto"/>
              </w:rPr>
            </w:pPr>
            <w:r>
              <w:rPr>
                <w:rFonts w:ascii="Arial" w:cs="Arial" w:eastAsia="Arial" w:hAnsi="Arial"/>
                <w:sz w:val="18"/>
                <w:szCs w:val="18"/>
                <w:color w:val="0000FF"/>
              </w:rPr>
              <w:t>Statements of Operations and Comprehensive Loss for the years ended December 31, 2024 and 2023</w:t>
            </w:r>
          </w:p>
        </w:tc>
        <w:tc>
          <w:tcPr>
            <w:tcW w:w="1640" w:type="dxa"/>
            <w:vAlign w:val="bottom"/>
          </w:tcPr>
          <w:p>
            <w:pPr>
              <w:ind w:left="1380"/>
              <w:spacing w:after="0"/>
              <w:rPr>
                <w:sz w:val="20"/>
                <w:szCs w:val="20"/>
                <w:color w:val="auto"/>
              </w:rPr>
            </w:pPr>
            <w:r>
              <w:rPr>
                <w:rFonts w:ascii="Arial" w:cs="Arial" w:eastAsia="Arial" w:hAnsi="Arial"/>
                <w:sz w:val="18"/>
                <w:szCs w:val="18"/>
                <w:color w:val="auto"/>
                <w:w w:val="88"/>
              </w:rPr>
              <w:t>F-4</w:t>
            </w:r>
          </w:p>
        </w:tc>
      </w:tr>
      <w:tr>
        <w:trPr>
          <w:trHeight w:val="20"/>
        </w:trPr>
        <w:tc>
          <w:tcPr>
            <w:tcW w:w="27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85"/>
        </w:trPr>
        <w:tc>
          <w:tcPr>
            <w:tcW w:w="9560" w:type="dxa"/>
            <w:vAlign w:val="bottom"/>
            <w:gridSpan w:val="8"/>
          </w:tcPr>
          <w:p>
            <w:pPr>
              <w:spacing w:after="0"/>
              <w:rPr>
                <w:sz w:val="20"/>
                <w:szCs w:val="20"/>
                <w:color w:val="auto"/>
              </w:rPr>
            </w:pPr>
            <w:r>
              <w:rPr>
                <w:rFonts w:ascii="Arial" w:cs="Arial" w:eastAsia="Arial" w:hAnsi="Arial"/>
                <w:sz w:val="18"/>
                <w:szCs w:val="18"/>
                <w:color w:val="0000FF"/>
              </w:rPr>
              <w:t>Statements of Stockholders’ Equity for the years ended December 31, 2024 and 2023</w:t>
            </w:r>
          </w:p>
        </w:tc>
        <w:tc>
          <w:tcPr>
            <w:tcW w:w="1640" w:type="dxa"/>
            <w:vAlign w:val="bottom"/>
          </w:tcPr>
          <w:p>
            <w:pPr>
              <w:ind w:left="1380"/>
              <w:spacing w:after="0"/>
              <w:rPr>
                <w:sz w:val="20"/>
                <w:szCs w:val="20"/>
                <w:color w:val="auto"/>
              </w:rPr>
            </w:pPr>
            <w:r>
              <w:rPr>
                <w:rFonts w:ascii="Arial" w:cs="Arial" w:eastAsia="Arial" w:hAnsi="Arial"/>
                <w:sz w:val="18"/>
                <w:szCs w:val="18"/>
                <w:color w:val="auto"/>
                <w:w w:val="88"/>
              </w:rPr>
              <w:t>F-5</w:t>
            </w:r>
          </w:p>
        </w:tc>
      </w:tr>
      <w:tr>
        <w:trPr>
          <w:trHeight w:val="20"/>
        </w:trPr>
        <w:tc>
          <w:tcPr>
            <w:tcW w:w="27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85"/>
        </w:trPr>
        <w:tc>
          <w:tcPr>
            <w:tcW w:w="9560" w:type="dxa"/>
            <w:vAlign w:val="bottom"/>
            <w:gridSpan w:val="8"/>
          </w:tcPr>
          <w:p>
            <w:pPr>
              <w:spacing w:after="0"/>
              <w:rPr>
                <w:sz w:val="20"/>
                <w:szCs w:val="20"/>
                <w:color w:val="auto"/>
              </w:rPr>
            </w:pPr>
            <w:r>
              <w:rPr>
                <w:rFonts w:ascii="Arial" w:cs="Arial" w:eastAsia="Arial" w:hAnsi="Arial"/>
                <w:sz w:val="18"/>
                <w:szCs w:val="18"/>
                <w:color w:val="0000FF"/>
              </w:rPr>
              <w:t>Statements of Cash Flows for the years ended December 31, 2024 and 2023</w:t>
            </w:r>
          </w:p>
        </w:tc>
        <w:tc>
          <w:tcPr>
            <w:tcW w:w="1640" w:type="dxa"/>
            <w:vAlign w:val="bottom"/>
          </w:tcPr>
          <w:p>
            <w:pPr>
              <w:ind w:left="1380"/>
              <w:spacing w:after="0"/>
              <w:rPr>
                <w:sz w:val="20"/>
                <w:szCs w:val="20"/>
                <w:color w:val="auto"/>
              </w:rPr>
            </w:pPr>
            <w:r>
              <w:rPr>
                <w:rFonts w:ascii="Arial" w:cs="Arial" w:eastAsia="Arial" w:hAnsi="Arial"/>
                <w:sz w:val="18"/>
                <w:szCs w:val="18"/>
                <w:color w:val="auto"/>
                <w:w w:val="88"/>
              </w:rPr>
              <w:t>F-6</w:t>
            </w:r>
          </w:p>
        </w:tc>
      </w:tr>
      <w:tr>
        <w:trPr>
          <w:trHeight w:val="20"/>
        </w:trPr>
        <w:tc>
          <w:tcPr>
            <w:tcW w:w="27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85"/>
        </w:trPr>
        <w:tc>
          <w:tcPr>
            <w:tcW w:w="9560" w:type="dxa"/>
            <w:vAlign w:val="bottom"/>
            <w:gridSpan w:val="8"/>
          </w:tcPr>
          <w:p>
            <w:pPr>
              <w:spacing w:after="0"/>
              <w:rPr>
                <w:sz w:val="20"/>
                <w:szCs w:val="20"/>
                <w:color w:val="auto"/>
              </w:rPr>
            </w:pPr>
            <w:r>
              <w:rPr>
                <w:rFonts w:ascii="Arial" w:cs="Arial" w:eastAsia="Arial" w:hAnsi="Arial"/>
                <w:sz w:val="18"/>
                <w:szCs w:val="18"/>
                <w:color w:val="0000FF"/>
              </w:rPr>
              <w:t>Notes to the Financial Statements</w:t>
            </w:r>
          </w:p>
        </w:tc>
        <w:tc>
          <w:tcPr>
            <w:tcW w:w="1640" w:type="dxa"/>
            <w:vAlign w:val="bottom"/>
          </w:tcPr>
          <w:p>
            <w:pPr>
              <w:ind w:left="1380"/>
              <w:spacing w:after="0"/>
              <w:rPr>
                <w:sz w:val="20"/>
                <w:szCs w:val="20"/>
                <w:color w:val="auto"/>
              </w:rPr>
            </w:pPr>
            <w:r>
              <w:rPr>
                <w:rFonts w:ascii="Arial" w:cs="Arial" w:eastAsia="Arial" w:hAnsi="Arial"/>
                <w:sz w:val="18"/>
                <w:szCs w:val="18"/>
                <w:color w:val="auto"/>
                <w:w w:val="88"/>
              </w:rPr>
              <w:t>F-7</w:t>
            </w:r>
          </w:p>
        </w:tc>
      </w:tr>
      <w:tr>
        <w:trPr>
          <w:trHeight w:val="20"/>
        </w:trPr>
        <w:tc>
          <w:tcPr>
            <w:tcW w:w="27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01" w:right="359" w:bottom="1440" w:gutter="0" w:footer="0" w:header="0"/>
        </w:sectPr>
      </w:pPr>
    </w:p>
    <w:bookmarkStart w:id="97" w:name="page98"/>
    <w:bookmarkEnd w:id="97"/>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AN2 Therapeutics,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1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have audited the accompanying balance sheets of AN2 Therapeutics, Inc. (the “Company”) as of December 31, 2024 and 2023, and the related statements of operations and comprehensive loss, of stockholders’ equity and of cash flows for the years then ended, including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10"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1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discussed in Note 2 to the financial statements, the Company will require additional financing to fund future operations. Management’s plans in regard to this matter are also described in Note 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25, 2025</w:t>
      </w:r>
    </w:p>
    <w:p>
      <w:pPr>
        <w:spacing w:after="0" w:line="212"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We have served as the Company’s auditor since 2021, which includes periods before the Company became subject to SEC reporting requirements.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8" w:name="page99"/>
    <w:bookmarkEnd w:id="98"/>
    <w:p>
      <w:pPr>
        <w:ind w:left="4480"/>
        <w:spacing w:after="0"/>
        <w:rPr>
          <w:sz w:val="20"/>
          <w:szCs w:val="20"/>
          <w:color w:val="auto"/>
        </w:rPr>
      </w:pPr>
      <w:r>
        <w:rPr>
          <w:rFonts w:ascii="Arial" w:cs="Arial" w:eastAsia="Arial" w:hAnsi="Arial"/>
          <w:sz w:val="18"/>
          <w:szCs w:val="18"/>
          <w:b w:val="1"/>
          <w:bCs w:val="1"/>
          <w:color w:val="auto"/>
        </w:rPr>
        <w:t>AN2 THERAPEUTICS, INC.</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BALANCE SHEETS</w:t>
      </w:r>
    </w:p>
    <w:tbl>
      <w:tblPr>
        <w:tblLayout w:type="fixed"/>
        <w:tblInd w:w="0" w:type="dxa"/>
        <w:tblCellMar>
          <w:top w:w="0" w:type="dxa"/>
          <w:left w:w="0" w:type="dxa"/>
          <w:bottom w:w="0" w:type="dxa"/>
          <w:right w:w="0" w:type="dxa"/>
        </w:tblCellMar>
      </w:tblPr>
      <w:tr>
        <w:trPr>
          <w:trHeight w:val="245"/>
        </w:trPr>
        <w:tc>
          <w:tcPr>
            <w:tcW w:w="8820" w:type="dxa"/>
            <w:vAlign w:val="bottom"/>
            <w:gridSpan w:val="3"/>
          </w:tcPr>
          <w:p>
            <w:pPr>
              <w:jc w:val="right"/>
              <w:ind w:right="850"/>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385"/>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2023</w:t>
            </w: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2"/>
        </w:trPr>
        <w:tc>
          <w:tcPr>
            <w:tcW w:w="6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8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21,351</w:t>
            </w:r>
          </w:p>
        </w:tc>
        <w:tc>
          <w:tcPr>
            <w:tcW w:w="5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15,647</w:t>
            </w:r>
          </w:p>
        </w:tc>
      </w:tr>
      <w:tr>
        <w:trPr>
          <w:trHeight w:val="203"/>
        </w:trPr>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7"/>
                <w:szCs w:val="17"/>
                <w:color w:val="auto"/>
              </w:rPr>
            </w:pPr>
          </w:p>
        </w:tc>
        <w:tc>
          <w:tcPr>
            <w:tcW w:w="1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62,267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91,648</w:t>
            </w:r>
          </w:p>
        </w:tc>
      </w:tr>
      <w:tr>
        <w:trPr>
          <w:trHeight w:val="203"/>
        </w:trPr>
        <w:tc>
          <w:tcPr>
            <w:tcW w:w="6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2,644</w:t>
            </w:r>
          </w:p>
        </w:tc>
        <w:tc>
          <w:tcPr>
            <w:tcW w:w="2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3,212</w:t>
            </w:r>
          </w:p>
        </w:tc>
      </w:tr>
      <w:tr>
        <w:trPr>
          <w:trHeight w:val="196"/>
        </w:trPr>
        <w:tc>
          <w:tcPr>
            <w:tcW w:w="6640" w:type="dxa"/>
            <w:vAlign w:val="bottom"/>
          </w:tcPr>
          <w:p>
            <w:pPr>
              <w:ind w:left="520"/>
              <w:spacing w:after="0" w:line="196" w:lineRule="exact"/>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7"/>
                <w:szCs w:val="17"/>
                <w:color w:val="auto"/>
              </w:rPr>
            </w:pPr>
          </w:p>
        </w:tc>
        <w:tc>
          <w:tcPr>
            <w:tcW w:w="18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86,262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110,507</w:t>
            </w: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5,021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27,194</w:t>
            </w: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Other assets, long-term</w:t>
            </w: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804</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1,043</w:t>
            </w:r>
          </w:p>
        </w:tc>
      </w:tr>
      <w:tr>
        <w:trPr>
          <w:trHeight w:val="236"/>
        </w:trPr>
        <w:tc>
          <w:tcPr>
            <w:tcW w:w="664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assets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8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92,087</w:t>
            </w:r>
          </w:p>
        </w:tc>
        <w:tc>
          <w:tcPr>
            <w:tcW w:w="5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138,744</w:t>
            </w:r>
          </w:p>
        </w:tc>
      </w:tr>
      <w:tr>
        <w:trPr>
          <w:trHeight w:val="183"/>
        </w:trPr>
        <w:tc>
          <w:tcPr>
            <w:tcW w:w="66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3,317</w:t>
            </w: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2,676</w:t>
            </w:r>
          </w:p>
        </w:tc>
      </w:tr>
      <w:tr>
        <w:trPr>
          <w:trHeight w:val="203"/>
        </w:trPr>
        <w:tc>
          <w:tcPr>
            <w:tcW w:w="6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1,676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4,018</w:t>
            </w:r>
          </w:p>
        </w:tc>
      </w:tr>
      <w:tr>
        <w:trPr>
          <w:trHeight w:val="203"/>
        </w:trPr>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7"/>
                <w:szCs w:val="17"/>
                <w:color w:val="auto"/>
              </w:rPr>
            </w:pPr>
          </w:p>
        </w:tc>
        <w:tc>
          <w:tcPr>
            <w:tcW w:w="1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4,454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6,681</w:t>
            </w:r>
          </w:p>
        </w:tc>
      </w:tr>
      <w:tr>
        <w:trPr>
          <w:trHeight w:val="203"/>
        </w:trPr>
        <w:tc>
          <w:tcPr>
            <w:tcW w:w="6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791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666</w:t>
            </w:r>
          </w:p>
        </w:tc>
      </w:tr>
      <w:tr>
        <w:trPr>
          <w:trHeight w:val="203"/>
        </w:trPr>
        <w:tc>
          <w:tcPr>
            <w:tcW w:w="6640" w:type="dxa"/>
            <w:vAlign w:val="bottom"/>
            <w:tcBorders>
              <w:bottom w:val="single" w:sz="8" w:color="CFF0FC"/>
            </w:tcBorders>
          </w:tcPr>
          <w:p>
            <w:pPr>
              <w:ind w:left="280"/>
              <w:spacing w:after="0" w:line="202" w:lineRule="exact"/>
              <w:rPr>
                <w:sz w:val="20"/>
                <w:szCs w:val="20"/>
                <w:color w:val="auto"/>
              </w:rPr>
            </w:pPr>
            <w:r>
              <w:rPr>
                <w:rFonts w:ascii="Arial" w:cs="Arial" w:eastAsia="Arial" w:hAnsi="Arial"/>
                <w:sz w:val="18"/>
                <w:szCs w:val="18"/>
                <w:color w:val="auto"/>
              </w:rPr>
              <w:t>Options subject to repurchase, short-term</w:t>
            </w: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w:t>
            </w:r>
          </w:p>
        </w:tc>
      </w:tr>
      <w:tr>
        <w:trPr>
          <w:trHeight w:val="196"/>
        </w:trPr>
        <w:tc>
          <w:tcPr>
            <w:tcW w:w="664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liabilities</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10,238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14,043</w:t>
            </w: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7)</w:t>
            </w: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184"/>
        </w:trPr>
        <w:tc>
          <w:tcPr>
            <w:tcW w:w="6640" w:type="dxa"/>
            <w:vAlign w:val="bottom"/>
          </w:tcPr>
          <w:p>
            <w:pPr>
              <w:ind w:left="280"/>
              <w:spacing w:after="0" w:line="183" w:lineRule="exact"/>
              <w:rPr>
                <w:sz w:val="20"/>
                <w:szCs w:val="20"/>
                <w:color w:val="auto"/>
              </w:rPr>
            </w:pPr>
            <w:r>
              <w:rPr>
                <w:rFonts w:ascii="Arial" w:cs="Arial" w:eastAsia="Arial" w:hAnsi="Arial"/>
                <w:sz w:val="18"/>
                <w:szCs w:val="18"/>
                <w:color w:val="auto"/>
              </w:rPr>
              <w:t>Preferred stock, $0.00001 par value; 10,000,000 shares authorized at</w:t>
            </w: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03"/>
        </w:trPr>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December 31, 2024 and December 31, 2023, respectively; no shares issued</w:t>
            </w: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1"/>
        </w:trPr>
        <w:tc>
          <w:tcPr>
            <w:tcW w:w="6640" w:type="dxa"/>
            <w:vAlign w:val="bottom"/>
          </w:tcPr>
          <w:p>
            <w:pPr>
              <w:ind w:left="280"/>
              <w:spacing w:after="0"/>
              <w:rPr>
                <w:sz w:val="20"/>
                <w:szCs w:val="20"/>
                <w:color w:val="auto"/>
              </w:rPr>
            </w:pPr>
            <w:r>
              <w:rPr>
                <w:rFonts w:ascii="Arial" w:cs="Arial" w:eastAsia="Arial" w:hAnsi="Arial"/>
                <w:sz w:val="18"/>
                <w:szCs w:val="18"/>
                <w:color w:val="auto"/>
              </w:rPr>
              <w:t>and outstanding at December 31, 2024 and December 31, 2023</w:t>
            </w:r>
          </w:p>
        </w:tc>
        <w:tc>
          <w:tcPr>
            <w:tcW w:w="3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184"/>
        </w:trPr>
        <w:tc>
          <w:tcPr>
            <w:tcW w:w="664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Common stock, $0.00001 par value; 500,000,000 shares authorized at</w:t>
            </w:r>
          </w:p>
        </w:tc>
        <w:tc>
          <w:tcPr>
            <w:tcW w:w="30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15"/>
                <w:szCs w:val="15"/>
                <w:color w:val="auto"/>
              </w:rPr>
            </w:pPr>
          </w:p>
        </w:tc>
      </w:tr>
      <w:tr>
        <w:trPr>
          <w:trHeight w:val="203"/>
        </w:trPr>
        <w:tc>
          <w:tcPr>
            <w:tcW w:w="6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December 31, 2024 and December 31, 2023; 29,919,634 and</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6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29,741,445 shares issued and outstanding at December 31, 2024 and</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21"/>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December 31, 2023, respectively</w:t>
            </w:r>
          </w:p>
        </w:tc>
        <w:tc>
          <w:tcPr>
            <w:tcW w:w="30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7"/>
                <w:szCs w:val="17"/>
                <w:color w:val="auto"/>
              </w:rPr>
            </w:pPr>
          </w:p>
        </w:tc>
        <w:tc>
          <w:tcPr>
            <w:tcW w:w="1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287,594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278,881</w:t>
            </w:r>
          </w:p>
        </w:tc>
      </w:tr>
      <w:tr>
        <w:trPr>
          <w:trHeight w:val="203"/>
        </w:trPr>
        <w:tc>
          <w:tcPr>
            <w:tcW w:w="6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other comprehensive gain</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275</w:t>
            </w:r>
          </w:p>
        </w:tc>
      </w:tr>
      <w:tr>
        <w:trPr>
          <w:trHeight w:val="203"/>
        </w:trPr>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(205,776 )</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(154,455 )</w:t>
            </w:r>
          </w:p>
        </w:tc>
      </w:tr>
      <w:tr>
        <w:trPr>
          <w:trHeight w:val="196"/>
        </w:trPr>
        <w:tc>
          <w:tcPr>
            <w:tcW w:w="664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81,849</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124,701</w:t>
            </w:r>
          </w:p>
        </w:tc>
      </w:tr>
      <w:tr>
        <w:trPr>
          <w:trHeight w:val="196"/>
        </w:trPr>
        <w:tc>
          <w:tcPr>
            <w:tcW w:w="66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92,087</w:t>
            </w:r>
          </w:p>
        </w:tc>
        <w:tc>
          <w:tcPr>
            <w:tcW w:w="5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138,744</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-2905125</wp:posOffset>
            </wp:positionV>
            <wp:extent cx="1543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-2887980</wp:posOffset>
            </wp:positionV>
            <wp:extent cx="154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-1979295</wp:posOffset>
            </wp:positionV>
            <wp:extent cx="154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-161925</wp:posOffset>
            </wp:positionV>
            <wp:extent cx="1543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 AND COMPREHENSIVE LOSS</w:t>
      </w:r>
    </w:p>
    <w:tbl>
      <w:tblPr>
        <w:tblLayout w:type="fixed"/>
        <w:tblInd w:w="0" w:type="dxa"/>
        <w:tblCellMar>
          <w:top w:w="0" w:type="dxa"/>
          <w:left w:w="0" w:type="dxa"/>
          <w:bottom w:w="0" w:type="dxa"/>
          <w:right w:w="0" w:type="dxa"/>
        </w:tblCellMar>
      </w:tblPr>
      <w:tr>
        <w:trPr>
          <w:trHeight w:val="245"/>
        </w:trPr>
        <w:tc>
          <w:tcPr>
            <w:tcW w:w="7940" w:type="dxa"/>
            <w:vAlign w:val="bottom"/>
            <w:gridSpan w:val="2"/>
          </w:tcPr>
          <w:p>
            <w:pPr>
              <w:ind w:left="3420"/>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7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2024</w:t>
            </w: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6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620" w:type="dxa"/>
            <w:vAlign w:val="bottom"/>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40,488</w:t>
            </w:r>
          </w:p>
        </w:tc>
        <w:tc>
          <w:tcPr>
            <w:tcW w:w="320" w:type="dxa"/>
            <w:vAlign w:val="bottom"/>
          </w:tcPr>
          <w:p>
            <w:pPr>
              <w:spacing w:after="0"/>
              <w:rPr>
                <w:sz w:val="17"/>
                <w:szCs w:val="17"/>
                <w:color w:val="auto"/>
              </w:rPr>
            </w:pP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54,871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14,066</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80"/>
              <w:spacing w:after="0" w:line="202" w:lineRule="exact"/>
              <w:rPr>
                <w:sz w:val="20"/>
                <w:szCs w:val="20"/>
                <w:color w:val="auto"/>
              </w:rPr>
            </w:pPr>
            <w:r>
              <w:rPr>
                <w:rFonts w:ascii="Arial" w:cs="Arial" w:eastAsia="Arial" w:hAnsi="Arial"/>
                <w:sz w:val="18"/>
                <w:szCs w:val="18"/>
                <w:color w:val="auto"/>
              </w:rPr>
              <w:t>Restructuring charges</w:t>
            </w:r>
          </w:p>
        </w:tc>
        <w:tc>
          <w:tcPr>
            <w:tcW w:w="6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2,234</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56,788</w:t>
            </w:r>
          </w:p>
        </w:tc>
        <w:tc>
          <w:tcPr>
            <w:tcW w:w="3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69,635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620" w:type="dxa"/>
            <w:vAlign w:val="bottom"/>
          </w:tcPr>
          <w:p>
            <w:pPr>
              <w:spacing w:after="0"/>
              <w:rPr>
                <w:sz w:val="17"/>
                <w:szCs w:val="17"/>
                <w:color w:val="auto"/>
              </w:rPr>
            </w:pPr>
          </w:p>
        </w:tc>
        <w:tc>
          <w:tcPr>
            <w:tcW w:w="14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(56,788 )</w:t>
            </w:r>
          </w:p>
        </w:tc>
        <w:tc>
          <w:tcPr>
            <w:tcW w:w="400" w:type="dxa"/>
            <w:vAlign w:val="bottom"/>
          </w:tcPr>
          <w:p>
            <w:pPr>
              <w:spacing w:after="0"/>
              <w:rPr>
                <w:sz w:val="17"/>
                <w:szCs w:val="17"/>
                <w:color w:val="auto"/>
              </w:rPr>
            </w:pPr>
          </w:p>
        </w:tc>
        <w:tc>
          <w:tcPr>
            <w:tcW w:w="1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(69,635 )</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6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5,467</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Net loss</w:t>
            </w:r>
          </w:p>
        </w:tc>
        <w:tc>
          <w:tcPr>
            <w:tcW w:w="6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(51,321 )</w:t>
            </w: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(64,732 )</w:t>
            </w:r>
          </w:p>
        </w:tc>
        <w:tc>
          <w:tcPr>
            <w:tcW w:w="0" w:type="dxa"/>
            <w:vAlign w:val="bottom"/>
          </w:tcPr>
          <w:p>
            <w:pPr>
              <w:spacing w:after="0"/>
              <w:rPr>
                <w:sz w:val="1"/>
                <w:szCs w:val="1"/>
                <w:color w:val="auto"/>
              </w:rPr>
            </w:pPr>
          </w:p>
        </w:tc>
      </w:tr>
      <w:tr>
        <w:trPr>
          <w:trHeight w:val="20"/>
        </w:trPr>
        <w:tc>
          <w:tcPr>
            <w:tcW w:w="73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2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620" w:type="dxa"/>
            <w:vAlign w:val="bottom"/>
          </w:tcPr>
          <w:p>
            <w:pPr>
              <w:jc w:val="right"/>
              <w:ind w:right="430"/>
              <w:spacing w:after="0" w:line="183"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line="183" w:lineRule="exact"/>
              <w:rPr>
                <w:sz w:val="20"/>
                <w:szCs w:val="20"/>
                <w:color w:val="auto"/>
              </w:rPr>
            </w:pPr>
            <w:r>
              <w:rPr>
                <w:rFonts w:ascii="Arial" w:cs="Arial" w:eastAsia="Arial" w:hAnsi="Arial"/>
                <w:sz w:val="18"/>
                <w:szCs w:val="18"/>
                <w:color w:val="auto"/>
              </w:rPr>
              <w:t>(1.72 )</w:t>
            </w:r>
          </w:p>
        </w:tc>
        <w:tc>
          <w:tcPr>
            <w:tcW w:w="40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32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Weighted-average number of shares used in computing net loss per share,</w:t>
            </w:r>
          </w:p>
        </w:tc>
        <w:tc>
          <w:tcPr>
            <w:tcW w:w="62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29,828,227</w:t>
            </w:r>
          </w:p>
        </w:tc>
        <w:tc>
          <w:tcPr>
            <w:tcW w:w="3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23,600,107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320" w:type="dxa"/>
            <w:vAlign w:val="bottom"/>
            <w:tcBorders>
              <w:bottom w:val="single" w:sz="8" w:color="CFF0FC"/>
            </w:tcBorders>
            <w:shd w:val="clear" w:color="auto" w:fill="CFF0FC"/>
          </w:tcPr>
          <w:p>
            <w:pPr>
              <w:ind w:left="20"/>
              <w:spacing w:after="0" w:line="161" w:lineRule="exact"/>
              <w:rPr>
                <w:sz w:val="20"/>
                <w:szCs w:val="20"/>
                <w:color w:val="auto"/>
              </w:rPr>
            </w:pPr>
            <w:r>
              <w:rPr>
                <w:rFonts w:ascii="Arial" w:cs="Arial" w:eastAsia="Arial" w:hAnsi="Arial"/>
                <w:sz w:val="18"/>
                <w:szCs w:val="18"/>
                <w:color w:val="auto"/>
              </w:rPr>
              <w:t>basic and diluted</w:t>
            </w:r>
          </w:p>
        </w:tc>
        <w:tc>
          <w:tcPr>
            <w:tcW w:w="6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line="183" w:lineRule="exact"/>
              <w:rPr>
                <w:sz w:val="20"/>
                <w:szCs w:val="20"/>
                <w:color w:val="auto"/>
              </w:rPr>
            </w:pPr>
            <w:r>
              <w:rPr>
                <w:rFonts w:ascii="Arial" w:cs="Arial" w:eastAsia="Arial" w:hAnsi="Arial"/>
                <w:sz w:val="18"/>
                <w:szCs w:val="18"/>
                <w:color w:val="auto"/>
              </w:rPr>
              <w:t>Other comprehensive loss:</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Unrealized (loss) gain on investments</w:t>
            </w:r>
          </w:p>
        </w:tc>
        <w:tc>
          <w:tcPr>
            <w:tcW w:w="6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(244 )</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620" w:type="dxa"/>
            <w:vAlign w:val="bottom"/>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(51,565 )</w:t>
            </w:r>
          </w:p>
        </w:tc>
        <w:tc>
          <w:tcPr>
            <w:tcW w:w="40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(64,083 )</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-1388110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-856615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-839470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-445135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-427990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-161925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AN2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STOCKHOLDERS’ EQUITY</w:t>
      </w: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ectPr>
          <w:pgSz w:w="11900" w:h="16838" w:orient="portrait"/>
          <w:cols w:equalWidth="0" w:num="1">
            <w:col w:w="11220"/>
          </w:cols>
          <w:pgMar w:left="340" w:top="120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80" w:type="dxa"/>
            <w:vAlign w:val="bottom"/>
          </w:tcPr>
          <w:p>
            <w:pPr>
              <w:spacing w:after="0"/>
              <w:rPr>
                <w:sz w:val="13"/>
                <w:szCs w:val="13"/>
                <w:color w:val="auto"/>
              </w:rPr>
            </w:pPr>
          </w:p>
        </w:tc>
        <w:tc>
          <w:tcPr>
            <w:tcW w:w="198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680" w:type="dxa"/>
            <w:vAlign w:val="bottom"/>
            <w:vMerge w:val="restart"/>
          </w:tcPr>
          <w:p>
            <w:pPr>
              <w:spacing w:after="0"/>
              <w:rPr>
                <w:sz w:val="20"/>
                <w:szCs w:val="20"/>
                <w:color w:val="auto"/>
              </w:rPr>
            </w:pPr>
            <w:r>
              <w:rPr>
                <w:rFonts w:ascii="Arial" w:cs="Arial" w:eastAsia="Arial" w:hAnsi="Arial"/>
                <w:sz w:val="13"/>
                <w:szCs w:val="13"/>
                <w:b w:val="1"/>
                <w:bCs w:val="1"/>
                <w:color w:val="auto"/>
              </w:rPr>
              <w:t>Balances at December 31, 2022</w:t>
            </w:r>
          </w:p>
        </w:tc>
        <w:tc>
          <w:tcPr>
            <w:tcW w:w="1040" w:type="dxa"/>
            <w:vAlign w:val="bottom"/>
            <w:tcBorders>
              <w:bottom w:val="single" w:sz="8" w:color="auto"/>
            </w:tcBorders>
          </w:tcPr>
          <w:p>
            <w:pPr>
              <w:jc w:val="right"/>
              <w:ind w:right="318"/>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Amount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3680" w:type="dxa"/>
            <w:vAlign w:val="bottom"/>
            <w:vMerge w:val="continue"/>
          </w:tcPr>
          <w:p>
            <w:pPr>
              <w:spacing w:after="0"/>
              <w:rPr>
                <w:sz w:val="9"/>
                <w:szCs w:val="9"/>
                <w:color w:val="auto"/>
              </w:rPr>
            </w:pPr>
          </w:p>
        </w:tc>
        <w:tc>
          <w:tcPr>
            <w:tcW w:w="1040" w:type="dxa"/>
            <w:vAlign w:val="bottom"/>
          </w:tcPr>
          <w:p>
            <w:pPr>
              <w:jc w:val="right"/>
              <w:ind w:right="58"/>
              <w:spacing w:after="0" w:line="111" w:lineRule="exact"/>
              <w:rPr>
                <w:sz w:val="20"/>
                <w:szCs w:val="20"/>
                <w:color w:val="auto"/>
              </w:rPr>
            </w:pPr>
            <w:r>
              <w:rPr>
                <w:rFonts w:ascii="Arial" w:cs="Arial" w:eastAsia="Arial" w:hAnsi="Arial"/>
                <w:sz w:val="12"/>
                <w:szCs w:val="12"/>
                <w:color w:val="auto"/>
              </w:rPr>
              <w:t>19,402,658</w:t>
            </w:r>
          </w:p>
        </w:tc>
        <w:tc>
          <w:tcPr>
            <w:tcW w:w="100" w:type="dxa"/>
            <w:vAlign w:val="bottom"/>
          </w:tcPr>
          <w:p>
            <w:pPr>
              <w:spacing w:after="0"/>
              <w:rPr>
                <w:sz w:val="9"/>
                <w:szCs w:val="9"/>
                <w:color w:val="auto"/>
              </w:rPr>
            </w:pPr>
          </w:p>
        </w:tc>
        <w:tc>
          <w:tcPr>
            <w:tcW w:w="100" w:type="dxa"/>
            <w:vAlign w:val="bottom"/>
          </w:tcPr>
          <w:p>
            <w:pPr>
              <w:jc w:val="right"/>
              <w:spacing w:after="0" w:line="111" w:lineRule="exact"/>
              <w:rPr>
                <w:sz w:val="20"/>
                <w:szCs w:val="20"/>
                <w:color w:val="auto"/>
              </w:rPr>
            </w:pPr>
            <w:r>
              <w:rPr>
                <w:rFonts w:ascii="Arial" w:cs="Arial" w:eastAsia="Arial" w:hAnsi="Arial"/>
                <w:sz w:val="12"/>
                <w:szCs w:val="12"/>
                <w:color w:val="auto"/>
                <w:w w:val="89"/>
              </w:rPr>
              <w:t>$</w:t>
            </w:r>
          </w:p>
        </w:tc>
        <w:tc>
          <w:tcPr>
            <w:tcW w:w="740" w:type="dxa"/>
            <w:vAlign w:val="bottom"/>
          </w:tcPr>
          <w:p>
            <w:pPr>
              <w:ind w:left="500"/>
              <w:spacing w:after="0" w:line="111" w:lineRule="exact"/>
              <w:rPr>
                <w:sz w:val="20"/>
                <w:szCs w:val="20"/>
                <w:color w:val="auto"/>
              </w:rPr>
            </w:pPr>
            <w:r>
              <w:rPr>
                <w:rFonts w:ascii="Arial" w:cs="Arial" w:eastAsia="Arial" w:hAnsi="Arial"/>
                <w:sz w:val="12"/>
                <w:szCs w:val="12"/>
                <w:color w:val="auto"/>
              </w:rPr>
              <w:t>—</w:t>
            </w:r>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Issuances of common stock in the “at the market” offering, net</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of underwriter’s commission and offering costs of $0.9 million</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2,502,000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Issuances of common stock in the Underwritten Offering, net of</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underwriter’s commission and offering costs of $4.5 million</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7,777,778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Issuance of common stock under the ESPP</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44,009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Issuance of common stock upon exercise of stock options</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15,000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Vesting of early exercised stock options</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Unrealized gain on available-for-sale investments</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20"/>
                <w:szCs w:val="20"/>
                <w:color w:val="auto"/>
              </w:rPr>
            </w:pPr>
            <w:r>
              <w:rPr>
                <w:rFonts w:ascii="Arial" w:cs="Arial" w:eastAsia="Arial" w:hAnsi="Arial"/>
                <w:sz w:val="13"/>
                <w:szCs w:val="13"/>
                <w:color w:val="auto"/>
              </w:rPr>
              <w:t>Net loss</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680" w:type="dxa"/>
            <w:vAlign w:val="bottom"/>
          </w:tcPr>
          <w:p>
            <w:pPr>
              <w:spacing w:after="0" w:line="111" w:lineRule="exact"/>
              <w:rPr>
                <w:sz w:val="20"/>
                <w:szCs w:val="20"/>
                <w:color w:val="auto"/>
              </w:rPr>
            </w:pPr>
            <w:r>
              <w:rPr>
                <w:rFonts w:ascii="Arial" w:cs="Arial" w:eastAsia="Arial" w:hAnsi="Arial"/>
                <w:sz w:val="12"/>
                <w:szCs w:val="12"/>
                <w:b w:val="1"/>
                <w:bCs w:val="1"/>
                <w:color w:val="auto"/>
              </w:rPr>
              <w:t>Balances at December 31, 2023</w:t>
            </w:r>
          </w:p>
        </w:tc>
        <w:tc>
          <w:tcPr>
            <w:tcW w:w="1040" w:type="dxa"/>
            <w:vAlign w:val="bottom"/>
          </w:tcPr>
          <w:p>
            <w:pPr>
              <w:jc w:val="right"/>
              <w:ind w:right="58"/>
              <w:spacing w:after="0" w:line="111" w:lineRule="exact"/>
              <w:rPr>
                <w:sz w:val="20"/>
                <w:szCs w:val="20"/>
                <w:color w:val="auto"/>
              </w:rPr>
            </w:pPr>
            <w:r>
              <w:rPr>
                <w:rFonts w:ascii="Arial" w:cs="Arial" w:eastAsia="Arial" w:hAnsi="Arial"/>
                <w:sz w:val="12"/>
                <w:szCs w:val="12"/>
                <w:color w:val="auto"/>
              </w:rPr>
              <w:t>29,741,445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ind w:left="500"/>
              <w:spacing w:after="0" w:line="111"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Issuance of common stock under the ESPP</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70,700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Issuance of common stock upon exercise of stock options</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28,930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Vesting of early exercised stock options</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Issuance of common stock upon release of restricted stock</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units</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38,556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Issuance of common stock upon release of restricted stock</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awards</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40,003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3"/>
                <w:szCs w:val="13"/>
                <w:color w:val="auto"/>
              </w:rPr>
              <w:t>Unrealized loss on available-for-sale investments</w:t>
            </w:r>
          </w:p>
        </w:tc>
        <w:tc>
          <w:tcPr>
            <w:tcW w:w="10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20"/>
                <w:szCs w:val="20"/>
                <w:color w:val="auto"/>
              </w:rPr>
            </w:pPr>
            <w:r>
              <w:rPr>
                <w:rFonts w:ascii="Arial" w:cs="Arial" w:eastAsia="Arial" w:hAnsi="Arial"/>
                <w:sz w:val="13"/>
                <w:szCs w:val="13"/>
                <w:color w:val="auto"/>
              </w:rPr>
              <w:t>Net loss</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68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at December 31, 2024</w:t>
            </w:r>
          </w:p>
        </w:tc>
        <w:tc>
          <w:tcPr>
            <w:tcW w:w="104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3"/>
                <w:szCs w:val="13"/>
                <w:color w:val="auto"/>
              </w:rPr>
              <w:t>29,919,634</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ind w:left="500"/>
              <w:spacing w:after="0" w:line="129"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-2014220</wp:posOffset>
            </wp:positionV>
            <wp:extent cx="713232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-1757045</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-1499870</wp:posOffset>
            </wp:positionV>
            <wp:extent cx="713232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-1328420</wp:posOffset>
            </wp:positionV>
            <wp:extent cx="7132320" cy="85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-976630</wp:posOffset>
            </wp:positionV>
            <wp:extent cx="713232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-805180</wp:posOffset>
            </wp:positionV>
            <wp:extent cx="713232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-548005</wp:posOffset>
            </wp:positionV>
            <wp:extent cx="71323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wp:posOffset>
            </wp:positionV>
            <wp:extent cx="7132320"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-1156970</wp:posOffset>
            </wp:positionV>
            <wp:extent cx="7132320" cy="939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-111125</wp:posOffset>
            </wp:positionV>
            <wp:extent cx="7132320" cy="1117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00" w:type="dxa"/>
            <w:vAlign w:val="bottom"/>
            <w:vMerge w:val="restart"/>
          </w:tcPr>
          <w:p>
            <w:pPr>
              <w:jc w:val="right"/>
              <w:ind w:right="417"/>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3"/>
                <w:szCs w:val="13"/>
                <w:color w:val="auto"/>
              </w:rPr>
            </w:pPr>
          </w:p>
        </w:tc>
        <w:tc>
          <w:tcPr>
            <w:tcW w:w="1180" w:type="dxa"/>
            <w:vAlign w:val="bottom"/>
          </w:tcPr>
          <w:p>
            <w:pPr>
              <w:jc w:val="center"/>
              <w:ind w:right="177"/>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center"/>
              <w:ind w:right="19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Pr>
          <w:p>
            <w:pPr>
              <w:jc w:val="right"/>
              <w:ind w:right="517"/>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11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53"/>
        </w:trPr>
        <w:tc>
          <w:tcPr>
            <w:tcW w:w="1100" w:type="dxa"/>
            <w:vAlign w:val="bottom"/>
          </w:tcPr>
          <w:p>
            <w:pPr>
              <w:jc w:val="right"/>
              <w:ind w:right="517"/>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7"/>
              </w:rPr>
              <w:t>Gain (Loss)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9"/>
        </w:trPr>
        <w:tc>
          <w:tcPr>
            <w:tcW w:w="1100" w:type="dxa"/>
            <w:vAlign w:val="bottom"/>
          </w:tcPr>
          <w:p>
            <w:pPr>
              <w:jc w:val="right"/>
              <w:ind w:right="157"/>
              <w:spacing w:after="0" w:line="146" w:lineRule="exact"/>
              <w:rPr>
                <w:sz w:val="20"/>
                <w:szCs w:val="20"/>
                <w:color w:val="auto"/>
              </w:rPr>
            </w:pPr>
            <w:r>
              <w:rPr>
                <w:rFonts w:ascii="Arial" w:cs="Arial" w:eastAsia="Arial" w:hAnsi="Arial"/>
                <w:sz w:val="13"/>
                <w:szCs w:val="13"/>
                <w:color w:val="auto"/>
              </w:rPr>
              <w:t>185,469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(374 )</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(89,723 )</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95,372</w:t>
            </w:r>
          </w:p>
        </w:tc>
        <w:tc>
          <w:tcPr>
            <w:tcW w:w="0" w:type="dxa"/>
            <w:vAlign w:val="bottom"/>
          </w:tcPr>
          <w:p>
            <w:pPr>
              <w:spacing w:after="0"/>
              <w:rPr>
                <w:sz w:val="1"/>
                <w:szCs w:val="1"/>
                <w:color w:val="auto"/>
              </w:rPr>
            </w:pPr>
          </w:p>
        </w:tc>
      </w:tr>
      <w:tr>
        <w:trPr>
          <w:trHeight w:val="252"/>
        </w:trPr>
        <w:tc>
          <w:tcPr>
            <w:tcW w:w="1100" w:type="dxa"/>
            <w:vAlign w:val="bottom"/>
          </w:tcPr>
          <w:p>
            <w:pPr>
              <w:jc w:val="right"/>
              <w:ind w:right="157"/>
              <w:spacing w:after="0"/>
              <w:rPr>
                <w:sz w:val="20"/>
                <w:szCs w:val="20"/>
                <w:color w:val="auto"/>
              </w:rPr>
            </w:pPr>
            <w:r>
              <w:rPr>
                <w:rFonts w:ascii="Arial" w:cs="Arial" w:eastAsia="Arial" w:hAnsi="Arial"/>
                <w:sz w:val="13"/>
                <w:szCs w:val="13"/>
                <w:color w:val="auto"/>
              </w:rPr>
              <w:t>19,050</w:t>
            </w:r>
          </w:p>
        </w:tc>
        <w:tc>
          <w:tcPr>
            <w:tcW w:w="10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19,050</w:t>
            </w:r>
          </w:p>
        </w:tc>
        <w:tc>
          <w:tcPr>
            <w:tcW w:w="0" w:type="dxa"/>
            <w:vAlign w:val="bottom"/>
          </w:tcPr>
          <w:p>
            <w:pPr>
              <w:spacing w:after="0"/>
              <w:rPr>
                <w:sz w:val="1"/>
                <w:szCs w:val="1"/>
                <w:color w:val="auto"/>
              </w:rPr>
            </w:pPr>
          </w:p>
        </w:tc>
      </w:tr>
      <w:tr>
        <w:trPr>
          <w:trHeight w:val="239"/>
        </w:trPr>
        <w:tc>
          <w:tcPr>
            <w:tcW w:w="1100" w:type="dxa"/>
            <w:vAlign w:val="bottom"/>
          </w:tcPr>
          <w:p>
            <w:pPr>
              <w:jc w:val="right"/>
              <w:ind w:right="157"/>
              <w:spacing w:after="0"/>
              <w:rPr>
                <w:sz w:val="20"/>
                <w:szCs w:val="20"/>
                <w:color w:val="auto"/>
              </w:rPr>
            </w:pPr>
            <w:r>
              <w:rPr>
                <w:rFonts w:ascii="Arial" w:cs="Arial" w:eastAsia="Arial" w:hAnsi="Arial"/>
                <w:sz w:val="13"/>
                <w:szCs w:val="13"/>
                <w:color w:val="auto"/>
              </w:rPr>
              <w:t>65,479</w:t>
            </w:r>
          </w:p>
        </w:tc>
        <w:tc>
          <w:tcPr>
            <w:tcW w:w="10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65,479</w:t>
            </w:r>
          </w:p>
        </w:tc>
        <w:tc>
          <w:tcPr>
            <w:tcW w:w="0" w:type="dxa"/>
            <w:vAlign w:val="bottom"/>
          </w:tcPr>
          <w:p>
            <w:pPr>
              <w:spacing w:after="0"/>
              <w:rPr>
                <w:sz w:val="1"/>
                <w:szCs w:val="1"/>
                <w:color w:val="auto"/>
              </w:rPr>
            </w:pPr>
          </w:p>
        </w:tc>
      </w:tr>
      <w:tr>
        <w:trPr>
          <w:trHeight w:val="135"/>
        </w:trPr>
        <w:tc>
          <w:tcPr>
            <w:tcW w:w="11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366</w:t>
            </w:r>
          </w:p>
        </w:tc>
        <w:tc>
          <w:tcPr>
            <w:tcW w:w="10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135"/>
        </w:trPr>
        <w:tc>
          <w:tcPr>
            <w:tcW w:w="11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35"/>
        </w:trPr>
        <w:tc>
          <w:tcPr>
            <w:tcW w:w="11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11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8,412</w:t>
            </w:r>
          </w:p>
        </w:tc>
        <w:tc>
          <w:tcPr>
            <w:tcW w:w="10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8,412</w:t>
            </w:r>
          </w:p>
        </w:tc>
        <w:tc>
          <w:tcPr>
            <w:tcW w:w="0" w:type="dxa"/>
            <w:vAlign w:val="bottom"/>
          </w:tcPr>
          <w:p>
            <w:pPr>
              <w:spacing w:after="0"/>
              <w:rPr>
                <w:sz w:val="1"/>
                <w:szCs w:val="1"/>
                <w:color w:val="auto"/>
              </w:rPr>
            </w:pPr>
          </w:p>
        </w:tc>
      </w:tr>
      <w:tr>
        <w:trPr>
          <w:trHeight w:val="135"/>
        </w:trPr>
        <w:tc>
          <w:tcPr>
            <w:tcW w:w="11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649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649</w:t>
            </w:r>
          </w:p>
        </w:tc>
        <w:tc>
          <w:tcPr>
            <w:tcW w:w="0" w:type="dxa"/>
            <w:vAlign w:val="bottom"/>
          </w:tcPr>
          <w:p>
            <w:pPr>
              <w:spacing w:after="0"/>
              <w:rPr>
                <w:sz w:val="1"/>
                <w:szCs w:val="1"/>
                <w:color w:val="auto"/>
              </w:rPr>
            </w:pPr>
          </w:p>
        </w:tc>
      </w:tr>
      <w:tr>
        <w:trPr>
          <w:trHeight w:val="153"/>
        </w:trPr>
        <w:tc>
          <w:tcPr>
            <w:tcW w:w="11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(64,732 )</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(64,732 )</w:t>
            </w:r>
          </w:p>
        </w:tc>
        <w:tc>
          <w:tcPr>
            <w:tcW w:w="0" w:type="dxa"/>
            <w:vAlign w:val="bottom"/>
          </w:tcPr>
          <w:p>
            <w:pPr>
              <w:spacing w:after="0"/>
              <w:rPr>
                <w:sz w:val="1"/>
                <w:szCs w:val="1"/>
                <w:color w:val="auto"/>
              </w:rPr>
            </w:pPr>
          </w:p>
        </w:tc>
      </w:tr>
      <w:tr>
        <w:trPr>
          <w:trHeight w:val="111"/>
        </w:trPr>
        <w:tc>
          <w:tcPr>
            <w:tcW w:w="1100" w:type="dxa"/>
            <w:vAlign w:val="bottom"/>
          </w:tcPr>
          <w:p>
            <w:pPr>
              <w:jc w:val="right"/>
              <w:ind w:right="157"/>
              <w:spacing w:after="0" w:line="111" w:lineRule="exact"/>
              <w:rPr>
                <w:sz w:val="20"/>
                <w:szCs w:val="20"/>
                <w:color w:val="auto"/>
              </w:rPr>
            </w:pPr>
            <w:r>
              <w:rPr>
                <w:rFonts w:ascii="Arial" w:cs="Arial" w:eastAsia="Arial" w:hAnsi="Arial"/>
                <w:sz w:val="12"/>
                <w:szCs w:val="12"/>
                <w:color w:val="auto"/>
              </w:rPr>
              <w:t>278,881</w:t>
            </w:r>
          </w:p>
        </w:tc>
        <w:tc>
          <w:tcPr>
            <w:tcW w:w="100" w:type="dxa"/>
            <w:vAlign w:val="bottom"/>
          </w:tcPr>
          <w:p>
            <w:pPr>
              <w:spacing w:after="0"/>
              <w:rPr>
                <w:sz w:val="9"/>
                <w:szCs w:val="9"/>
                <w:color w:val="auto"/>
              </w:rPr>
            </w:pPr>
          </w:p>
        </w:tc>
        <w:tc>
          <w:tcPr>
            <w:tcW w:w="1180" w:type="dxa"/>
            <w:vAlign w:val="bottom"/>
          </w:tcPr>
          <w:p>
            <w:pPr>
              <w:jc w:val="right"/>
              <w:ind w:right="57"/>
              <w:spacing w:after="0" w:line="111" w:lineRule="exact"/>
              <w:rPr>
                <w:sz w:val="20"/>
                <w:szCs w:val="20"/>
                <w:color w:val="auto"/>
              </w:rPr>
            </w:pPr>
            <w:r>
              <w:rPr>
                <w:rFonts w:ascii="Arial" w:cs="Arial" w:eastAsia="Arial" w:hAnsi="Arial"/>
                <w:sz w:val="12"/>
                <w:szCs w:val="12"/>
                <w:color w:val="auto"/>
              </w:rPr>
              <w:t>275</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jc w:val="right"/>
              <w:spacing w:after="0" w:line="111" w:lineRule="exact"/>
              <w:rPr>
                <w:sz w:val="20"/>
                <w:szCs w:val="20"/>
                <w:color w:val="auto"/>
              </w:rPr>
            </w:pPr>
            <w:r>
              <w:rPr>
                <w:rFonts w:ascii="Arial" w:cs="Arial" w:eastAsia="Arial" w:hAnsi="Arial"/>
                <w:sz w:val="12"/>
                <w:szCs w:val="12"/>
                <w:color w:val="auto"/>
              </w:rPr>
              <w:t>(154,455 )</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jc w:val="right"/>
              <w:ind w:right="57"/>
              <w:spacing w:after="0" w:line="111" w:lineRule="exact"/>
              <w:rPr>
                <w:sz w:val="20"/>
                <w:szCs w:val="20"/>
                <w:color w:val="auto"/>
              </w:rPr>
            </w:pPr>
            <w:r>
              <w:rPr>
                <w:rFonts w:ascii="Arial" w:cs="Arial" w:eastAsia="Arial" w:hAnsi="Arial"/>
                <w:sz w:val="12"/>
                <w:szCs w:val="12"/>
                <w:color w:val="auto"/>
              </w:rPr>
              <w:t>124,701</w:t>
            </w:r>
          </w:p>
        </w:tc>
        <w:tc>
          <w:tcPr>
            <w:tcW w:w="0" w:type="dxa"/>
            <w:vAlign w:val="bottom"/>
          </w:tcPr>
          <w:p>
            <w:pPr>
              <w:spacing w:after="0"/>
              <w:rPr>
                <w:sz w:val="1"/>
                <w:szCs w:val="1"/>
                <w:color w:val="auto"/>
              </w:rPr>
            </w:pPr>
          </w:p>
        </w:tc>
      </w:tr>
      <w:tr>
        <w:trPr>
          <w:trHeight w:val="135"/>
        </w:trPr>
        <w:tc>
          <w:tcPr>
            <w:tcW w:w="11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147</w:t>
            </w:r>
          </w:p>
        </w:tc>
        <w:tc>
          <w:tcPr>
            <w:tcW w:w="10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35"/>
        </w:trPr>
        <w:tc>
          <w:tcPr>
            <w:tcW w:w="11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225</w:t>
            </w:r>
          </w:p>
        </w:tc>
        <w:tc>
          <w:tcPr>
            <w:tcW w:w="10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66"/>
        </w:trPr>
        <w:tc>
          <w:tcPr>
            <w:tcW w:w="1100" w:type="dxa"/>
            <w:vAlign w:val="bottom"/>
          </w:tcPr>
          <w:p>
            <w:pPr>
              <w:jc w:val="right"/>
              <w:ind w:right="1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70"/>
        </w:trPr>
        <w:tc>
          <w:tcPr>
            <w:tcW w:w="11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1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1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8,338</w:t>
            </w:r>
          </w:p>
        </w:tc>
        <w:tc>
          <w:tcPr>
            <w:tcW w:w="100" w:type="dxa"/>
            <w:vAlign w:val="bottom"/>
          </w:tcPr>
          <w:p>
            <w:pPr>
              <w:spacing w:after="0"/>
              <w:rPr>
                <w:sz w:val="11"/>
                <w:szCs w:val="11"/>
                <w:color w:val="auto"/>
              </w:rPr>
            </w:pPr>
          </w:p>
        </w:tc>
        <w:tc>
          <w:tcPr>
            <w:tcW w:w="11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8,338</w:t>
            </w:r>
          </w:p>
        </w:tc>
        <w:tc>
          <w:tcPr>
            <w:tcW w:w="0" w:type="dxa"/>
            <w:vAlign w:val="bottom"/>
          </w:tcPr>
          <w:p>
            <w:pPr>
              <w:spacing w:after="0"/>
              <w:rPr>
                <w:sz w:val="1"/>
                <w:szCs w:val="1"/>
                <w:color w:val="auto"/>
              </w:rPr>
            </w:pPr>
          </w:p>
        </w:tc>
      </w:tr>
      <w:tr>
        <w:trPr>
          <w:trHeight w:val="135"/>
        </w:trPr>
        <w:tc>
          <w:tcPr>
            <w:tcW w:w="11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(244 )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(244 )</w:t>
            </w:r>
          </w:p>
        </w:tc>
        <w:tc>
          <w:tcPr>
            <w:tcW w:w="0" w:type="dxa"/>
            <w:vAlign w:val="bottom"/>
          </w:tcPr>
          <w:p>
            <w:pPr>
              <w:spacing w:after="0"/>
              <w:rPr>
                <w:sz w:val="1"/>
                <w:szCs w:val="1"/>
                <w:color w:val="auto"/>
              </w:rPr>
            </w:pPr>
          </w:p>
        </w:tc>
      </w:tr>
      <w:tr>
        <w:trPr>
          <w:trHeight w:val="153"/>
        </w:trPr>
        <w:tc>
          <w:tcPr>
            <w:tcW w:w="11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(51,321 )</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(51,321 )</w:t>
            </w:r>
          </w:p>
        </w:tc>
        <w:tc>
          <w:tcPr>
            <w:tcW w:w="0" w:type="dxa"/>
            <w:vAlign w:val="bottom"/>
          </w:tcPr>
          <w:p>
            <w:pPr>
              <w:spacing w:after="0"/>
              <w:rPr>
                <w:sz w:val="1"/>
                <w:szCs w:val="1"/>
                <w:color w:val="auto"/>
              </w:rPr>
            </w:pPr>
          </w:p>
        </w:tc>
      </w:tr>
      <w:tr>
        <w:trPr>
          <w:trHeight w:val="128"/>
        </w:trPr>
        <w:tc>
          <w:tcPr>
            <w:tcW w:w="1100" w:type="dxa"/>
            <w:vAlign w:val="bottom"/>
          </w:tcPr>
          <w:p>
            <w:pPr>
              <w:jc w:val="right"/>
              <w:ind w:right="157"/>
              <w:spacing w:after="0" w:line="129" w:lineRule="exact"/>
              <w:rPr>
                <w:sz w:val="20"/>
                <w:szCs w:val="20"/>
                <w:color w:val="auto"/>
              </w:rPr>
            </w:pPr>
            <w:r>
              <w:rPr>
                <w:rFonts w:ascii="Arial" w:cs="Arial" w:eastAsia="Arial" w:hAnsi="Arial"/>
                <w:sz w:val="13"/>
                <w:szCs w:val="13"/>
                <w:color w:val="auto"/>
              </w:rPr>
              <w:t>287,594</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(205,776 )</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81,849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-2022475</wp:posOffset>
            </wp:positionV>
            <wp:extent cx="8058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-119380</wp:posOffset>
            </wp:positionV>
            <wp:extent cx="8058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200"/>
            <w:col w:w="5180"/>
          </w:cols>
          <w:pgMar w:left="340" w:top="1201" w:right="339" w:bottom="1440" w:gutter="0" w:footer="0" w:header="0"/>
          <w:type w:val="continuous"/>
        </w:sectPr>
      </w:pP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471805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01" w:right="3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spacing w:after="0"/>
              <w:rPr>
                <w:sz w:val="17"/>
                <w:szCs w:val="17"/>
                <w:color w:val="auto"/>
              </w:rPr>
            </w:pPr>
          </w:p>
        </w:tc>
      </w:tr>
      <w:tr>
        <w:trPr>
          <w:trHeight w:val="221"/>
        </w:trPr>
        <w:tc>
          <w:tcPr>
            <w:tcW w:w="74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tcBorders>
              <w:bottom w:val="single" w:sz="8" w:color="auto"/>
            </w:tcBorders>
          </w:tcPr>
          <w:p>
            <w:pPr>
              <w:spacing w:after="0"/>
              <w:rPr>
                <w:sz w:val="19"/>
                <w:szCs w:val="19"/>
                <w:color w:val="auto"/>
              </w:rPr>
            </w:pPr>
          </w:p>
        </w:tc>
      </w:tr>
      <w:tr>
        <w:trPr>
          <w:trHeight w:val="196"/>
        </w:trPr>
        <w:tc>
          <w:tcPr>
            <w:tcW w:w="74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7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(51,321 )</w:t>
            </w:r>
          </w:p>
        </w:tc>
        <w:tc>
          <w:tcPr>
            <w:tcW w:w="72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(64,732 )</w:t>
            </w:r>
          </w:p>
        </w:tc>
      </w:tr>
      <w:tr>
        <w:trPr>
          <w:trHeight w:val="203"/>
        </w:trPr>
        <w:tc>
          <w:tcPr>
            <w:tcW w:w="74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7460" w:type="dxa"/>
            <w:vAlign w:val="bottom"/>
          </w:tcPr>
          <w:p>
            <w:pPr>
              <w:ind w:left="400"/>
              <w:spacing w:after="0" w:line="202" w:lineRule="exact"/>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8,338</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8,412</w:t>
            </w:r>
          </w:p>
        </w:tc>
      </w:tr>
      <w:tr>
        <w:trPr>
          <w:trHeight w:val="203"/>
        </w:trPr>
        <w:tc>
          <w:tcPr>
            <w:tcW w:w="74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Non-cash operating lease expense</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53</w:t>
            </w:r>
          </w:p>
        </w:tc>
      </w:tr>
      <w:tr>
        <w:trPr>
          <w:trHeight w:val="203"/>
        </w:trPr>
        <w:tc>
          <w:tcPr>
            <w:tcW w:w="7460" w:type="dxa"/>
            <w:vAlign w:val="bottom"/>
          </w:tcPr>
          <w:p>
            <w:pPr>
              <w:ind w:left="400"/>
              <w:spacing w:after="0" w:line="202" w:lineRule="exact"/>
              <w:rPr>
                <w:sz w:val="20"/>
                <w:szCs w:val="20"/>
                <w:color w:val="auto"/>
              </w:rPr>
            </w:pPr>
            <w:r>
              <w:rPr>
                <w:rFonts w:ascii="Arial" w:cs="Arial" w:eastAsia="Arial" w:hAnsi="Arial"/>
                <w:sz w:val="18"/>
                <w:szCs w:val="18"/>
                <w:color w:val="auto"/>
              </w:rPr>
              <w:t>Net accretion of discount on investments</w:t>
            </w: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(3,279 )</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(2,855 )</w:t>
            </w:r>
          </w:p>
        </w:tc>
      </w:tr>
      <w:tr>
        <w:trPr>
          <w:trHeight w:val="203"/>
        </w:trPr>
        <w:tc>
          <w:tcPr>
            <w:tcW w:w="74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7460" w:type="dxa"/>
            <w:vAlign w:val="bottom"/>
          </w:tcPr>
          <w:p>
            <w:pPr>
              <w:ind w:left="520"/>
              <w:spacing w:after="0" w:line="202" w:lineRule="exact"/>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807</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(1,026 )</w:t>
            </w:r>
          </w:p>
        </w:tc>
      </w:tr>
      <w:tr>
        <w:trPr>
          <w:trHeight w:val="203"/>
        </w:trPr>
        <w:tc>
          <w:tcPr>
            <w:tcW w:w="74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641</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553</w:t>
            </w:r>
          </w:p>
        </w:tc>
      </w:tr>
      <w:tr>
        <w:trPr>
          <w:trHeight w:val="203"/>
        </w:trPr>
        <w:tc>
          <w:tcPr>
            <w:tcW w:w="7460" w:type="dxa"/>
            <w:vAlign w:val="bottom"/>
          </w:tcPr>
          <w:p>
            <w:pPr>
              <w:ind w:left="520"/>
              <w:spacing w:after="0" w:line="202" w:lineRule="exact"/>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(2,342 )</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1,850</w:t>
            </w:r>
          </w:p>
        </w:tc>
      </w:tr>
      <w:tr>
        <w:trPr>
          <w:trHeight w:val="203"/>
        </w:trPr>
        <w:tc>
          <w:tcPr>
            <w:tcW w:w="74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(2,227 )</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3,844</w:t>
            </w:r>
          </w:p>
        </w:tc>
      </w:tr>
      <w:tr>
        <w:trPr>
          <w:trHeight w:val="203"/>
        </w:trPr>
        <w:tc>
          <w:tcPr>
            <w:tcW w:w="7460" w:type="dxa"/>
            <w:vAlign w:val="bottom"/>
          </w:tcPr>
          <w:p>
            <w:pPr>
              <w:ind w:left="520"/>
              <w:spacing w:after="0" w:line="202" w:lineRule="exact"/>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(53 )</w:t>
            </w:r>
          </w:p>
        </w:tc>
      </w:tr>
      <w:tr>
        <w:trPr>
          <w:trHeight w:val="203"/>
        </w:trPr>
        <w:tc>
          <w:tcPr>
            <w:tcW w:w="7460" w:type="dxa"/>
            <w:vAlign w:val="bottom"/>
            <w:tcBorders>
              <w:bottom w:val="single" w:sz="8" w:color="CFF0FC"/>
            </w:tcBorders>
            <w:shd w:val="clear" w:color="auto" w:fill="CFF0FC"/>
          </w:tcPr>
          <w:p>
            <w:pPr>
              <w:ind w:left="520"/>
              <w:spacing w:after="0" w:line="202" w:lineRule="exact"/>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126</w:t>
            </w:r>
          </w:p>
        </w:tc>
        <w:tc>
          <w:tcPr>
            <w:tcW w:w="1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666</w:t>
            </w:r>
          </w:p>
        </w:tc>
      </w:tr>
      <w:tr>
        <w:trPr>
          <w:trHeight w:val="196"/>
        </w:trPr>
        <w:tc>
          <w:tcPr>
            <w:tcW w:w="7460" w:type="dxa"/>
            <w:vAlign w:val="bottom"/>
          </w:tcPr>
          <w:p>
            <w:pPr>
              <w:ind w:left="780"/>
              <w:spacing w:after="0" w:line="196" w:lineRule="exact"/>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(49,257 )</w:t>
            </w:r>
          </w:p>
        </w:tc>
        <w:tc>
          <w:tcPr>
            <w:tcW w:w="1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(53,288 )</w:t>
            </w:r>
          </w:p>
        </w:tc>
      </w:tr>
      <w:tr>
        <w:trPr>
          <w:trHeight w:val="196"/>
        </w:trPr>
        <w:tc>
          <w:tcPr>
            <w:tcW w:w="7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7460" w:type="dxa"/>
            <w:vAlign w:val="bottom"/>
          </w:tcPr>
          <w:p>
            <w:pPr>
              <w:ind w:left="280"/>
              <w:spacing w:after="0" w:line="202" w:lineRule="exact"/>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(46,751 )</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(132,178 )</w:t>
            </w:r>
          </w:p>
        </w:tc>
      </w:tr>
      <w:tr>
        <w:trPr>
          <w:trHeight w:val="202"/>
        </w:trPr>
        <w:tc>
          <w:tcPr>
            <w:tcW w:w="74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Maturities of investments</w:t>
            </w: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101,340</w:t>
            </w:r>
          </w:p>
        </w:tc>
        <w:tc>
          <w:tcPr>
            <w:tcW w:w="1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88,900</w:t>
            </w:r>
          </w:p>
        </w:tc>
      </w:tr>
      <w:tr>
        <w:trPr>
          <w:trHeight w:val="196"/>
        </w:trPr>
        <w:tc>
          <w:tcPr>
            <w:tcW w:w="7460" w:type="dxa"/>
            <w:vAlign w:val="bottom"/>
          </w:tcPr>
          <w:p>
            <w:pPr>
              <w:ind w:left="78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54,589</w:t>
            </w:r>
          </w:p>
        </w:tc>
        <w:tc>
          <w:tcPr>
            <w:tcW w:w="1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(43,278 )</w:t>
            </w:r>
          </w:p>
        </w:tc>
      </w:tr>
      <w:tr>
        <w:trPr>
          <w:trHeight w:val="196"/>
        </w:trPr>
        <w:tc>
          <w:tcPr>
            <w:tcW w:w="7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184"/>
        </w:trPr>
        <w:tc>
          <w:tcPr>
            <w:tcW w:w="7460" w:type="dxa"/>
            <w:vAlign w:val="bottom"/>
          </w:tcPr>
          <w:p>
            <w:pPr>
              <w:ind w:left="280"/>
              <w:spacing w:after="0" w:line="183" w:lineRule="exact"/>
              <w:rPr>
                <w:sz w:val="20"/>
                <w:szCs w:val="20"/>
                <w:color w:val="auto"/>
              </w:rPr>
            </w:pPr>
            <w:r>
              <w:rPr>
                <w:rFonts w:ascii="Arial" w:cs="Arial" w:eastAsia="Arial" w:hAnsi="Arial"/>
                <w:sz w:val="18"/>
                <w:szCs w:val="18"/>
                <w:color w:val="auto"/>
              </w:rPr>
              <w:t>Proceeds from issuance of common stock from the Underwritten Offering, net of</w:t>
            </w: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1"/>
        </w:trPr>
        <w:tc>
          <w:tcPr>
            <w:tcW w:w="7460" w:type="dxa"/>
            <w:vAlign w:val="bottom"/>
          </w:tcPr>
          <w:p>
            <w:pPr>
              <w:ind w:left="280"/>
              <w:spacing w:after="0"/>
              <w:rPr>
                <w:sz w:val="20"/>
                <w:szCs w:val="20"/>
                <w:color w:val="auto"/>
              </w:rPr>
            </w:pPr>
            <w:r>
              <w:rPr>
                <w:rFonts w:ascii="Arial" w:cs="Arial" w:eastAsia="Arial" w:hAnsi="Arial"/>
                <w:sz w:val="18"/>
                <w:szCs w:val="18"/>
                <w:color w:val="auto"/>
              </w:rPr>
              <w:t>commissions and offering expenses</w:t>
            </w:r>
          </w:p>
        </w:tc>
        <w:tc>
          <w:tcPr>
            <w:tcW w:w="3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65,479</w:t>
            </w:r>
          </w:p>
        </w:tc>
      </w:tr>
      <w:tr>
        <w:trPr>
          <w:trHeight w:val="184"/>
        </w:trPr>
        <w:tc>
          <w:tcPr>
            <w:tcW w:w="746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Proceeds from issuance of common stock from the “at-the-market” offering, net of</w:t>
            </w:r>
          </w:p>
        </w:tc>
        <w:tc>
          <w:tcPr>
            <w:tcW w:w="3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221"/>
        </w:trPr>
        <w:tc>
          <w:tcPr>
            <w:tcW w:w="7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commissions and offering expenses</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19,050</w:t>
            </w:r>
          </w:p>
        </w:tc>
      </w:tr>
      <w:tr>
        <w:trPr>
          <w:trHeight w:val="203"/>
        </w:trPr>
        <w:tc>
          <w:tcPr>
            <w:tcW w:w="7460" w:type="dxa"/>
            <w:vAlign w:val="bottom"/>
          </w:tcPr>
          <w:p>
            <w:pPr>
              <w:ind w:left="280"/>
              <w:spacing w:after="0" w:line="202" w:lineRule="exact"/>
              <w:rPr>
                <w:sz w:val="20"/>
                <w:szCs w:val="20"/>
                <w:color w:val="auto"/>
              </w:rPr>
            </w:pPr>
            <w:r>
              <w:rPr>
                <w:rFonts w:ascii="Arial" w:cs="Arial" w:eastAsia="Arial" w:hAnsi="Arial"/>
                <w:sz w:val="18"/>
                <w:szCs w:val="18"/>
                <w:color w:val="auto"/>
              </w:rPr>
              <w:t>Proceeds from issuance of common stock under the ESPP</w:t>
            </w:r>
          </w:p>
        </w:tc>
        <w:tc>
          <w:tcPr>
            <w:tcW w:w="38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147</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366</w:t>
            </w:r>
          </w:p>
        </w:tc>
      </w:tr>
      <w:tr>
        <w:trPr>
          <w:trHeight w:val="202"/>
        </w:trPr>
        <w:tc>
          <w:tcPr>
            <w:tcW w:w="74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Proceeds from exercise of stock options</w:t>
            </w: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225</w:t>
            </w:r>
          </w:p>
        </w:tc>
        <w:tc>
          <w:tcPr>
            <w:tcW w:w="180" w:type="dxa"/>
            <w:vAlign w:val="bottom"/>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99</w:t>
            </w:r>
          </w:p>
        </w:tc>
      </w:tr>
      <w:tr>
        <w:trPr>
          <w:trHeight w:val="196"/>
        </w:trPr>
        <w:tc>
          <w:tcPr>
            <w:tcW w:w="7460" w:type="dxa"/>
            <w:vAlign w:val="bottom"/>
          </w:tcPr>
          <w:p>
            <w:pPr>
              <w:ind w:left="78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372</w:t>
            </w:r>
          </w:p>
        </w:tc>
        <w:tc>
          <w:tcPr>
            <w:tcW w:w="1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84,994</w:t>
            </w:r>
          </w:p>
        </w:tc>
      </w:tr>
      <w:tr>
        <w:trPr>
          <w:trHeight w:val="196"/>
        </w:trPr>
        <w:tc>
          <w:tcPr>
            <w:tcW w:w="7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5,704</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(11,572 )</w:t>
            </w: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at the beginning of the period</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15,647</w:t>
            </w:r>
          </w:p>
        </w:tc>
        <w:tc>
          <w:tcPr>
            <w:tcW w:w="1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27,219</w:t>
            </w:r>
          </w:p>
        </w:tc>
      </w:tr>
      <w:tr>
        <w:trPr>
          <w:trHeight w:val="236"/>
        </w:trPr>
        <w:tc>
          <w:tcPr>
            <w:tcW w:w="74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at the end of the period</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21,351</w:t>
            </w:r>
          </w:p>
        </w:tc>
        <w:tc>
          <w:tcPr>
            <w:tcW w:w="1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-2142490</wp:posOffset>
            </wp:positionV>
            <wp:extent cx="120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-1610995</wp:posOffset>
            </wp:positionV>
            <wp:extent cx="1200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-577850</wp:posOffset>
            </wp:positionV>
            <wp:extent cx="14541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145415"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1200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1200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the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2"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AN2 Therapeutics, Inc. (the “Company”) is a biopharmaceutical company focused on discovering and developing novel small molecule therapeutics derived from its boron chemistry platform. The Company has a pipeline of boron-based compounds in development for Chagas disease, non-tuberculous mycobacterial (“NTM”), and melioidosis, along with early-stage programs focused on targets in infectious diseases and oncology. The Company was incorporated in the state of Delaware in February 2017, began operations in November 2019, began trading on the Nasdaq Global Select Market on March 25, 2022 under the symbol “ANTX”, and is based in Menlo Park, California.</w:t>
      </w:r>
    </w:p>
    <w:p>
      <w:pPr>
        <w:spacing w:after="0" w:line="166"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Since launching operations in November 2019, the Company has devoted substantially all of its resources to performing research and development activities, including with respect to its initial product candidate, epetraborole, and other product candidates, business planning and restructuring, hiring personnel, raising capital, and providing general and administrative support for these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2" w:lineRule="exact"/>
        <w:rPr>
          <w:sz w:val="20"/>
          <w:szCs w:val="20"/>
          <w:color w:val="auto"/>
        </w:rPr>
      </w:pPr>
    </w:p>
    <w:p>
      <w:pPr>
        <w:ind w:right="560" w:firstLine="509"/>
        <w:spacing w:after="0" w:line="259" w:lineRule="auto"/>
        <w:rPr>
          <w:sz w:val="20"/>
          <w:szCs w:val="20"/>
          <w:color w:val="auto"/>
        </w:rPr>
      </w:pPr>
      <w:r>
        <w:rPr>
          <w:rFonts w:ascii="Arial" w:cs="Arial" w:eastAsia="Arial" w:hAnsi="Arial"/>
          <w:sz w:val="17"/>
          <w:szCs w:val="17"/>
          <w:color w:val="auto"/>
        </w:rPr>
        <w:t>On March 24, 2022, the Company’s registration statement on Form S-1 (File No. 333-263295) relating to its initial public offering (“IPO”) of common stock became effective. The IPO closed on March 29, 2022, at which time the Company issued an aggregate of</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4,600,000 shares of its common stock at a price to the public of $15.00 per share. In addition, immediately prior to the closing of the IPO, all outstanding shares of the Company’s then existing redeemable convertible preferred stock automatically converted into 11,409,488 shares of common stock. The aggregate offering proceeds for shares sold in the IPO was $69.0 million. After deducting underwriting discounts and commissions of $4.8 million and offering costs paid or payable by the Company of $3.3 million, the net proceeds from the offering were approximately $60.9 million.</w:t>
      </w:r>
    </w:p>
    <w:p>
      <w:pPr>
        <w:spacing w:after="0" w:line="180"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On April 8, 2022, the underwriters from the IPO exercised an option to purchase 690,000 additional shares of the Company's common stock at a public offering price of $15.00 per share, resulting in additional gross proceeds to the Company of $10.4 million, and additional net proceeds of approximately $9.5 million. After giving effect to this exercise of the overallotment option, the total number of shares sold by the Company in the IPO increased to 5,290,000 shares with total net proceeds to the Company of approximately $70.4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0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On April 6, 2023, the Company entered into a sales agreement (“Sales Agreement”) with Cowen and Company, LLC as the Company’s sales agent (“Agent”) to issue and sell up to an aggregate gross sales of $100.0 million in shares (“Shares”) of the Company’s common stock through an “at-the-market” equity offering program (“ATM Offering”). The Company will pay commissions to the Agent of up to 3.0% of the gross proceeds of the sale of the Shares sold under the Sales Agreement and reimburse the Agent for certain expenses. During the year ended December 31, 2023, the Company issued and sold 2,502,000 shares of common stock under the ATM Offering, resulting in net proceeds of $19.1 million, after deducting commissions and other offering costs. The Company did not sell any shares of common stock through the ATM Offering during the year ended December 31, 2024.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Offering</w:t>
      </w:r>
    </w:p>
    <w:p>
      <w:pPr>
        <w:spacing w:after="0" w:line="10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On August 15, 2023, the Company entered into an underwriting agreement (the “Underwriting Agreement”) with Cowen and Company, LLC, Leerink Partners LLC and Evercore Group L.L.C., as representatives of several underwriters, to issue and sell 7,777,778 shares of common stock at an offering price of $9.00 per share, resulting in net proceeds of $65.5 million, after deducting commissions and other offering costs (the “Underwritten Offering”).</w:t>
      </w: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3" w:name="page104"/>
    <w:bookmarkEnd w:id="103"/>
    <w:p>
      <w:pPr>
        <w:jc w:val="center"/>
        <w:ind w:right="-7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Company’s financial statements have been prepared in accordance with United States generally accepted accounting principles (“U.S. GAAP”). Certain reclassifications have been made to the prior year presentation to conform to the current year presentation. The prior year presentation of "other income, net" on the statements of operations and comprehensive loss has been separated to “interest income” and “other income” and conformed to reflect the current year's presentation.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0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Prior to the IPO, the Company’s operations had historically been financed through the issuance of redeemable convertible preferred stock. Since inception, the Company has incurred significant losses and negative net cash flows from operations. During the years ended December 31, 2024 and 2023, the Company incurred a net loss of $51.3 million and $64.7 million, respectively, and had cash flows used in operating activities of $49.3 million and $53.3 million, respectively. The Company has an accumulated deficit of $205.8 million and $154.5 million as of December 31, 2024 and 2023, respectively, and will require substantial additional capital for research and development activities. The Company anticipates incurring additional losses until such time, if ever, that it can generate significant sales of its product candidates currently in development.</w:t>
      </w:r>
    </w:p>
    <w:p>
      <w:pPr>
        <w:spacing w:after="0" w:line="18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As of December 31, 2024, the Company had cash, cash equivalents, short-term investments and long-term investments of $88.6 million. Management believes that its cash, cash equivalents and investments as of December 31, 2024 will be sufficient to fund its current operating plan through at least 12 months from the issuance date of these financial statements. Future capital requirements will depend on many factors, including the timing and extent of spending on research and development, including costs for preclinical and nonclinical studies, clinical trials, and clinical trial and material manufacturing.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2"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Company operates and manages its business as one reportable and operating segment. For financial information related to the Company's one operating segment see Note 13 - Segment Reporting.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research and development accruals, fair value of assets and liabilities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All research and development costs, including work performed by third parties, are expensed as incurred. Research and development costs consist of salaries and other personnel-related expenses, including associated stock-based compensation, consulting fees, and facility costs, as well as fees paid to other entities that conduct certain research and development activities on behalf of the Company. Payments made prior to the receipt of goods or services to be used in research and development are capitalized until the goods are received or services are rendered.</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As part of the process of preparing its financial statements, the Company estimates its accrued expenses.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contract manufacturing and clinical and other research organizations, academic research centers and other vendors in connection with research and development activities for which the Company has not yet been invoiced.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Company measures and recognizes compensation expense for equity-classified stock-based awards made to employees, directors and non-employees based on the grant date estimated fair value of each award. Compensation expense for employee and director awards is recognized on a straight-line basis over the requisite service period which is generally the vesting period for the entire award. Expense is adjusted for forfeitures as they occur. Compensation expense for non-employee awards is recognized in the same period and manner as if the Company had paid cash for the goods or services provided.</w:t>
      </w:r>
    </w:p>
    <w:p>
      <w:pPr>
        <w:spacing w:after="0" w:line="17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valuation model used for calculating the fair value of stock options for stock-based compensation expense is the Black-Scholes option-pricing model (the Black-Scholes model). The Black-Scholes model requires management to make assumptions and judgments about the variables used in the calculation, including the expected term, the expected volatility of common stock, an assumed risk-free interest rate, and expected dividends the Company may pay. Management uses the simplified calculation (based on the mid-point between the vesting date and the end of the contractual term) of the expected term for its stock options as the Company has concluded that its stock option history does not provide a reasonable basis upon which to estimate expected term. Volatility is based on an average of the historical volatilities of the common stock of entities with characteristics similar to the Company’s. The risk-free rate is based on the U.S. Treasury yield curve in effect at the time of grant for periods corresponding with the expected life of the option. The Company uses an assumed dividend yield of zero as the Company has never paid dividends and has no current plans to pay any dividends on its common stock.</w:t>
      </w:r>
    </w:p>
    <w:p>
      <w:pPr>
        <w:spacing w:after="0" w:line="183"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For option awards that contain performance conditions, compensation cost is recognized in the period in which it becomes probable that the performance condition will be satisfied. For option awards that vest upon a liquidity event or a change in control, the performance condition is not probable of being achieved until the event occurs. As a result, no compensation expense would be recognized until the performance-based vesting condition is achieved.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which consist of money market funds, corporate debt securities and corporate commercial paper, are stated at fair value.</w:t>
      </w:r>
    </w:p>
    <w:p>
      <w:pPr>
        <w:spacing w:after="0" w:line="234" w:lineRule="auto"/>
        <w:rPr>
          <w:sz w:val="20"/>
          <w:szCs w:val="20"/>
          <w:color w:val="auto"/>
        </w:rPr>
      </w:pPr>
      <w:r>
        <w:rPr>
          <w:rFonts w:ascii="Arial" w:cs="Arial" w:eastAsia="Arial" w:hAnsi="Arial"/>
          <w:sz w:val="18"/>
          <w:szCs w:val="18"/>
          <w:color w:val="auto"/>
        </w:rPr>
        <w:t>As of December 31, 2024 and 2023, the Company had cash and cash equivalents of $21.4 million and $15.6 million, respectively.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Investments consist of U.S. Treasury securities, commercial paper, U.S. Government agency securities, asset-backed securities, and corporate debt securities. All of the Company’s investments are classified as available-for-sale and are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 The cost of investments sold, if any, is based on the specific identification method.</w:t>
      </w:r>
    </w:p>
    <w:p>
      <w:pPr>
        <w:spacing w:after="0" w:line="17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Unrealized gains and losses on available-for-sale investments are reported in accumulated other comprehensive gain (loss) as a separate component of stockholders’ equity.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statements of operations and comprehensive loss. If neither criterion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other income, net. Any unrealized losses from declines in fair value below the amortized cost basis as a result of non-credit factors are recognized in accumulated other comprehensive income (loss) as a separate component of stockholders’ equity, along with unrealized gains. Realized gains and losses and declines in fair value, if any, on available-for-sale securities are included in other income, net in the statements of operations and comprehensive loss.</w:t>
      </w:r>
    </w:p>
    <w:p>
      <w:pPr>
        <w:spacing w:after="0" w:line="16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to prepaid expenses and other current assets. There have been no uncollectible accrued interest write-offs in the years ended December 31, 2024 or 2023.</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2024 and 2023, the Company had investments of $67.3 million and $118.8 million, respectively.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02"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and investments. The Company’s cash is invested through financial institutions in the United States. The Company’s investments consist of debt securities, issued by highly rated corporate entities or the U.S. government, and asset-backed securities. The Company’s exposure to any individual corporate entity is limited by its investment policy. Deposits have and will continue to exceed federally insured limits. The Company invests its cash equivalents in highly rated money market funds. The Company has not experienced any credit losses in such accounts.</w:t>
      </w:r>
    </w:p>
    <w:p>
      <w:pPr>
        <w:spacing w:after="0" w:line="166"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Company is exposed to credit risk in the event of a default by the financial institutions holding its cash to the extent recorded on the balance sheets. In March 2023, one of the financial institutions utilized by the Company was closed by the California Department of Financial Protection and Innovation, which appointed the Federal Deposit Insurance Corporation as receiver. Through December 31, 2024, the Company has no off-balance sheet concentrations of credit risk.</w:t>
      </w: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w:t>
      </w:r>
    </w:p>
    <w:p>
      <w:pPr>
        <w:spacing w:after="0" w:line="10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September 2022, the Company received a cost-reimbursement contract award under which the Company is eligible to receive up to $17.8 million from the U.S. National Institute of Allergy and Infectious Diseases (“NIAID”) to support preclinical, Phase 1 studies and other activities to enable advancement of epetraborole into late-stage development for acute systemic melioidosis and other biothreat pathogens. This project will be funded in whole or in part with Federal funds from the NIAID, National Institutes of Health, Department of Health and Human Services, and Department of Defense Contract No. 75N93022C00059. Accounting for this contract does not fall under ASC 606, Revenue from Contracts with Customers, as NIAID will not benefit directly from the advancement of epetraborole. As there is no authoritative guidance under U.S. GAAP on accounting for government assistance to for-profit business entities, the Company applied International Accounting Standards (IAS) 20, Accounting for Government Grants and Disclosure of Government Assistance, by analogy when accounting for the NIAID contract payments to the Company. Under IAS 20, government contract proceeds are recognized when there is reasonable assurance the conditions of the contract will be met and the contract funding will be received. For the NIAID contract, this occurs after the qualifying expenses related to the contract have been incurred, or the Company concludes the conditions of the contract have been substantially met. The income related to the reimbursement of operating expenses is then recorded as a reduction of those expenses (see Note 4 - Funding Arrangements).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Agreements</w:t>
      </w:r>
    </w:p>
    <w:p>
      <w:pPr>
        <w:spacing w:after="0" w:line="10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September 2022, the Company entered into a subcontract agreement with the University of Georgia Research Foundation (“UGARF”) to receive up to $1.4 million from the UGARF to support preclinical development of a boron-containing small molecule for Chagas disease.</w:t>
      </w:r>
    </w:p>
    <w:p>
      <w:pPr>
        <w:spacing w:after="0" w:line="169"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In September 2023, the Company entered into a grant agreement with the Bill and Melinda Gates Foundation (“BMGF”) to fund up to $1.8 million to generate new boron-based lead compounds with the potential to be developed into drugs that treat tuberculosis (“TB”) and malaria.</w:t>
      </w:r>
    </w:p>
    <w:p>
      <w:pPr>
        <w:spacing w:after="0" w:line="61"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In July 2024, the Company entered into an amendment to the 2022 subcontract agreement with the UGARF for additional funding in the amount of $0.2 million.</w:t>
      </w:r>
    </w:p>
    <w:p>
      <w:pPr>
        <w:spacing w:after="0" w:line="154"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In September 2024, the Company entered into a second-year continuation grant agreement with BMGF to fund up to $2.0 million to support an early-stage research program focused on delivering novel leads as starting points for new drugs that can be combined to deliver shorter, safer and simpler TB drug regimens.</w:t>
      </w:r>
    </w:p>
    <w:p>
      <w:pPr>
        <w:spacing w:after="0" w:line="16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recognizes grant proceeds in accordance with ASC 958-605, Not-for-Profit Entities - Revenue Recognition, when qualifying costs are incurred and the conditions of the grant agreement have been met. When receipt of grant proceeds is reasonably assured, the Company records a reduction to the research and development expenses incurred and a corresponding grant receivable. Cash received from grants in advance of incurring qualifying costs is recorded as a liability and recognized as a reduction to the qualifying research and development expenses incurred (see Note 4 - Funding Arrangements).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2"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Comprehensive loss includes net loss and certain changes in stockholders’ equity that are excluded from net loss. The Company’s other comprehensive loss consists of net changes in unrealized gains and losses on its available-for-sale investments. For the years ended December 31, 2024 and 2023, the Company had $0.2 million of net unrealized loss and $0.6 million of net unrealized gain on available-for-sale investments, respectively.</w:t>
      </w: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stock options, unvested RSUs, common stock subject to repurchase related to unvested early exercise of stock options, and shares committed under ESPP are considered to be potentially dilutive securities. Basic and diluted net loss attributable to common stockholders per share is presented in conformity with the two-class method required for participating securities. The Company also considers the shares issued upon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 because the impact of potentially dilutive securities would be anti-dilutive.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0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Restructuring charges consist primarily of employee severance payments and other employee termination-related expenses. The Company records restructuring charges based on whether the termination benefits are provided under an on-going benefit arrangement or under a one-time benefit arrangement. The Company accounts for on-going benefit arrangements, such as those documented by employment agreements or a pre-existing severance policy, in accordance with ASC 712, Nonretirement Postemployment Benefits. Under ASC 712, liabilities for postemployment benefits are recorded at the time the obligations are probable of being incurred and can be reasonably estimated. The Company accounts for one-time employment benefit arrangements in accordance with ASC 420, Exit or Disposal Cost Obligations.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02"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The Company may take advantage of these provisions for up to five years (which is through March 2027), unless the Company ceases to be an emerging growth company at an earlier date. As a result, these financial statements may not be comparable to companies that comply with new or revised accounting pronouncements as of public company effective dates.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(“ASU 2023-07”). The amendments in ASU 2023-07 are intended to improve reportable segment disclosure, primarily through enhanced disclosures about significant segment expenses. ASU 2023-07 is effective for annual periods beginning after December 15, 2023, and interim periods beginning after December 15, 2024. The amendments in this ASU should be applied retrospectively to all prior periods presented in the financial statements. Early adoption is permitted. The Company adopted ASU 2023-07 on January 1, 2024, retrospectively. Newly required disclosures have been included in Note 13 - Segment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2"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noted, the Company believes that the impact of recently issued standards that are not yet effective will not have a material impact on its financial statements and disclosures. As an "emerging growth" company, it has been the Company's intention to take advantage of certain temporary exemptions from various reporting requirements, as well as taking advantage of additional transitional relief.</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financial statements and related disclosures.</w:t>
      </w:r>
    </w:p>
    <w:p>
      <w:pPr>
        <w:spacing w:after="0" w:line="17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(Subtopic 220-40): Disaggregation of Income Statement Expenses </w:t>
      </w:r>
      <w:r>
        <w:rPr>
          <w:rFonts w:ascii="Arial" w:cs="Arial" w:eastAsia="Arial" w:hAnsi="Arial"/>
          <w:sz w:val="18"/>
          <w:szCs w:val="18"/>
          <w:color w:val="auto"/>
        </w:rPr>
        <w:t>(“ASU 2024-03”) and in January 2025, the FASB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 2025-01, </w:t>
      </w:r>
      <w:r>
        <w:rPr>
          <w:rFonts w:ascii="Arial" w:cs="Arial" w:eastAsia="Arial" w:hAnsi="Arial"/>
          <w:sz w:val="18"/>
          <w:szCs w:val="18"/>
          <w:i w:val="1"/>
          <w:iCs w:val="1"/>
          <w:color w:val="auto"/>
        </w:rPr>
        <w:t>Income Statement—Reporting Comprehensive Income—Expense Disaggregation Disclosures (Subtopic 220-40): 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 Date</w:t>
      </w:r>
      <w:r>
        <w:rPr>
          <w:rFonts w:ascii="Arial" w:cs="Arial" w:eastAsia="Arial" w:hAnsi="Arial"/>
          <w:sz w:val="18"/>
          <w:szCs w:val="18"/>
          <w:color w:val="auto"/>
        </w:rPr>
        <w:t>, which clarified the effective date of ASU 2024-03. ASU 2024-03 will require the Company to disclose the amounts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inventory, employee compensation, depreciation and intangible asset amortization, as applicable, included in certain expense captions in the Statements of Operations, as well as qualitatively describe remaining amounts included in those captions. ASU 2024-03 will also require the Company to disclose both the amount and the Company’s definition of selling expenses. ASU 2024-03 is effective for annual periods beginning after December 15, 2026 and may be adopted on a prospective or retrospective basis. Early adoption is permitted. The Company is evaluating the impact of this standard on its financial statements and related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0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Company adopted ASU 2016-13 beginning January 1, 2023. The Company records certain financial assets and liabilities at fair value.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Level 1: Inputs which include quoted prices in active markets for identical assets and liabilities.</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52"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Level 2: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2"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54"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Company’s primary financial instruments include cash, cash equivalents and investments, prepaid expenses, accounts payable, and accrued liabilities. The carrying amounts of the Company’s financial instruments, other than cash equivalents and investments, approximate fair value due to their relatively short maturities.</w:t>
      </w:r>
    </w:p>
    <w:p>
      <w:pPr>
        <w:spacing w:after="0" w:line="169"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The following table presents the Company’s financial assets, which consist of cash equivalents and investments classified as available-for-sale investments, that are measured at fair value on a recurring basis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134"/>
              <w:spacing w:after="0" w:line="147" w:lineRule="exact"/>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20" w:type="dxa"/>
            <w:vAlign w:val="bottom"/>
          </w:tcPr>
          <w:p>
            <w:pPr>
              <w:jc w:val="right"/>
              <w:ind w:right="194"/>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1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120" w:type="dxa"/>
            <w:vAlign w:val="bottom"/>
          </w:tcPr>
          <w:p>
            <w:pPr>
              <w:ind w:left="380"/>
              <w:spacing w:after="0"/>
              <w:rPr>
                <w:sz w:val="20"/>
                <w:szCs w:val="20"/>
                <w:color w:val="auto"/>
              </w:rPr>
            </w:pPr>
            <w:r>
              <w:rPr>
                <w:rFonts w:ascii="Arial" w:cs="Arial" w:eastAsia="Arial" w:hAnsi="Arial"/>
                <w:sz w:val="14"/>
                <w:szCs w:val="14"/>
                <w:b w:val="1"/>
                <w:bCs w:val="1"/>
                <w:color w:val="auto"/>
              </w:rPr>
              <w:t>Level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294"/>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020" w:type="dxa"/>
            <w:vAlign w:val="bottom"/>
          </w:tcPr>
          <w:p>
            <w:pPr>
              <w:jc w:val="right"/>
              <w:ind w:right="374"/>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Money market funds</w:t>
            </w:r>
          </w:p>
        </w:tc>
        <w:tc>
          <w:tcPr>
            <w:tcW w:w="1120" w:type="dxa"/>
            <w:vAlign w:val="bottom"/>
          </w:tcPr>
          <w:p>
            <w:pPr>
              <w:ind w:left="260"/>
              <w:spacing w:after="0" w:line="202" w:lineRule="exact"/>
              <w:rPr>
                <w:sz w:val="20"/>
                <w:szCs w:val="20"/>
                <w:color w:val="auto"/>
              </w:rPr>
            </w:pPr>
            <w:r>
              <w:rPr>
                <w:rFonts w:ascii="Arial" w:cs="Arial" w:eastAsia="Arial" w:hAnsi="Arial"/>
                <w:sz w:val="18"/>
                <w:szCs w:val="18"/>
                <w:color w:val="auto"/>
              </w:rPr>
              <w:t>Level 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10,127</w:t>
            </w: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10,127</w:t>
            </w: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U.S. Treasury securities</w:t>
            </w:r>
          </w:p>
        </w:tc>
        <w:tc>
          <w:tcPr>
            <w:tcW w:w="1120" w:type="dxa"/>
            <w:vAlign w:val="bottom"/>
          </w:tcPr>
          <w:p>
            <w:pPr>
              <w:ind w:left="260"/>
              <w:spacing w:after="0" w:line="202" w:lineRule="exact"/>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25,906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25,930</w:t>
            </w: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11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Level 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30,842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30,839</w:t>
            </w:r>
          </w:p>
        </w:tc>
        <w:tc>
          <w:tcPr>
            <w:tcW w:w="0" w:type="dxa"/>
            <w:vAlign w:val="bottom"/>
          </w:tcPr>
          <w:p>
            <w:pPr>
              <w:spacing w:after="0"/>
              <w:rPr>
                <w:sz w:val="1"/>
                <w:szCs w:val="1"/>
                <w:color w:val="auto"/>
              </w:rPr>
            </w:pPr>
          </w:p>
        </w:tc>
      </w:tr>
      <w:tr>
        <w:trPr>
          <w:trHeight w:val="203"/>
        </w:trPr>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U.S. Government agency securities</w:t>
            </w:r>
          </w:p>
        </w:tc>
        <w:tc>
          <w:tcPr>
            <w:tcW w:w="1120" w:type="dxa"/>
            <w:vAlign w:val="bottom"/>
          </w:tcPr>
          <w:p>
            <w:pPr>
              <w:ind w:left="260"/>
              <w:spacing w:after="0" w:line="202" w:lineRule="exact"/>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Corporate debt securities</w:t>
            </w:r>
          </w:p>
        </w:tc>
        <w:tc>
          <w:tcPr>
            <w:tcW w:w="11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Level 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U.S. Treasury securities</w:t>
            </w:r>
          </w:p>
        </w:tc>
        <w:tc>
          <w:tcPr>
            <w:tcW w:w="11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Level 1</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5,019</w:t>
            </w: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196"/>
        </w:trPr>
        <w:tc>
          <w:tcPr>
            <w:tcW w:w="516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77,384</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(14 )</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77,415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vMerge w:val="restart"/>
          </w:tcPr>
          <w:p>
            <w:pPr>
              <w:ind w:left="280"/>
              <w:spacing w:after="0"/>
              <w:rPr>
                <w:sz w:val="20"/>
                <w:szCs w:val="20"/>
                <w:color w:val="auto"/>
              </w:rPr>
            </w:pPr>
            <w:r>
              <w:rPr>
                <w:rFonts w:ascii="Arial" w:cs="Arial" w:eastAsia="Arial" w:hAnsi="Arial"/>
                <w:sz w:val="18"/>
                <w:szCs w:val="18"/>
                <w:color w:val="auto"/>
              </w:rPr>
              <w:t>F-13</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1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20" w:type="dxa"/>
            <w:vAlign w:val="bottom"/>
          </w:tcPr>
          <w:p>
            <w:pPr>
              <w:jc w:val="right"/>
              <w:ind w:right="193"/>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1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Estimated Fair</w:t>
            </w:r>
          </w:p>
        </w:tc>
      </w:tr>
      <w:tr>
        <w:trPr>
          <w:trHeight w:val="171"/>
        </w:trPr>
        <w:tc>
          <w:tcPr>
            <w:tcW w:w="5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Value</w:t>
            </w: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r>
      <w:tr>
        <w:trPr>
          <w:trHeight w:val="203"/>
        </w:trPr>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Money market funds</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4,478</w:t>
            </w: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4,478</w:t>
            </w: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03"/>
        </w:trPr>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U.S. Treasury securities</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15,649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15,680</w:t>
            </w:r>
          </w:p>
        </w:tc>
      </w:tr>
      <w:tr>
        <w:trPr>
          <w:trHeight w:val="203"/>
        </w:trPr>
        <w:tc>
          <w:tcPr>
            <w:tcW w:w="51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U.S. Treasury securities</w:t>
            </w:r>
          </w:p>
        </w:tc>
        <w:tc>
          <w:tcPr>
            <w:tcW w:w="1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1,247</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1,246</w:t>
            </w:r>
          </w:p>
        </w:tc>
      </w:tr>
      <w:tr>
        <w:trPr>
          <w:trHeight w:val="203"/>
        </w:trPr>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41,472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41,517</w:t>
            </w:r>
          </w:p>
        </w:tc>
      </w:tr>
      <w:tr>
        <w:trPr>
          <w:trHeight w:val="203"/>
        </w:trPr>
        <w:tc>
          <w:tcPr>
            <w:tcW w:w="51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U.S. Government agency securities</w:t>
            </w:r>
          </w:p>
        </w:tc>
        <w:tc>
          <w:tcPr>
            <w:tcW w:w="1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19,479</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19,504</w:t>
            </w:r>
          </w:p>
        </w:tc>
      </w:tr>
      <w:tr>
        <w:trPr>
          <w:trHeight w:val="203"/>
        </w:trPr>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Asset-backed securities</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8,770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8,779</w:t>
            </w:r>
          </w:p>
        </w:tc>
      </w:tr>
      <w:tr>
        <w:trPr>
          <w:trHeight w:val="203"/>
        </w:trPr>
        <w:tc>
          <w:tcPr>
            <w:tcW w:w="51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Corporate debt securities</w:t>
            </w:r>
          </w:p>
        </w:tc>
        <w:tc>
          <w:tcPr>
            <w:tcW w:w="1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4,914</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4,922</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1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U.S. Treasury securities</w:t>
            </w:r>
          </w:p>
        </w:tc>
        <w:tc>
          <w:tcPr>
            <w:tcW w:w="1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23,542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23,673</w:t>
            </w:r>
          </w:p>
        </w:tc>
      </w:tr>
      <w:tr>
        <w:trPr>
          <w:trHeight w:val="203"/>
        </w:trPr>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U.S. Government agency securities</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3,494</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3,521</w:t>
            </w:r>
          </w:p>
        </w:tc>
      </w:tr>
      <w:tr>
        <w:trPr>
          <w:trHeight w:val="236"/>
        </w:trPr>
        <w:tc>
          <w:tcPr>
            <w:tcW w:w="51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123,045</w:t>
            </w:r>
          </w:p>
        </w:tc>
        <w:tc>
          <w:tcPr>
            <w:tcW w:w="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287</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(12 )</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123,320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15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 classifies its investments in commercial paper, corporate debt securities, U.S. government agency securities, U.S. Treasury securities and asset-backed securities as Level 2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year ended December 31, 2024.</w:t>
      </w:r>
    </w:p>
    <w:p>
      <w:pPr>
        <w:spacing w:after="0" w:line="185"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As of December 31, 2024, none of the Company’s available-for-sale investments that were in an unrealized loss position had been in an unrealized loss position for more than 12 months. During the years ended December 31, 2024 and 2023, the Company did not sell any available-for-sale investments.</w:t>
      </w:r>
    </w:p>
    <w:p>
      <w:pPr>
        <w:spacing w:after="0" w:line="169"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Company’s short-term investments had maturities of less than one year from the balance sheet date. The Company’s long-term investments had maturities of between one and two years from the balance sheet date.</w:t>
      </w:r>
    </w:p>
    <w:p>
      <w:pPr>
        <w:spacing w:after="0" w:line="15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Company does not intend to sell the securities in an unrealized loss position and does not expect they will be required to sell the securities before recovery of the unamortized cost basis. Additionally, the Company evaluated its securities for credit losses and considered the decline in market value to be primarily attributable to current economic and market conditions and not credit related. Accordingly, no allowance for credit losses has been recognized as of December 31, 2024 and 2023. During the years ended December 31, 2024 and 2023, the Company did not recognize any impairment losses related to investments.</w:t>
      </w:r>
    </w:p>
    <w:p>
      <w:pPr>
        <w:spacing w:after="0" w:line="176"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As of December 31, 2024 and 2023, the Company had accrued interest receivable of $0.3 million and $0.4 million, respectively, which was included in prepaid expenses and other current assets on the balance sheets.</w:t>
      </w: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Funding Arrangements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September 2022, the Company received a cost-reimbursement contract award from the NIAID to support preclinical, Phase 1 studies and other activities to enable the advancement of epetraborole into late-stage development for acute systemic melioidosis and other biothreat pathogens. The Company is eligible to receive up to $17.8 million in funding over a total term of 48 months, consisting of a base period and seven option periods. In July 2023 and May 2024, the NIAID exercised two of seven available options under the NIAID contract (No: 75N93022C00059), resulting in an increase in committed contract funding of $0.7 million and $3.8 million, respectively, for a cumulative total of $8.8 million. Funding for these options extends the estimated completion of the current contract by 29 months beyond the base period of 18 months to August 2026. As of December 31, 2024, a total of $8.8 million of funding for the 18-month base period plus an additional 29 months for a total of 47 months has been committed.</w:t>
      </w:r>
    </w:p>
    <w:p>
      <w:pPr>
        <w:spacing w:after="0" w:line="180"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As of December 31, 2024 and 2023, the Company had recorded a receivable of zero and $0.4 million, respectively, which was included in prepaid expenses and other current assets on the balance sheets. During the years ended December 31, 2024 and 2023, the Company recorded $1.8 million and $0.9 million of income under the NIAID contract as a reduction in research and development operating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UGARF Grant</w:t>
      </w:r>
    </w:p>
    <w:p>
      <w:pPr>
        <w:spacing w:after="0" w:line="1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September 2022, the Company entered into a subcontract agreement with the UGARF to conduct preclinical activities on behalf of UGARF (“UGARF Agreement”). The UGARF reimburses the Company under an award from Wellcome. The Company received $1.4 million from the UGARF to support preclinical development of a boron-containing small molecule for Chagas disease. In July 2024, the Company signed an amendment to the UGARF Agreement for additional funding in the amount of $0.2 million. As of December 31, 2024 and 2023, the Company had recorded a grant receivable of zero and $0.6 million, respectively, which was included in prepaid expenses and other current assets on the balance sheets. During the years ended December 31, 2024 and 2023, the Company recorded income of $0.2 million and $1.3 million, respectively, as a reduction in research and development operating expenses under the UGARF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BMGF Grant</w:t>
      </w:r>
    </w:p>
    <w:p>
      <w:pPr>
        <w:spacing w:after="0" w:line="102"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In September 2023, the Company received a cost-reimbursement contract award from the Bill and Melinda Gates Foundation (“2023 BMGF Agreement”) under which the Company was awarded $1.8 million to support the discovery of novel, boron containing small molecules for the treatment of tuberculosis and malaria. The Company is required to apply the funds it receives under the 2023 BMGF Agreement solely toward direct costs related to this research program. The Company received $1.0 million of funding in advance and tracks and reports eligible expenses incurred to the BMGF. In April 2024, the Company received $0.8 million in funding, making the grant fully funded.</w:t>
      </w:r>
    </w:p>
    <w:p>
      <w:pPr>
        <w:spacing w:after="0" w:line="152"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In September 2024, the Company entered into a second-year continuation cost-reimbursement contract award with the Bill and Melinda Gates Foundation (“2024 BMGF Agreement”) under which the Company was awarded $2.0 million to support an early-stage research program focused on delivering novel leads as starting points for new drugs that can be combined to deliver shorter, safer and simpler TB drug regimens. The Company is required to apply the funds it receives under the 2024 BMGF Agreement solely toward direct costs related to this research program. The Company received $1.1 million of funding in advance and tracks and reports eligible expenses incurred to the BMGF. Any unspent funds and any funds spent that have not yet been incurred are recorded as part of other current liabilities on the balance sheets.</w:t>
      </w:r>
    </w:p>
    <w:p>
      <w:pPr>
        <w:spacing w:after="0" w:line="185"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As of December 31, 2024 and 2023, the Company recorded $0.8 million and $0.7 million, respectively, to other current liabilities on the balance sheets. During the years ended December 31, 2024 and 2023, the Company recorded income of $1.7 million and $0.3 million, respectively, as a reduction in research and development operating expenses under the 2024 and 2023 BMGF Agreements.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Collaboration and License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Anacor Licensing Agreement</w:t>
      </w:r>
    </w:p>
    <w:p>
      <w:pPr>
        <w:spacing w:after="0" w:line="1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November 2019, the Company entered into an exclusive worldwide license agreement with Anacor Pharmaceuticals, Inc. (“Anacor”) for certain compounds and other intellectual property controlled by Anacor for the treatment, diagnosis, or prevention of all human diseases (the “Anacor License”). The Anacor License will expire upon expiration of the last to expire royalty term. Either party may terminate the Anacor License for the other party’s material breach following a cure period or immediately upon certain insolvency events relating to the other party. The Company has the right to terminate the agreement at its convenience upon 90-day written notice until the first regulatory approval or one-year notice thereafter. Furthermore, upon termination of the Anacor License for any of the foregoing reasons, the rights and licenses within will terminate.</w:t>
      </w:r>
    </w:p>
    <w:p>
      <w:pPr>
        <w:spacing w:after="0" w:line="185"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In exchange for the worldwide, sublicensable, exclusive right and licenses to develop, manufacture, and commercialize the specified compounds, the Company paid Anacor a non-refundable $2.0 million upfront payment and granted Anacor shares of Series A redeemable convertible preferred stock.</w:t>
      </w:r>
    </w:p>
    <w:p>
      <w:pPr>
        <w:spacing w:after="0" w:line="16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 agreed to make further payments to Anacor upon achievement of various development milestones for an aggregate maximum of $2.0 million, upon achievement of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The Company also agreed to pay Anacor non-refundable, non-creditable sales royalties on a tiered marginal royalty rate based on the country’s status as a developing or developed country as defined in the license agreement. Sales royalties are a percentage of net sales, as specified in the Anacor License, and range from mid-single digits for developing countries (as classified by the World Bank) and single to mid-teens for all other countries or the China, Hong Kong, Taiwan, and Macau territories, upon reaching a minimum of net sales in the low-teen millions. The sales royalties are required to be paid on a product-by-product and country-by-country basis, until the latest to occur of 15 years following the date of first commercial sale of a product, the expiration of all regulatory or data exclusivity, or the date upon of the expiration of the last to expire valid claim of a licensed patent covering such product in such country. Currently, the date of the expiration of the last to expire valid claim of a licensed patent covering epetraborole in the licensed territory is June 2028. In addition, Anacor is entitled to certain milestone payments upon a change of control of the Company.</w:t>
      </w:r>
    </w:p>
    <w:p>
      <w:pPr>
        <w:spacing w:after="0" w:line="183"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In December 2021, the Company entered into an amendment to the Anacor License for certain compounds and other intellectual property controlled by Anacor for the treatment, diagnosis, or prevention of certain bacterial pathogens (the “Anacor License Amendment”). The Anacor License Amendment has no impact on the Anacor License financial terms.</w:t>
      </w:r>
    </w:p>
    <w:p>
      <w:pPr>
        <w:spacing w:after="0" w:line="16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None of the development, regulatory, commercial or sales milestones or royalty payments were recognized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Brii Biosciences Agreement</w:t>
      </w:r>
    </w:p>
    <w:p>
      <w:pPr>
        <w:spacing w:after="0" w:line="102"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In November 2019, the Company entered into a license agreement granting Brii Biosciences Limited the exclusive development and commercialization rights of certain compounds in China, Hong Kong, Taiwan, and Macau for the treatment of human diseases. The Company did not receive an upfront payment but is eligible to receive up to $15.0 million in the aggregate for development and regulatory milestones and up to $150.0 million in commercial milestones upon achieving sales thresholds. The Company is also entitled to tiered mid-single digits to high-first decile percentage sales-based royalties. The sales royalties are required to be paid on a product-by-product and region-by-region basis, until the latest to occur of 15 years following the date of first commercial sale of a product, the expiration of all regulatory or data exclusivity, or the date upon the expiration of the last to expire claim of a licensed patent covering the composition of matter or approved use of such product in such region. The last to expire valid claim of a licensed patent covering the composition of matter or approved use of such product in the licensed territory is June 2028. Future milestone payments and royalties will be accounted for under ASC 606.</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Balance Sheet Components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r>
      <w:tr>
        <w:trPr>
          <w:trHeight w:val="196"/>
        </w:trPr>
        <w:tc>
          <w:tcPr>
            <w:tcW w:w="6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clinical trial-related expenses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2,377</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4,809</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development-related expenses</w:t>
            </w:r>
          </w:p>
        </w:tc>
        <w:tc>
          <w:tcPr>
            <w:tcW w:w="180" w:type="dxa"/>
            <w:vAlign w:val="bottom"/>
          </w:tcPr>
          <w:p>
            <w:pPr>
              <w:spacing w:after="0"/>
              <w:rPr>
                <w:sz w:val="17"/>
                <w:szCs w:val="17"/>
                <w:color w:val="auto"/>
              </w:rPr>
            </w:pPr>
          </w:p>
        </w:tc>
        <w:tc>
          <w:tcPr>
            <w:tcW w:w="13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1,974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1,746</w:t>
            </w:r>
          </w:p>
        </w:tc>
      </w:tr>
      <w:tr>
        <w:trPr>
          <w:trHeight w:val="203"/>
        </w:trPr>
        <w:tc>
          <w:tcPr>
            <w:tcW w:w="6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services expenses</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24</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51</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102</w:t>
            </w:r>
          </w:p>
        </w:tc>
      </w:tr>
      <w:tr>
        <w:trPr>
          <w:trHeight w:val="236"/>
        </w:trPr>
        <w:tc>
          <w:tcPr>
            <w:tcW w:w="68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4,454</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6,681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02" w:lineRule="exact"/>
        <w:rPr>
          <w:sz w:val="20"/>
          <w:szCs w:val="20"/>
          <w:color w:val="auto"/>
        </w:rPr>
      </w:pPr>
    </w:p>
    <w:p>
      <w:pPr>
        <w:jc w:val="both"/>
        <w:ind w:right="120" w:firstLine="509"/>
        <w:spacing w:after="0" w:line="24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The Company was not subject to any material legal proceedings as of December 31, 2024 and 2023, and the Company is not currently a party to any legal proceeding that, if determined adversely to the Company, in management’s opinion, is currently expected to individually or in the aggregate have a material adverse effect on the Company’s business, financial condition or results of operations taken as a whole.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0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 as permitted under Delaware law and in accordance with its certification of incorporation, as amended, and bylaws, and pursuant to indemnification agreements with certain of its officers and directors, indemnifies its officers and directors for certain events or occurrences, subject to certain limits, which the officer or director is or was serving at the Company’s request in such capacity. The term of the indemnification period lasts as long as an officer or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limits the Company’s exposure and may enable it to recover a portion of any future amounts paid. The Company believes that the fair value of these indemnification obligations is minimal. Accordingly, the Company has not recognized any liabilities relating to these obligations for any period presented.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Adjuvant Global Health Agreement</w:t>
      </w:r>
    </w:p>
    <w:p>
      <w:pPr>
        <w:spacing w:after="0" w:line="102"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In conjunction with Adjuvant Global Health Technology Fund L.P.’s (“Adjuvant”) investment in the Company in 2019 and 2020, the Company entered into a Global Health Agreement with Adjuvant, pursuant to which the Company agreed to support the creation of innovative and affordable drugs to treat disease, through public health programs and private purchasers in Low and Lower-Middle-Income Countries (as such terms are defined by the World Bank and in the agreement).</w:t>
      </w:r>
    </w:p>
    <w:p>
      <w:pPr>
        <w:spacing w:after="0" w:line="174"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Adjuvant’s investment supports the development of the Company’s product candidate, epetraborole, for use in melioidosis-endemic and melioidosis-at-risk countries and in tuberculosis-endemic and tuberculosis-at-risk countries, as defined in the agreement as amended and restated. These global access commitments will remain in effect until the latter of either that Adjuvant ceases to be a shareholder of the Company, or ten years following epetraborole approval for the treatment of melioidosis by a regulatory authority.</w:t>
      </w:r>
    </w:p>
    <w:p>
      <w:pPr>
        <w:spacing w:after="0" w:line="17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Global Health Agreement contains various affirmative and negative covenants agreed to by the Company, including its use of reasonably diligent endeavors to develop the agreed-upon products using non-dilutive funding and make accessible to people in need in the target countries so long as the Company does not sell products at a loss. Other covenants include prohibition of use of investment for propaganda, attempt to influence legislation, influence of any public election or voter registration drive or promotion of terrorist activities, as well as compliance with certain environmental, social and governance requirements and anti-corruption requirements.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2"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The Company’s certificate of incorporation, as amended, authorizes the Company to issue up to 500,000,000 shares of $0.00001 par value common stock. Holders of common stock are entitled to one vote per share on all matters to be voted upon by the stockholders of the Company.</w:t>
      </w:r>
    </w:p>
    <w:p>
      <w:pPr>
        <w:spacing w:after="0" w:line="169"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Subject to the preferences that may be applicable to any outstanding shares of preferred stock, the holders of common stock are entitled to receive ratably such dividends, if any, as may be declared by the Board. No dividends have been declared to date.</w:t>
      </w:r>
    </w:p>
    <w:p>
      <w:pPr>
        <w:spacing w:after="0" w:line="154"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In April 2023, the Company entered into a Sales Agreement with Cowen and Company, LLC as the Company’s Agent, to issue and sell up to an aggregate gross sales of $100.0 million in Shares of the Company’s common stock through the ATM Offering. During the year ended December 31, 2023, the Company issued and sold 2,502,000 shares of common stock under the ATM Offering, resulting in net proceeds of $19.1 million, after deducting commissions and other offering costs. The Company did not sell any shares of common stock through the ATM Offering during the year ended December 31, 2024.</w:t>
      </w:r>
    </w:p>
    <w:p>
      <w:pPr>
        <w:spacing w:after="0" w:line="176"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 August 2023, the Company entered into an Underwriting Agreement with Cowen and Company, LLC, Leerink Partners LLC and Evercore Group L.L.C. as representatives of several underwriters to issue and sell 7,777,778 shares of common stock at an offering price of $9.00 per share through the Underwritten Offering, resulting in net proceeds of $65.5 million, after deducting commissions and other offering costs.</w:t>
      </w:r>
    </w:p>
    <w:p>
      <w:pPr>
        <w:spacing w:after="0" w:line="17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Shares of common stock reserved for future issuance, on an as-if-converted basis, as of December 31, 2024 and 2023, consists of the following:</w:t>
      </w:r>
    </w:p>
    <w:p>
      <w:pPr>
        <w:sectPr>
          <w:pgSz w:w="11900" w:h="16838" w:orient="portrait"/>
          <w:cols w:equalWidth="0" w:num="1">
            <w:col w:w="11200"/>
          </w:cols>
          <w:pgMar w:left="320" w:top="985" w:right="37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140" w:right="540"/>
        <w:spacing w:after="0" w:line="245" w:lineRule="auto"/>
        <w:rPr>
          <w:sz w:val="20"/>
          <w:szCs w:val="20"/>
          <w:color w:val="auto"/>
        </w:rPr>
      </w:pPr>
      <w:r>
        <w:rPr>
          <w:rFonts w:ascii="Arial" w:cs="Arial" w:eastAsia="Arial" w:hAnsi="Arial"/>
          <w:sz w:val="18"/>
          <w:szCs w:val="18"/>
          <w:color w:val="auto"/>
        </w:rPr>
        <w:t>Stock options, issued and outstanding Unvested restricted stock units</w:t>
      </w:r>
    </w:p>
    <w:p>
      <w:pPr>
        <w:ind w:left="1140" w:right="20"/>
        <w:spacing w:after="0" w:line="255" w:lineRule="auto"/>
        <w:rPr>
          <w:sz w:val="20"/>
          <w:szCs w:val="20"/>
          <w:color w:val="auto"/>
        </w:rPr>
      </w:pPr>
      <w:r>
        <w:rPr>
          <w:rFonts w:ascii="Arial" w:cs="Arial" w:eastAsia="Arial" w:hAnsi="Arial"/>
          <w:sz w:val="18"/>
          <w:szCs w:val="18"/>
          <w:color w:val="auto"/>
        </w:rPr>
        <w:t>Stock options, authorized for future issuance ESPP, authorized for future issuance</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1520" w:type="dxa"/>
        <w:tblCellMar>
          <w:top w:w="0" w:type="dxa"/>
          <w:left w:w="0" w:type="dxa"/>
          <w:bottom w:w="0" w:type="dxa"/>
          <w:right w:w="0" w:type="dxa"/>
        </w:tblCellMar>
      </w:tblPr>
      <w:tr>
        <w:trPr>
          <w:trHeight w:val="162"/>
        </w:trPr>
        <w:tc>
          <w:tcPr>
            <w:tcW w:w="152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4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520" w:type="dxa"/>
            <w:vAlign w:val="bottom"/>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1640" w:type="dxa"/>
            <w:vAlign w:val="bottom"/>
            <w:gridSpan w:val="2"/>
          </w:tcPr>
          <w:p>
            <w:pPr>
              <w:jc w:val="right"/>
              <w:ind w:right="575"/>
              <w:spacing w:after="0"/>
              <w:rPr>
                <w:sz w:val="20"/>
                <w:szCs w:val="20"/>
                <w:color w:val="auto"/>
              </w:rPr>
            </w:pPr>
            <w:r>
              <w:rPr>
                <w:rFonts w:ascii="Arial" w:cs="Arial" w:eastAsia="Arial" w:hAnsi="Arial"/>
                <w:sz w:val="14"/>
                <w:szCs w:val="14"/>
                <w:b w:val="1"/>
                <w:bCs w:val="1"/>
                <w:color w:val="auto"/>
              </w:rPr>
              <w:t>2023</w:t>
            </w:r>
          </w:p>
        </w:tc>
      </w:tr>
      <w:tr>
        <w:trPr>
          <w:trHeight w:val="177"/>
        </w:trPr>
        <w:tc>
          <w:tcPr>
            <w:tcW w:w="1520" w:type="dxa"/>
            <w:vAlign w:val="bottom"/>
            <w:tcBorders>
              <w:top w:val="single" w:sz="8" w:color="auto"/>
            </w:tcBorders>
          </w:tcPr>
          <w:p>
            <w:pPr>
              <w:jc w:val="right"/>
              <w:ind w:right="15"/>
              <w:spacing w:after="0" w:line="177" w:lineRule="exact"/>
              <w:rPr>
                <w:sz w:val="20"/>
                <w:szCs w:val="20"/>
                <w:color w:val="auto"/>
              </w:rPr>
            </w:pPr>
            <w:r>
              <w:rPr>
                <w:rFonts w:ascii="Arial" w:cs="Arial" w:eastAsia="Arial" w:hAnsi="Arial"/>
                <w:sz w:val="18"/>
                <w:szCs w:val="18"/>
                <w:color w:val="auto"/>
              </w:rPr>
              <w:t>4,890,843</w:t>
            </w:r>
          </w:p>
        </w:tc>
        <w:tc>
          <w:tcPr>
            <w:tcW w:w="100" w:type="dxa"/>
            <w:vAlign w:val="bottom"/>
          </w:tcPr>
          <w:p>
            <w:pPr>
              <w:spacing w:after="0"/>
              <w:rPr>
                <w:sz w:val="15"/>
                <w:szCs w:val="15"/>
                <w:color w:val="auto"/>
              </w:rPr>
            </w:pPr>
          </w:p>
        </w:tc>
        <w:tc>
          <w:tcPr>
            <w:tcW w:w="1540" w:type="dxa"/>
            <w:vAlign w:val="bottom"/>
            <w:tcBorders>
              <w:top w:val="single" w:sz="8" w:color="auto"/>
            </w:tcBorders>
          </w:tcPr>
          <w:p>
            <w:pPr>
              <w:jc w:val="right"/>
              <w:ind w:right="35"/>
              <w:spacing w:after="0" w:line="177" w:lineRule="exact"/>
              <w:rPr>
                <w:sz w:val="20"/>
                <w:szCs w:val="20"/>
                <w:color w:val="auto"/>
              </w:rPr>
            </w:pPr>
            <w:r>
              <w:rPr>
                <w:rFonts w:ascii="Arial" w:cs="Arial" w:eastAsia="Arial" w:hAnsi="Arial"/>
                <w:sz w:val="18"/>
                <w:szCs w:val="18"/>
                <w:color w:val="auto"/>
              </w:rPr>
              <w:t>3,930,306</w:t>
            </w:r>
          </w:p>
        </w:tc>
      </w:tr>
      <w:tr>
        <w:trPr>
          <w:trHeight w:val="202"/>
        </w:trPr>
        <w:tc>
          <w:tcPr>
            <w:tcW w:w="15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516,511</w:t>
            </w:r>
          </w:p>
        </w:tc>
        <w:tc>
          <w:tcPr>
            <w:tcW w:w="100" w:type="dxa"/>
            <w:vAlign w:val="bottom"/>
          </w:tcPr>
          <w:p>
            <w:pPr>
              <w:spacing w:after="0"/>
              <w:rPr>
                <w:sz w:val="17"/>
                <w:szCs w:val="17"/>
                <w:color w:val="auto"/>
              </w:rPr>
            </w:pPr>
          </w:p>
        </w:tc>
        <w:tc>
          <w:tcPr>
            <w:tcW w:w="15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r>
      <w:tr>
        <w:trPr>
          <w:trHeight w:val="203"/>
        </w:trPr>
        <w:tc>
          <w:tcPr>
            <w:tcW w:w="15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859,841</w:t>
            </w:r>
          </w:p>
        </w:tc>
        <w:tc>
          <w:tcPr>
            <w:tcW w:w="164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1,254,721</w:t>
            </w:r>
          </w:p>
        </w:tc>
      </w:tr>
      <w:tr>
        <w:trPr>
          <w:trHeight w:val="221"/>
        </w:trPr>
        <w:tc>
          <w:tcPr>
            <w:tcW w:w="1520" w:type="dxa"/>
            <w:vAlign w:val="bottom"/>
          </w:tcPr>
          <w:p>
            <w:pPr>
              <w:jc w:val="right"/>
              <w:ind w:right="15"/>
              <w:spacing w:after="0"/>
              <w:rPr>
                <w:sz w:val="20"/>
                <w:szCs w:val="20"/>
                <w:color w:val="auto"/>
              </w:rPr>
            </w:pPr>
            <w:r>
              <w:rPr>
                <w:rFonts w:ascii="Arial" w:cs="Arial" w:eastAsia="Arial" w:hAnsi="Arial"/>
                <w:sz w:val="18"/>
                <w:szCs w:val="18"/>
                <w:color w:val="auto"/>
              </w:rPr>
              <w:t>563,731</w:t>
            </w:r>
          </w:p>
        </w:tc>
        <w:tc>
          <w:tcPr>
            <w:tcW w:w="1640" w:type="dxa"/>
            <w:vAlign w:val="bottom"/>
            <w:gridSpan w:val="2"/>
          </w:tcPr>
          <w:p>
            <w:pPr>
              <w:jc w:val="right"/>
              <w:ind w:right="35"/>
              <w:spacing w:after="0"/>
              <w:rPr>
                <w:sz w:val="20"/>
                <w:szCs w:val="20"/>
                <w:color w:val="auto"/>
              </w:rPr>
            </w:pPr>
            <w:r>
              <w:rPr>
                <w:rFonts w:ascii="Arial" w:cs="Arial" w:eastAsia="Arial" w:hAnsi="Arial"/>
                <w:sz w:val="18"/>
                <w:szCs w:val="18"/>
                <w:color w:val="auto"/>
              </w:rPr>
              <w:t>337,017</w:t>
            </w:r>
          </w:p>
        </w:tc>
      </w:tr>
      <w:tr>
        <w:trPr>
          <w:trHeight w:val="196"/>
        </w:trPr>
        <w:tc>
          <w:tcPr>
            <w:tcW w:w="1520" w:type="dxa"/>
            <w:vAlign w:val="bottom"/>
            <w:tcBorders>
              <w:top w:val="single" w:sz="8" w:color="auto"/>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6,830,926</w:t>
            </w:r>
          </w:p>
        </w:tc>
        <w:tc>
          <w:tcPr>
            <w:tcW w:w="10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5,522,044</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-676910</wp:posOffset>
            </wp:positionV>
            <wp:extent cx="570039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-419100</wp:posOffset>
            </wp:positionV>
            <wp:extent cx="570039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-153670</wp:posOffset>
            </wp:positionV>
            <wp:extent cx="5700395"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20" w:space="720"/>
            <w:col w:w="5760"/>
          </w:cols>
          <w:pgMar w:left="320" w:top="985" w:right="379" w:bottom="1440" w:gutter="0" w:footer="0" w:header="0"/>
          <w:type w:val="continuous"/>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2"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The Company’s certificate of incorporation, as amended, authorizes the Company to issue up to 10,000,000 shares of $0.00001 par value preferred stock. The preferred stock is not convertible. No shares of preferred stock were issued and outstanding at December 31, 2024 and 2023.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0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August 2024, the Company entered into a Rights Agreement between the Company and Equiniti Trust Company, LLC as Rights Agent (as amended from time to time, the “Rights Agreement"), which was previously approved by the Board. In connection with the Rights Agreement, a dividend was declared of one preferred stock purchase right (individually, a “Right” and collectively, the “Rights”) for each share of the common stock, par value $0.00001 per share, of the Company outstanding at the close of business on August 29, 2024 (the “Record Date”). Each Right entitles the registered holder thereof, after the Rights become exercisable and until August 15, 2025 (or the earlier redemption, exchange or termination of the Rights), to purchase from the Company one one-thousandth of a share of Series A Junior Participating Preferred Stock, par value $0.00001 per share (the “Series A Preferred”), of the Company at a price of $6.50 per one one-thousandth of a share of Series A Preferred, subject to adjustment. The Rights are not exercisable until the Distribution Date (as defined in the Rights Agreement”) and the Rights will expire on August 15, 2025, subject to the Company’s right to extend such date, unless earlier redeemed or exchanged by the Company or terminated. Additional information regarding the Rights Agreement is contained in a Current Report on Form 8-K filed with the SEC. The adoption of the Shareholder Rights Plan had no impact on the financial position of the Company.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Incentive Plan and Stock-Based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Equity Incentive Plan</w:t>
      </w:r>
    </w:p>
    <w:p>
      <w:pPr>
        <w:spacing w:after="0" w:line="102"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The Company adopted the 2022 Equity Incentive Plan (the “2022 Plan”) effective upon the closing of the IPO, which provides for the granting of incentive stock options (“ISOs”) to the Company's employees, and for the grant of nonstatutory stock options (“NSOs”), stock appreciation rights, restricted stock awards, restricted stock unit awards, performance awards, and other forms of awards to employees, directors, and consultants. As of December 31, 2024, no stock appreciation rights or performance awards were issued.</w:t>
      </w:r>
    </w:p>
    <w:p>
      <w:pPr>
        <w:spacing w:after="0" w:line="17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Company initially reserved for issuance 1,870,000 new shares of common stock pursuant to the 2022 Plan. The Company’s 2017 Equity Incentive Plan (the “2017 Plan”) was terminated in 2022; however, shares underlying outstanding stock awards granted under the 2017 Plan will continue to be governed by the 2017 Plan. Shares available under the 2017 Plan were added to the available shares in the 2022 Plan. Shares underlying outstanding stock awards granted under the 2017 Plan that expire or are repurchased by, forfeited to, cancelled or withheld by the Company will also be reserved for issuance under the 2022 Plan.</w:t>
      </w:r>
    </w:p>
    <w:p>
      <w:pPr>
        <w:spacing w:after="0" w:line="176"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initial number of shares of the Company’s common stock that may be issued under the 2022 Plan will not exceed 4,423,920 shares of the Company's common stock, which is the sum of (i) 1,870,000 new shares, plus (ii) 2,553,920 shares related to the 2017 Plan. In addition, the number of shares of the Company’s common stock reserved for issuance under the 2022 Plan will automatically increase on January 1 of each year for a period of ten years, beginning on January 1, 2023 and continuing through January 1, 2032, in an amount equal to (1) 4% of the total number of shares of the Company’s common stock outstanding on December 31 of the immediately preceding year, or</w:t>
      </w:r>
    </w:p>
    <w:p>
      <w:pPr>
        <w:spacing w:after="0" w:line="4" w:lineRule="exact"/>
        <w:rPr>
          <w:sz w:val="20"/>
          <w:szCs w:val="20"/>
          <w:color w:val="auto"/>
        </w:rPr>
      </w:pPr>
    </w:p>
    <w:p>
      <w:pPr>
        <w:ind w:firstLine="8"/>
        <w:spacing w:after="0" w:line="245" w:lineRule="auto"/>
        <w:tabs>
          <w:tab w:leader="none" w:pos="2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lesser number of shares determined by the Company's board of directors no later than December 31 of the immediately preceding year. Accordingly, effective January 1, 2024, the number of shares in the 2022 Plan increased by 1,189,657 shares, representing 4% of the prior year end’s common stock outstanding</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maximum number of shares of the Company's common stock that may be issued on the exercise of stock options or vesting of RSUs and RSAs under the 2022 Plan is 13,271,760 shares.</w:t>
      </w:r>
    </w:p>
    <w:p>
      <w:pPr>
        <w:spacing w:after="0" w:line="176"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Since the date of incorporation and through December 31, 2024, the Company issued stock options, RSUs and RSAs to its employees, directors and consultants. As of December 31, 2024, 859,841 shares of common stock remained available for future issuance under the 2022 Plan.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ISOs granted to newly hired employees under the 2022 Plan generally vest 25% after the completion of 12 months of service, and the balance vests in equal monthly installments over the next 36 months of service and expire ten years from the grant date, unless subject to provisions regarding 10% stockholders. ISOs granted to existing employees generally vest ratably over a 48-month period of service and expire ten years from the grant date. NSOs vest in accordance with the terms of the specific agreement under which the options were provided and expire ten years from the date of grant. RSUs granted to employees generally vest annually over a two to four year period of service and expire ten years from the grant date. RSAs granted to non-employees generally vest at the time of grant and expire ten years from the grant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statements of operations and comprehensive loss during the years ended December 31, 2024 and 2023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r>
      <w:tr>
        <w:trPr>
          <w:trHeight w:val="155"/>
        </w:trPr>
        <w:tc>
          <w:tcPr>
            <w:tcW w:w="61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3"/>
                <w:szCs w:val="13"/>
                <w:color w:val="auto"/>
              </w:rPr>
            </w:pPr>
          </w:p>
        </w:tc>
      </w:tr>
      <w:tr>
        <w:trPr>
          <w:trHeight w:val="19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800" w:type="dxa"/>
            <w:vAlign w:val="bottom"/>
            <w:shd w:val="clear" w:color="auto" w:fill="CFF0FC"/>
          </w:tcPr>
          <w:p>
            <w:pPr>
              <w:jc w:val="right"/>
              <w:ind w:right="61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7"/>
              </w:rPr>
              <w:t>3,798</w:t>
            </w:r>
          </w:p>
        </w:tc>
        <w:tc>
          <w:tcPr>
            <w:tcW w:w="940" w:type="dxa"/>
            <w:vAlign w:val="bottom"/>
            <w:gridSpan w:val="2"/>
            <w:shd w:val="clear" w:color="auto" w:fill="CFF0FC"/>
          </w:tcPr>
          <w:p>
            <w:pPr>
              <w:jc w:val="right"/>
              <w:ind w:right="619"/>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7"/>
              </w:rPr>
              <w:t>4,236</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97"/>
              </w:rPr>
              <w:t>4,540</w:t>
            </w:r>
          </w:p>
        </w:tc>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97"/>
              </w:rPr>
              <w:t>4,176</w:t>
            </w:r>
          </w:p>
        </w:tc>
      </w:tr>
      <w:tr>
        <w:trPr>
          <w:trHeight w:val="236"/>
        </w:trPr>
        <w:tc>
          <w:tcPr>
            <w:tcW w:w="61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619"/>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7"/>
              </w:rPr>
              <w:t>8,338</w:t>
            </w:r>
          </w:p>
        </w:tc>
        <w:tc>
          <w:tcPr>
            <w:tcW w:w="1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9"/>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7"/>
              </w:rPr>
              <w:t>8,412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02"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Company estimated the fair value of stock options using the Black-Scholes option pricing model. The fair value of employee and non-employee stock options is being amortized on the straight-line basis over the requisite service period of the awards.</w:t>
      </w:r>
    </w:p>
    <w:p>
      <w:pPr>
        <w:spacing w:after="0" w:line="154"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Black-Scholes option pricing model requires the use of highly subjective assumptions which determine the fair value of stock-based awards. These assumptions include:</w:t>
      </w:r>
    </w:p>
    <w:p>
      <w:pPr>
        <w:spacing w:after="0" w:line="46" w:lineRule="exact"/>
        <w:rPr>
          <w:sz w:val="20"/>
          <w:szCs w:val="20"/>
          <w:color w:val="auto"/>
        </w:rPr>
      </w:pPr>
    </w:p>
    <w:p>
      <w:pPr>
        <w:ind w:left="1020" w:right="460" w:hanging="503"/>
        <w:spacing w:after="0" w:line="252"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Expected Term—The expected term represents the period that stock-based awards are expected to be outstanding. The expected term for option grants is determined using the simplified method. The simplified method deems the term to be the average of the time-to-vesting and the contractual term of the stock-based awards.</w:t>
      </w:r>
    </w:p>
    <w:p>
      <w:pPr>
        <w:spacing w:after="0" w:line="62" w:lineRule="exact"/>
        <w:rPr>
          <w:rFonts w:ascii="Times New Roman" w:cs="Times New Roman" w:eastAsia="Times New Roman" w:hAnsi="Times New Roman"/>
          <w:sz w:val="18"/>
          <w:szCs w:val="18"/>
          <w:color w:val="auto"/>
        </w:rPr>
      </w:pPr>
    </w:p>
    <w:p>
      <w:pPr>
        <w:jc w:val="both"/>
        <w:ind w:left="1020" w:right="80" w:hanging="503"/>
        <w:spacing w:after="0" w:line="252"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Expected Volatility—Since the Company has limited trading history for its common stock, the expected volatility is based on the average volatility for comparable publicly traded biotechnology companies over a period equal to the expected term of the stock option grants. The comparable companies were chosen based on their similar size, stage in the life cycle and area of specialty.</w:t>
      </w:r>
    </w:p>
    <w:p>
      <w:pPr>
        <w:spacing w:after="0" w:line="62"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Risk-Free Interest Rate—The risk-free interest rate is based on the U.S. Treasury zero-coupon issues in effect at the time of grant for periods corresponding with the expected term of option.</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Expected Dividend Rate—The Company has never paid dividends on its common stock and has no plans to pay dividends on its common stock. Therefore, the Company used an expected dividend yield of zero.</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weighted average assumptions were used to value options granted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80" w:type="dxa"/>
            <w:vAlign w:val="bottom"/>
          </w:tcPr>
          <w:p>
            <w:pPr>
              <w:jc w:val="center"/>
              <w:ind w:right="159"/>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80" w:type="dxa"/>
            <w:vAlign w:val="bottom"/>
          </w:tcPr>
          <w:p>
            <w:pPr>
              <w:jc w:val="center"/>
              <w:ind w:right="159"/>
              <w:spacing w:after="0"/>
              <w:rPr>
                <w:sz w:val="20"/>
                <w:szCs w:val="20"/>
                <w:color w:val="auto"/>
              </w:rPr>
            </w:pPr>
            <w:r>
              <w:rPr>
                <w:rFonts w:ascii="Arial" w:cs="Arial" w:eastAsia="Arial" w:hAnsi="Arial"/>
                <w:sz w:val="14"/>
                <w:szCs w:val="14"/>
                <w:b w:val="1"/>
                <w:bCs w:val="1"/>
                <w:color w:val="auto"/>
              </w:rPr>
              <w:t>Year Ended</w:t>
            </w:r>
          </w:p>
        </w:tc>
        <w:tc>
          <w:tcPr>
            <w:tcW w:w="112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80" w:type="dxa"/>
            <w:vAlign w:val="bottom"/>
          </w:tcPr>
          <w:p>
            <w:pPr>
              <w:jc w:val="center"/>
              <w:ind w:right="13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480" w:type="dxa"/>
            <w:vAlign w:val="bottom"/>
          </w:tcPr>
          <w:p>
            <w:pPr>
              <w:jc w:val="center"/>
              <w:ind w:right="139"/>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300" w:type="dxa"/>
            <w:vAlign w:val="bottom"/>
            <w:gridSpan w:val="2"/>
          </w:tcPr>
          <w:p>
            <w:pPr>
              <w:jc w:val="center"/>
              <w:ind w:left="2535"/>
              <w:spacing w:after="0"/>
              <w:rPr>
                <w:sz w:val="20"/>
                <w:szCs w:val="20"/>
                <w:color w:val="auto"/>
              </w:rPr>
            </w:pPr>
            <w:r>
              <w:rPr>
                <w:rFonts w:ascii="Arial" w:cs="Arial" w:eastAsia="Arial" w:hAnsi="Arial"/>
                <w:sz w:val="14"/>
                <w:szCs w:val="14"/>
                <w:b w:val="1"/>
                <w:bCs w:val="1"/>
                <w:color w:val="auto"/>
              </w:rPr>
              <w:t>2024</w:t>
            </w:r>
          </w:p>
        </w:tc>
        <w:tc>
          <w:tcPr>
            <w:tcW w:w="158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rPr>
              <w:t>2023</w:t>
            </w: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term</w:t>
            </w:r>
          </w:p>
        </w:tc>
        <w:tc>
          <w:tcPr>
            <w:tcW w:w="282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rPr>
              <w:t>5.94 years</w:t>
            </w:r>
          </w:p>
        </w:tc>
        <w:tc>
          <w:tcPr>
            <w:tcW w:w="10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rPr>
              <w:t>5.98 years</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110.6 %</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90.8 %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4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4.28 %</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4.04 %</w:t>
            </w:r>
          </w:p>
        </w:tc>
        <w:tc>
          <w:tcPr>
            <w:tcW w:w="1120" w:type="dxa"/>
            <w:vAlign w:val="bottom"/>
          </w:tcPr>
          <w:p>
            <w:pPr>
              <w:spacing w:after="0"/>
              <w:rPr>
                <w:sz w:val="17"/>
                <w:szCs w:val="17"/>
                <w:color w:val="auto"/>
              </w:rPr>
            </w:pPr>
          </w:p>
        </w:tc>
      </w:tr>
      <w:tr>
        <w:trPr>
          <w:trHeight w:val="239"/>
        </w:trPr>
        <w:tc>
          <w:tcPr>
            <w:tcW w:w="114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20" w:type="dxa"/>
            <w:vAlign w:val="bottom"/>
          </w:tcPr>
          <w:p>
            <w:pPr>
              <w:spacing w:after="0"/>
              <w:rPr>
                <w:sz w:val="20"/>
                <w:szCs w:val="20"/>
                <w:color w:val="auto"/>
              </w:rPr>
            </w:pP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r>
      <w:tr>
        <w:trPr>
          <w:trHeight w:val="400"/>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300" w:type="dxa"/>
            <w:vAlign w:val="bottom"/>
            <w:gridSpan w:val="2"/>
          </w:tcPr>
          <w:p>
            <w:pPr>
              <w:jc w:val="right"/>
              <w:ind w:right="2659"/>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5"/>
        </w:trPr>
        <w:tc>
          <w:tcPr>
            <w:tcW w:w="11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stock plan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48"/>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75"/>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35"/>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80" w:type="dxa"/>
            <w:vAlign w:val="bottom"/>
          </w:tcPr>
          <w:p>
            <w:pPr>
              <w:spacing w:after="0"/>
              <w:rPr>
                <w:sz w:val="14"/>
                <w:szCs w:val="14"/>
                <w:color w:val="auto"/>
              </w:rPr>
            </w:pPr>
          </w:p>
        </w:tc>
        <w:tc>
          <w:tcPr>
            <w:tcW w:w="128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 Options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Contractual Life</w:t>
            </w:r>
          </w:p>
        </w:tc>
        <w:tc>
          <w:tcPr>
            <w:tcW w:w="140" w:type="dxa"/>
            <w:vAlign w:val="bottom"/>
          </w:tcPr>
          <w:p>
            <w:pPr>
              <w:spacing w:after="0"/>
              <w:rPr>
                <w:sz w:val="14"/>
                <w:szCs w:val="14"/>
                <w:color w:val="auto"/>
              </w:rPr>
            </w:pPr>
          </w:p>
        </w:tc>
        <w:tc>
          <w:tcPr>
            <w:tcW w:w="1260" w:type="dxa"/>
            <w:vAlign w:val="bottom"/>
            <w:gridSpan w:val="2"/>
          </w:tcPr>
          <w:p>
            <w:pPr>
              <w:jc w:val="center"/>
              <w:ind w:right="35"/>
              <w:spacing w:after="0"/>
              <w:rPr>
                <w:sz w:val="20"/>
                <w:szCs w:val="20"/>
                <w:color w:val="auto"/>
              </w:rPr>
            </w:pPr>
            <w:r>
              <w:rPr>
                <w:rFonts w:ascii="Arial" w:cs="Arial" w:eastAsia="Arial" w:hAnsi="Arial"/>
                <w:sz w:val="14"/>
                <w:szCs w:val="14"/>
                <w:b w:val="1"/>
                <w:bCs w:val="1"/>
                <w:color w:val="auto"/>
              </w:rPr>
              <w:t>Intrinsic Value</w:t>
            </w:r>
          </w:p>
        </w:tc>
      </w:tr>
      <w:tr>
        <w:trPr>
          <w:trHeight w:val="171"/>
        </w:trPr>
        <w:tc>
          <w:tcPr>
            <w:tcW w:w="5780" w:type="dxa"/>
            <w:vAlign w:val="bottom"/>
          </w:tcPr>
          <w:p>
            <w:pPr>
              <w:spacing w:after="0"/>
              <w:rPr>
                <w:sz w:val="14"/>
                <w:szCs w:val="14"/>
                <w:color w:val="auto"/>
              </w:rPr>
            </w:pPr>
          </w:p>
        </w:tc>
        <w:tc>
          <w:tcPr>
            <w:tcW w:w="12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4"/>
                <w:szCs w:val="14"/>
                <w:color w:val="auto"/>
              </w:rPr>
            </w:pPr>
          </w:p>
        </w:tc>
        <w:tc>
          <w:tcPr>
            <w:tcW w:w="126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2023</w:t>
            </w:r>
          </w:p>
        </w:tc>
        <w:tc>
          <w:tcPr>
            <w:tcW w:w="12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3,930,306</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10.86</w:t>
            </w:r>
          </w:p>
        </w:tc>
        <w:tc>
          <w:tcPr>
            <w:tcW w:w="140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8.14</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37,853</w:t>
            </w:r>
          </w:p>
        </w:tc>
      </w:tr>
      <w:tr>
        <w:trPr>
          <w:trHeight w:val="203"/>
        </w:trPr>
        <w:tc>
          <w:tcPr>
            <w:tcW w:w="5780" w:type="dxa"/>
            <w:vAlign w:val="bottom"/>
          </w:tcPr>
          <w:p>
            <w:pPr>
              <w:ind w:left="28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1,700,899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2.42</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Exercised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(28,930 )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7.78</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780" w:type="dxa"/>
            <w:vAlign w:val="bottom"/>
          </w:tcPr>
          <w:p>
            <w:pPr>
              <w:ind w:left="280"/>
              <w:spacing w:after="0" w:line="202" w:lineRule="exact"/>
              <w:rPr>
                <w:sz w:val="20"/>
                <w:szCs w:val="20"/>
                <w:color w:val="auto"/>
              </w:rPr>
            </w:pPr>
            <w:r>
              <w:rPr>
                <w:rFonts w:ascii="Arial" w:cs="Arial" w:eastAsia="Arial" w:hAnsi="Arial"/>
                <w:sz w:val="18"/>
                <w:szCs w:val="18"/>
                <w:color w:val="auto"/>
              </w:rPr>
              <w:t>Forfeited/expired</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(711,432 )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8.91</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Vested and expected to vest at December 31, 2024</w:t>
            </w:r>
          </w:p>
        </w:tc>
        <w:tc>
          <w:tcPr>
            <w:tcW w:w="128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4,890,843</w:t>
            </w:r>
          </w:p>
        </w:tc>
        <w:tc>
          <w:tcPr>
            <w:tcW w:w="3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8.23</w:t>
            </w:r>
          </w:p>
        </w:tc>
        <w:tc>
          <w:tcPr>
            <w:tcW w:w="1400" w:type="dxa"/>
            <w:vAlign w:val="bottom"/>
            <w:tcBorders>
              <w:bottom w:val="single" w:sz="8" w:color="CFF0FC"/>
            </w:tcBorders>
            <w:gridSpan w:val="2"/>
            <w:shd w:val="clear" w:color="auto" w:fill="CFF0FC"/>
          </w:tcPr>
          <w:p>
            <w:pPr>
              <w:jc w:val="right"/>
              <w:ind w:right="48"/>
              <w:spacing w:after="0" w:line="182" w:lineRule="exact"/>
              <w:rPr>
                <w:sz w:val="20"/>
                <w:szCs w:val="20"/>
                <w:color w:val="auto"/>
              </w:rPr>
            </w:pPr>
            <w:r>
              <w:rPr>
                <w:rFonts w:ascii="Arial" w:cs="Arial" w:eastAsia="Arial" w:hAnsi="Arial"/>
                <w:sz w:val="18"/>
                <w:szCs w:val="18"/>
                <w:color w:val="auto"/>
              </w:rPr>
              <w:t>6.66</w:t>
            </w:r>
          </w:p>
        </w:tc>
        <w:tc>
          <w:tcPr>
            <w:tcW w:w="3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330</w:t>
            </w:r>
          </w:p>
        </w:tc>
      </w:tr>
      <w:tr>
        <w:trPr>
          <w:trHeight w:val="183"/>
        </w:trPr>
        <w:tc>
          <w:tcPr>
            <w:tcW w:w="5780" w:type="dxa"/>
            <w:vAlign w:val="bottom"/>
          </w:tcPr>
          <w:p>
            <w:pPr>
              <w:ind w:left="20"/>
              <w:spacing w:after="0" w:line="182" w:lineRule="exact"/>
              <w:rPr>
                <w:sz w:val="20"/>
                <w:szCs w:val="20"/>
                <w:color w:val="auto"/>
              </w:rPr>
            </w:pPr>
            <w:r>
              <w:rPr>
                <w:rFonts w:ascii="Arial" w:cs="Arial" w:eastAsia="Arial" w:hAnsi="Arial"/>
                <w:sz w:val="18"/>
                <w:szCs w:val="18"/>
                <w:color w:val="auto"/>
              </w:rPr>
              <w:t>Exercisable as of December 31, 2024</w:t>
            </w:r>
          </w:p>
        </w:tc>
        <w:tc>
          <w:tcPr>
            <w:tcW w:w="1280" w:type="dxa"/>
            <w:vAlign w:val="bottom"/>
            <w:tcBorders>
              <w:bottom w:val="single" w:sz="8" w:color="auto"/>
            </w:tcBorders>
          </w:tcPr>
          <w:p>
            <w:pPr>
              <w:jc w:val="right"/>
              <w:ind w:right="35"/>
              <w:spacing w:after="0" w:line="182" w:lineRule="exact"/>
              <w:rPr>
                <w:sz w:val="20"/>
                <w:szCs w:val="20"/>
                <w:color w:val="auto"/>
              </w:rPr>
            </w:pPr>
            <w:r>
              <w:rPr>
                <w:rFonts w:ascii="Arial" w:cs="Arial" w:eastAsia="Arial" w:hAnsi="Arial"/>
                <w:sz w:val="18"/>
                <w:szCs w:val="18"/>
                <w:color w:val="auto"/>
              </w:rPr>
              <w:t>2,883,622</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line="182" w:lineRule="exact"/>
              <w:rPr>
                <w:sz w:val="20"/>
                <w:szCs w:val="20"/>
                <w:color w:val="auto"/>
              </w:rPr>
            </w:pPr>
            <w:r>
              <w:rPr>
                <w:rFonts w:ascii="Arial" w:cs="Arial" w:eastAsia="Arial" w:hAnsi="Arial"/>
                <w:sz w:val="18"/>
                <w:szCs w:val="18"/>
                <w:color w:val="auto"/>
              </w:rPr>
              <w:t>9.45</w:t>
            </w:r>
          </w:p>
        </w:tc>
        <w:tc>
          <w:tcPr>
            <w:tcW w:w="1400" w:type="dxa"/>
            <w:vAlign w:val="bottom"/>
            <w:gridSpan w:val="2"/>
          </w:tcPr>
          <w:p>
            <w:pPr>
              <w:jc w:val="right"/>
              <w:ind w:right="48"/>
              <w:spacing w:after="0" w:line="182" w:lineRule="exact"/>
              <w:rPr>
                <w:sz w:val="20"/>
                <w:szCs w:val="20"/>
                <w:color w:val="auto"/>
              </w:rPr>
            </w:pPr>
            <w:r>
              <w:rPr>
                <w:rFonts w:ascii="Arial" w:cs="Arial" w:eastAsia="Arial" w:hAnsi="Arial"/>
                <w:sz w:val="18"/>
                <w:szCs w:val="18"/>
                <w:color w:val="auto"/>
              </w:rPr>
              <w:t>5.46</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line="182" w:lineRule="exact"/>
              <w:rPr>
                <w:sz w:val="20"/>
                <w:szCs w:val="20"/>
                <w:color w:val="auto"/>
              </w:rPr>
            </w:pPr>
            <w:r>
              <w:rPr>
                <w:rFonts w:ascii="Arial" w:cs="Arial" w:eastAsia="Arial" w:hAnsi="Arial"/>
                <w:sz w:val="18"/>
                <w:szCs w:val="18"/>
                <w:color w:val="auto"/>
              </w:rPr>
              <w:t>263</w:t>
            </w:r>
          </w:p>
        </w:tc>
      </w:tr>
      <w:tr>
        <w:trPr>
          <w:trHeight w:val="20"/>
        </w:trPr>
        <w:tc>
          <w:tcPr>
            <w:tcW w:w="5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-179070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-162560</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7"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As of December 31, 2024, there was unrecognized stock-based compensation expense of $8.3 million related to unvested stock options which the Company expects to recognize over a weighted-average period of 1.6 years.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Weighted-average grant-date fair value of the options granted during the year ended December 31, 2024 was $2.05 per share.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Activity</w:t>
      </w:r>
    </w:p>
    <w:p>
      <w:pPr>
        <w:spacing w:after="0" w:line="102"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RSUs entitle the holder to receive shares of the Company’s common stock upon vesting. The fair value of RSUs is based upon the closing sales price of the Company’s common stock on the grant date.</w:t>
      </w:r>
    </w:p>
    <w:p>
      <w:pPr>
        <w:sectPr>
          <w:pgSz w:w="11900" w:h="16838" w:orient="portrait"/>
          <w:cols w:equalWidth="0" w:num="1">
            <w:col w:w="11240"/>
          </w:cols>
          <w:pgMar w:left="320" w:top="985" w:right="339" w:bottom="1440" w:gutter="0" w:footer="0" w:header="0"/>
        </w:sectPr>
      </w:pPr>
    </w:p>
    <w:p>
      <w:pPr>
        <w:spacing w:after="0" w:line="154"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A summary of the RSU activity is as follows:</w:t>
      </w:r>
    </w:p>
    <w:p>
      <w:pPr>
        <w:spacing w:after="0" w:line="397"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December 31, 2023</w:t>
      </w:r>
    </w:p>
    <w:p>
      <w:pPr>
        <w:ind w:left="280"/>
        <w:spacing w:after="0" w:line="234" w:lineRule="auto"/>
        <w:rPr>
          <w:sz w:val="20"/>
          <w:szCs w:val="20"/>
          <w:color w:val="auto"/>
        </w:rPr>
      </w:pPr>
      <w:r>
        <w:rPr>
          <w:rFonts w:ascii="Arial" w:cs="Arial" w:eastAsia="Arial" w:hAnsi="Arial"/>
          <w:sz w:val="18"/>
          <w:szCs w:val="18"/>
          <w:color w:val="auto"/>
        </w:rPr>
        <w:t>Issued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Vested and released</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Forfeited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right"/>
              <w:ind w:right="435"/>
              <w:spacing w:after="0"/>
              <w:rPr>
                <w:sz w:val="20"/>
                <w:szCs w:val="20"/>
                <w:color w:val="auto"/>
              </w:rPr>
            </w:pPr>
            <w:r>
              <w:rPr>
                <w:rFonts w:ascii="Arial" w:cs="Arial" w:eastAsia="Arial" w:hAnsi="Arial"/>
                <w:sz w:val="14"/>
                <w:szCs w:val="14"/>
                <w:b w:val="1"/>
                <w:bCs w:val="1"/>
                <w:color w:val="auto"/>
              </w:rPr>
              <w:t>Weighted-Average</w:t>
            </w:r>
          </w:p>
        </w:tc>
      </w:tr>
      <w:tr>
        <w:trPr>
          <w:trHeight w:val="171"/>
        </w:trPr>
        <w:tc>
          <w:tcPr>
            <w:tcW w:w="2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Grant Date Fair Value</w:t>
            </w:r>
          </w:p>
        </w:tc>
      </w:tr>
      <w:tr>
        <w:trPr>
          <w:trHeight w:val="177"/>
        </w:trPr>
        <w:tc>
          <w:tcPr>
            <w:tcW w:w="2200" w:type="dxa"/>
            <w:vAlign w:val="bottom"/>
          </w:tcPr>
          <w:p>
            <w:pPr>
              <w:jc w:val="right"/>
              <w:ind w:right="33"/>
              <w:spacing w:after="0" w:line="177"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200" w:type="dxa"/>
            <w:vAlign w:val="bottom"/>
          </w:tcPr>
          <w:p>
            <w:pPr>
              <w:jc w:val="right"/>
              <w:ind w:right="10"/>
              <w:spacing w:after="0" w:line="177" w:lineRule="exact"/>
              <w:rPr>
                <w:sz w:val="20"/>
                <w:szCs w:val="20"/>
                <w:color w:val="auto"/>
              </w:rPr>
            </w:pPr>
            <w:r>
              <w:rPr>
                <w:rFonts w:ascii="Arial" w:cs="Arial" w:eastAsia="Arial" w:hAnsi="Arial"/>
                <w:sz w:val="18"/>
                <w:szCs w:val="18"/>
                <w:color w:val="auto"/>
                <w:w w:val="79"/>
              </w:rPr>
              <w:t>$</w:t>
            </w:r>
          </w:p>
        </w:tc>
        <w:tc>
          <w:tcPr>
            <w:tcW w:w="1980" w:type="dxa"/>
            <w:vAlign w:val="bottom"/>
          </w:tcPr>
          <w:p>
            <w:pPr>
              <w:jc w:val="right"/>
              <w:ind w:right="35"/>
              <w:spacing w:after="0" w:line="177" w:lineRule="exact"/>
              <w:rPr>
                <w:sz w:val="20"/>
                <w:szCs w:val="20"/>
                <w:color w:val="auto"/>
              </w:rPr>
            </w:pPr>
            <w:r>
              <w:rPr>
                <w:rFonts w:ascii="Arial" w:cs="Arial" w:eastAsia="Arial" w:hAnsi="Arial"/>
                <w:sz w:val="18"/>
                <w:szCs w:val="18"/>
                <w:color w:val="auto"/>
              </w:rPr>
              <w:t>—</w:t>
            </w:r>
          </w:p>
        </w:tc>
      </w:tr>
      <w:tr>
        <w:trPr>
          <w:trHeight w:val="203"/>
        </w:trPr>
        <w:tc>
          <w:tcPr>
            <w:tcW w:w="22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762,346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2.59</w:t>
            </w:r>
          </w:p>
        </w:tc>
      </w:tr>
      <w:tr>
        <w:trPr>
          <w:trHeight w:val="203"/>
        </w:trPr>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(38,556 )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2.96</w:t>
            </w:r>
          </w:p>
        </w:tc>
      </w:tr>
      <w:tr>
        <w:trPr>
          <w:trHeight w:val="221"/>
        </w:trPr>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(207,279 )</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35"/>
              <w:spacing w:after="0"/>
              <w:rPr>
                <w:sz w:val="20"/>
                <w:szCs w:val="20"/>
                <w:color w:val="auto"/>
              </w:rPr>
            </w:pPr>
            <w:r>
              <w:rPr>
                <w:rFonts w:ascii="Arial" w:cs="Arial" w:eastAsia="Arial" w:hAnsi="Arial"/>
                <w:sz w:val="18"/>
                <w:szCs w:val="18"/>
                <w:color w:val="auto"/>
              </w:rPr>
              <w:t>2.63</w:t>
            </w:r>
          </w:p>
        </w:tc>
      </w:tr>
      <w:tr>
        <w:trPr>
          <w:trHeight w:val="196"/>
        </w:trPr>
        <w:tc>
          <w:tcPr>
            <w:tcW w:w="220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516,511</w:t>
            </w:r>
          </w:p>
        </w:tc>
        <w:tc>
          <w:tcPr>
            <w:tcW w:w="44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35"/>
              <w:spacing w:after="0" w:line="182" w:lineRule="exact"/>
              <w:rPr>
                <w:sz w:val="20"/>
                <w:szCs w:val="20"/>
                <w:color w:val="auto"/>
              </w:rPr>
            </w:pPr>
            <w:r>
              <w:rPr>
                <w:rFonts w:ascii="Arial" w:cs="Arial" w:eastAsia="Arial" w:hAnsi="Arial"/>
                <w:sz w:val="18"/>
                <w:szCs w:val="18"/>
                <w:color w:val="auto"/>
              </w:rPr>
              <w:t>2.54</w:t>
            </w: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-676275</wp:posOffset>
            </wp:positionV>
            <wp:extent cx="71323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-419100</wp:posOffset>
            </wp:positionV>
            <wp:extent cx="713232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-153670</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900" w:space="720"/>
            <w:col w:w="4620"/>
          </w:cols>
          <w:pgMar w:left="320" w:top="985" w:right="339" w:bottom="1440" w:gutter="0" w:footer="0" w:header="0"/>
          <w:type w:val="continuous"/>
        </w:sectPr>
      </w:pPr>
    </w:p>
    <w:p>
      <w:pPr>
        <w:ind w:right="220" w:firstLine="509"/>
        <w:spacing w:after="0" w:line="271" w:lineRule="auto"/>
        <w:rPr>
          <w:sz w:val="20"/>
          <w:szCs w:val="20"/>
          <w:color w:val="auto"/>
        </w:rPr>
      </w:pPr>
      <w:r>
        <w:rPr>
          <w:rFonts w:ascii="Arial" w:cs="Arial" w:eastAsia="Arial" w:hAnsi="Arial"/>
          <w:sz w:val="18"/>
          <w:szCs w:val="18"/>
          <w:color w:val="auto"/>
        </w:rPr>
        <w:t>As of December 31, 2024, there was unrecognized stock-based compensation expense of $0.9 million related to unvested restricted stock units which the Company expects to recognize over a weighted-average period of 2.3 years.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RSA Activity</w:t>
      </w:r>
    </w:p>
    <w:p>
      <w:pPr>
        <w:spacing w:after="0" w:line="10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RSAs entitle the holder to receive shares of the Company’s common stock upon vesting. The fair value of RSAs is based upon the closing sales price of the Company’s common stock on the grant date.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RSA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right"/>
              <w:ind w:right="435"/>
              <w:spacing w:after="0"/>
              <w:rPr>
                <w:sz w:val="20"/>
                <w:szCs w:val="20"/>
                <w:color w:val="auto"/>
              </w:rPr>
            </w:pPr>
            <w:r>
              <w:rPr>
                <w:rFonts w:ascii="Arial" w:cs="Arial" w:eastAsia="Arial" w:hAnsi="Arial"/>
                <w:sz w:val="14"/>
                <w:szCs w:val="14"/>
                <w:b w:val="1"/>
                <w:bCs w:val="1"/>
                <w:color w:val="auto"/>
              </w:rPr>
              <w:t>Weighted-Average</w:t>
            </w:r>
          </w:p>
        </w:tc>
      </w:tr>
      <w:tr>
        <w:trPr>
          <w:trHeight w:val="171"/>
        </w:trPr>
        <w:tc>
          <w:tcPr>
            <w:tcW w:w="4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Grant Date Fair Value</w:t>
            </w:r>
          </w:p>
        </w:tc>
      </w:tr>
      <w:tr>
        <w:trPr>
          <w:trHeight w:val="196"/>
        </w:trPr>
        <w:tc>
          <w:tcPr>
            <w:tcW w:w="4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at December 31, 2023</w:t>
            </w:r>
          </w:p>
        </w:tc>
        <w:tc>
          <w:tcPr>
            <w:tcW w:w="2600" w:type="dxa"/>
            <w:vAlign w:val="bottom"/>
            <w:shd w:val="clear" w:color="auto" w:fill="CFF0FC"/>
          </w:tcPr>
          <w:p>
            <w:pPr>
              <w:spacing w:after="0"/>
              <w:rPr>
                <w:sz w:val="17"/>
                <w:szCs w:val="17"/>
                <w:color w:val="auto"/>
              </w:rPr>
            </w:pPr>
          </w:p>
        </w:tc>
        <w:tc>
          <w:tcPr>
            <w:tcW w:w="22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w:t>
            </w:r>
          </w:p>
        </w:tc>
      </w:tr>
      <w:tr>
        <w:trPr>
          <w:trHeight w:val="203"/>
        </w:trPr>
        <w:tc>
          <w:tcPr>
            <w:tcW w:w="4020" w:type="dxa"/>
            <w:vAlign w:val="bottom"/>
          </w:tcPr>
          <w:p>
            <w:pPr>
              <w:ind w:left="280"/>
              <w:spacing w:after="0" w:line="202" w:lineRule="exact"/>
              <w:rPr>
                <w:sz w:val="20"/>
                <w:szCs w:val="20"/>
                <w:color w:val="auto"/>
              </w:rPr>
            </w:pPr>
            <w:r>
              <w:rPr>
                <w:rFonts w:ascii="Arial" w:cs="Arial" w:eastAsia="Arial" w:hAnsi="Arial"/>
                <w:sz w:val="18"/>
                <w:szCs w:val="18"/>
                <w:color w:val="auto"/>
              </w:rPr>
              <w:t>Issued</w:t>
            </w:r>
          </w:p>
        </w:tc>
        <w:tc>
          <w:tcPr>
            <w:tcW w:w="480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40,003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1.27</w:t>
            </w:r>
          </w:p>
        </w:tc>
      </w:tr>
      <w:tr>
        <w:trPr>
          <w:trHeight w:val="203"/>
        </w:trPr>
        <w:tc>
          <w:tcPr>
            <w:tcW w:w="40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Vested and released</w:t>
            </w:r>
          </w:p>
        </w:tc>
        <w:tc>
          <w:tcPr>
            <w:tcW w:w="4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(40,003 )</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1.27</w:t>
            </w:r>
          </w:p>
        </w:tc>
      </w:tr>
      <w:tr>
        <w:trPr>
          <w:trHeight w:val="203"/>
        </w:trPr>
        <w:tc>
          <w:tcPr>
            <w:tcW w:w="4020" w:type="dxa"/>
            <w:vAlign w:val="bottom"/>
          </w:tcPr>
          <w:p>
            <w:pPr>
              <w:ind w:left="280"/>
              <w:spacing w:after="0" w:line="202" w:lineRule="exact"/>
              <w:rPr>
                <w:sz w:val="20"/>
                <w:szCs w:val="20"/>
                <w:color w:val="auto"/>
              </w:rPr>
            </w:pPr>
            <w:r>
              <w:rPr>
                <w:rFonts w:ascii="Arial" w:cs="Arial" w:eastAsia="Arial" w:hAnsi="Arial"/>
                <w:sz w:val="18"/>
                <w:szCs w:val="18"/>
                <w:color w:val="auto"/>
              </w:rPr>
              <w:t>Forfeited</w:t>
            </w:r>
          </w:p>
        </w:tc>
        <w:tc>
          <w:tcPr>
            <w:tcW w:w="2600" w:type="dxa"/>
            <w:vAlign w:val="bottom"/>
          </w:tcPr>
          <w:p>
            <w:pPr>
              <w:spacing w:after="0"/>
              <w:rPr>
                <w:sz w:val="17"/>
                <w:szCs w:val="17"/>
                <w:color w:val="auto"/>
              </w:rPr>
            </w:pPr>
          </w:p>
        </w:tc>
        <w:tc>
          <w:tcPr>
            <w:tcW w:w="22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r>
      <w:tr>
        <w:trPr>
          <w:trHeight w:val="236"/>
        </w:trPr>
        <w:tc>
          <w:tcPr>
            <w:tcW w:w="40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Unvested at December 31, 2024</w:t>
            </w:r>
          </w:p>
        </w:tc>
        <w:tc>
          <w:tcPr>
            <w:tcW w:w="2600" w:type="dxa"/>
            <w:vAlign w:val="bottom"/>
            <w:tcBorders>
              <w:bottom w:val="single" w:sz="8" w:color="CFF0FC"/>
            </w:tcBorders>
            <w:shd w:val="clear" w:color="auto" w:fill="CFF0FC"/>
          </w:tcPr>
          <w:p>
            <w:pPr>
              <w:spacing w:after="0"/>
              <w:rPr>
                <w:sz w:val="20"/>
                <w:szCs w:val="20"/>
                <w:color w:val="auto"/>
              </w:rPr>
            </w:pPr>
          </w:p>
        </w:tc>
        <w:tc>
          <w:tcPr>
            <w:tcW w:w="220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980" w:type="dxa"/>
            <w:vAlign w:val="bottom"/>
            <w:tcBorders>
              <w:bottom w:val="single" w:sz="8" w:color="CFF0FC"/>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w:t>
            </w:r>
          </w:p>
        </w:tc>
      </w:tr>
      <w:tr>
        <w:trPr>
          <w:trHeight w:val="416"/>
        </w:trPr>
        <w:tc>
          <w:tcPr>
            <w:tcW w:w="4020" w:type="dxa"/>
            <w:vAlign w:val="bottom"/>
          </w:tcPr>
          <w:p>
            <w:pPr>
              <w:spacing w:after="0"/>
              <w:rPr>
                <w:sz w:val="24"/>
                <w:szCs w:val="24"/>
                <w:color w:val="auto"/>
              </w:rPr>
            </w:pPr>
          </w:p>
        </w:tc>
        <w:tc>
          <w:tcPr>
            <w:tcW w:w="4800" w:type="dxa"/>
            <w:vAlign w:val="bottom"/>
            <w:gridSpan w:val="2"/>
          </w:tcPr>
          <w:p>
            <w:pPr>
              <w:jc w:val="right"/>
              <w:ind w:right="2935"/>
              <w:spacing w:after="0"/>
              <w:rPr>
                <w:sz w:val="20"/>
                <w:szCs w:val="20"/>
                <w:color w:val="auto"/>
              </w:rPr>
            </w:pPr>
            <w:r>
              <w:rPr>
                <w:rFonts w:ascii="Arial" w:cs="Arial" w:eastAsia="Arial" w:hAnsi="Arial"/>
                <w:sz w:val="18"/>
                <w:szCs w:val="18"/>
                <w:color w:val="auto"/>
              </w:rPr>
              <w:t>F-21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46"/>
        </w:trPr>
        <w:tc>
          <w:tcPr>
            <w:tcW w:w="40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-788035</wp:posOffset>
            </wp:positionV>
            <wp:extent cx="1454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-770890</wp:posOffset>
            </wp:positionV>
            <wp:extent cx="1454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As of December 31, 2024, there was no unrecognized stock-based compensation expense related to unvested restricted stock awards.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Early Exercise of Stock Options</w:t>
      </w:r>
    </w:p>
    <w:p>
      <w:pPr>
        <w:spacing w:after="0" w:line="10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Company’s 2017 Plan permitted early exercise of certain stock options prior to vesting to certain directors, officers, and employees. Any shares issued pursuant to unvested options are restricted and subject to repurchase by the Company until the conditions for vesting are met. The amounts paid for shares purchased under an early exercise of stock options and subject to repurchase by the Company are reported as options subject to repurchase, short and long-term on the balance sheet and is reclassified to common stock and additional paid-in capital as such shares vest. Upon termination of employment of an option-holder, the Company has the right to repurchase, at the original purchase price, any unvested options.</w:t>
      </w:r>
    </w:p>
    <w:p>
      <w:pPr>
        <w:spacing w:after="0" w:line="17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As of December 31, 2024, and 2023, there were none and 5,040 unvested common shares outstanding that were issued upon the early exercise of stock options prior to the vesting of the underlying shares which are subject to repurchase by the Company at the original issuance price upon termination of the stockholders’ services. The right to repurchase these shares generally lapses with respect to 25% of the shares underlying the option after one year of service to the Company and 1/48th of the shares underlying the original grant per month for 36 months thereafter. The shares purchased by the option-holders pursuant to the early exercise of stock options are not deemed, for accounting purposes, to be issued until those shares vest. As of December 31, 2023, the Company recorded an insignificant amount of liabilities associated with the cash received for shares issued subject to repurchase rights, recorded within the options subject to repurchase, short-term, and options subject to repurchase, long-term on the Company’s balance sheets.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Employee Stock Purchase Plan</w:t>
      </w:r>
    </w:p>
    <w:p>
      <w:pPr>
        <w:spacing w:after="0" w:line="102"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Company’s 2022 Employee Stock Purchase Plan (“ESPP”) has two components: a component that is intended to qualify as an “employee stock purchase plan” under Section 423 of the Code (the “423 Component”) and a component that is not intended to qualify (the “Non-423 Component”). The ESPP allows eligible employees to purchase shares of the Company’s common stock at a discount through payroll deductions of up to 15% of their eligible compensation. At the end of each offering period, employees are able to purchase shares at 85% of the lower of the fair market value of the Company’s common stock at the beginning of the offering period or at the end of each applicable purchase period.</w:t>
      </w:r>
    </w:p>
    <w:p>
      <w:pPr>
        <w:spacing w:after="0" w:line="179"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Subject to adjustment in the case of certain capitalization events, 187,000 shares of the Company’s common stock were available for purchase at the adoption of the ESPP. Pursuant to the ESPP, the annual share increase pursuant to the evergreen provision is determined based on the least of (i) 1% of the Company’s common stock outstanding as of December 31 of the immediately preceding year, (ii) 561,000 shares, or (iii) such number of shares as determined by the Board. Accordingly, effective January 1, 2024, the number of shares in the ESPP increased by 297,414 shares, representing 1% of the prior year-end’s common stock outstanding</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As of December 31, 2024, 563,731 shares of common stock remained available for issuance under the ESPP.</w:t>
      </w:r>
    </w:p>
    <w:p>
      <w:pPr>
        <w:spacing w:after="0" w:line="176"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During the years ended December 31, 2024 and 2023, the Company recognized $0.1 million and $0.2 million, respectively, in stock-based compensation expense related to the ESPP.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04"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The Company is liable for income taxes in the United States. For the years ended December 31, 2024 and 2023, the Company did not have any income for income tax purposes and therefore, no tax liability or expense has been recorded in these financial statements.</w:t>
      </w: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provision for income taxes differs from the tax expense that would result by applying the statutory federal income tax rate to loss before taxes due to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55"/>
        </w:trPr>
        <w:tc>
          <w:tcPr>
            <w:tcW w:w="76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tax benefit at statutory rate</w:t>
            </w:r>
          </w:p>
        </w:tc>
        <w:tc>
          <w:tcPr>
            <w:tcW w:w="960" w:type="dxa"/>
            <w:vAlign w:val="bottom"/>
            <w:shd w:val="clear" w:color="auto" w:fill="CFF0FC"/>
          </w:tcPr>
          <w:p>
            <w:pPr>
              <w:jc w:val="right"/>
              <w:ind w:right="756"/>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(10,777 )</w:t>
            </w:r>
          </w:p>
        </w:tc>
        <w:tc>
          <w:tcPr>
            <w:tcW w:w="660" w:type="dxa"/>
            <w:vAlign w:val="bottom"/>
            <w:gridSpan w:val="2"/>
            <w:shd w:val="clear" w:color="auto" w:fill="CFF0FC"/>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(13,593 )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State tax benefit at statutory rate, net of federal tax benefit</w:t>
            </w:r>
          </w:p>
        </w:tc>
        <w:tc>
          <w:tcPr>
            <w:tcW w:w="9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(3,892 )</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(4,917 )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16,289</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20,047</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tax credits</w:t>
            </w:r>
          </w:p>
        </w:tc>
        <w:tc>
          <w:tcPr>
            <w:tcW w:w="9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(1,980 )</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(2,030 )</w:t>
            </w:r>
          </w:p>
        </w:tc>
      </w:tr>
      <w:tr>
        <w:trPr>
          <w:trHeight w:val="202"/>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360</w:t>
            </w: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493</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960" w:type="dxa"/>
            <w:vAlign w:val="bottom"/>
          </w:tcPr>
          <w:p>
            <w:pPr>
              <w:jc w:val="right"/>
              <w:ind w:right="756"/>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w:t>
            </w:r>
          </w:p>
        </w:tc>
      </w:tr>
      <w:tr>
        <w:trPr>
          <w:trHeight w:val="20"/>
        </w:trPr>
        <w:tc>
          <w:tcPr>
            <w:tcW w:w="7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-162560</wp:posOffset>
            </wp:positionV>
            <wp:extent cx="1111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the effective income tax rate reconciliation for the years ended December 31, 2024 and 2023:</w:t>
      </w:r>
    </w:p>
    <w:p>
      <w:pPr>
        <w:spacing w:after="0" w:line="221"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46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20" w:type="dxa"/>
            <w:vAlign w:val="bottom"/>
            <w:tcBorders>
              <w:top w:val="single" w:sz="8" w:color="auto"/>
              <w:bottom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850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Statutory rate</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21.0 %</w:t>
            </w:r>
          </w:p>
        </w:tc>
        <w:tc>
          <w:tcPr>
            <w:tcW w:w="19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21.0 %</w:t>
            </w:r>
          </w:p>
        </w:tc>
      </w:tr>
      <w:tr>
        <w:trPr>
          <w:trHeight w:val="203"/>
        </w:trPr>
        <w:tc>
          <w:tcPr>
            <w:tcW w:w="8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(0.7 %)</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(0.7 %)</w:t>
            </w:r>
          </w:p>
        </w:tc>
      </w:tr>
      <w:tr>
        <w:trPr>
          <w:trHeight w:val="203"/>
        </w:trPr>
        <w:tc>
          <w:tcPr>
            <w:tcW w:w="850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State taxes, net of the federal tax benefit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7.6 %</w:t>
            </w:r>
          </w:p>
        </w:tc>
        <w:tc>
          <w:tcPr>
            <w:tcW w:w="1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7.6 %</w:t>
            </w:r>
          </w:p>
        </w:tc>
      </w:tr>
      <w:tr>
        <w:trPr>
          <w:trHeight w:val="203"/>
        </w:trPr>
        <w:tc>
          <w:tcPr>
            <w:tcW w:w="8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R&amp;D credit benefit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3.9 %</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3.1 %</w:t>
            </w:r>
          </w:p>
        </w:tc>
      </w:tr>
      <w:tr>
        <w:trPr>
          <w:trHeight w:val="203"/>
        </w:trPr>
        <w:tc>
          <w:tcPr>
            <w:tcW w:w="74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Change in valuation allowance</w:t>
            </w:r>
          </w:p>
        </w:tc>
        <w:tc>
          <w:tcPr>
            <w:tcW w:w="10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(31.8 %)</w:t>
            </w:r>
          </w:p>
        </w:tc>
        <w:tc>
          <w:tcPr>
            <w:tcW w:w="14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(31.0 %)</w:t>
            </w:r>
          </w:p>
        </w:tc>
      </w:tr>
      <w:tr>
        <w:trPr>
          <w:trHeight w:val="196"/>
        </w:trPr>
        <w:tc>
          <w:tcPr>
            <w:tcW w:w="850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0.0 %</w:t>
            </w: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0.0 %</w:t>
            </w:r>
          </w:p>
        </w:tc>
      </w:tr>
      <w:tr>
        <w:trPr>
          <w:trHeight w:val="20"/>
        </w:trPr>
        <w:tc>
          <w:tcPr>
            <w:tcW w:w="7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-161925</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7"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Recognition of deferred tax assets is appropriate when realization of such assets is more likely than not. Based upon the weight of available positive and negative evidence, which includes the Company’s historical operating performance and the U.S. cumulative net losses in all prior periods, the Company has provided a valuation allowance against its U.S. deferred tax assets. The valuation allowance increased by $16.3 million from December 31, 2023 to December 31, 2024 due to generation of current year net operating losses, capitalization of research and development costs, and research and development credits claimed.</w:t>
      </w:r>
    </w:p>
    <w:p>
      <w:pPr>
        <w:spacing w:after="0" w:line="176" w:lineRule="exact"/>
        <w:rPr>
          <w:sz w:val="20"/>
          <w:szCs w:val="20"/>
          <w:color w:val="auto"/>
        </w:rPr>
      </w:pPr>
    </w:p>
    <w:p>
      <w:pPr>
        <w:ind w:right="600" w:firstLine="509"/>
        <w:spacing w:after="0" w:line="253" w:lineRule="auto"/>
        <w:rPr>
          <w:sz w:val="20"/>
          <w:szCs w:val="20"/>
          <w:color w:val="auto"/>
        </w:rPr>
      </w:pPr>
      <w:r>
        <w:rPr>
          <w:rFonts w:ascii="Arial" w:cs="Arial" w:eastAsia="Arial" w:hAnsi="Arial"/>
          <w:sz w:val="18"/>
          <w:szCs w:val="18"/>
          <w:color w:val="auto"/>
        </w:rPr>
        <w:t>Deferred income taxes reflect the net tax effects of losses, credit carryforwards and temporary differences between the carrying amounts of assets and liabilities for financial reporting purposes and the amounts used for income tax purposes. Components of the Company’s deferred tax assets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56"/>
        </w:trPr>
        <w:tc>
          <w:tcPr>
            <w:tcW w:w="76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Deferred tax assets</w:t>
            </w:r>
          </w:p>
        </w:tc>
        <w:tc>
          <w:tcPr>
            <w:tcW w:w="9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Net operating loss carryforwards</w:t>
            </w:r>
          </w:p>
        </w:tc>
        <w:tc>
          <w:tcPr>
            <w:tcW w:w="960" w:type="dxa"/>
            <w:vAlign w:val="bottom"/>
          </w:tcPr>
          <w:p>
            <w:pPr>
              <w:jc w:val="right"/>
              <w:ind w:right="756"/>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28,682</w:t>
            </w:r>
          </w:p>
        </w:tc>
        <w:tc>
          <w:tcPr>
            <w:tcW w:w="6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20,778</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Capital research expenditures</w:t>
            </w:r>
          </w:p>
        </w:tc>
        <w:tc>
          <w:tcPr>
            <w:tcW w:w="9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18,308</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14,014</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Tax credit carryforwards</w:t>
            </w:r>
          </w:p>
        </w:tc>
        <w:tc>
          <w:tcPr>
            <w:tcW w:w="96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6,788</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4,406</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4,324</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2,568</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52</w:t>
            </w:r>
          </w:p>
        </w:tc>
      </w:tr>
      <w:tr>
        <w:trPr>
          <w:trHeight w:val="196"/>
        </w:trPr>
        <w:tc>
          <w:tcPr>
            <w:tcW w:w="76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Gross deferred tax assets</w:t>
            </w:r>
          </w:p>
        </w:tc>
        <w:tc>
          <w:tcPr>
            <w:tcW w:w="9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58,107</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41,818</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(58,107 )</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(41,818 )</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deferred tax assets</w:t>
            </w:r>
          </w:p>
        </w:tc>
        <w:tc>
          <w:tcPr>
            <w:tcW w:w="960" w:type="dxa"/>
            <w:vAlign w:val="bottom"/>
            <w:tcBorders>
              <w:bottom w:val="single" w:sz="8" w:color="auto"/>
            </w:tcBorders>
            <w:shd w:val="clear" w:color="auto" w:fill="CFF0FC"/>
          </w:tcPr>
          <w:p>
            <w:pPr>
              <w:jc w:val="right"/>
              <w:ind w:right="756"/>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-25400</wp:posOffset>
            </wp:positionV>
            <wp:extent cx="1111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1111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7"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As of December 31, 2024, the Company had $81.3 million of federal and $166.3 million of state net operating loss available to offset future taxable income. The federal net operating loss carryforwards do not expire. The state net operating loss carryforwards begin to expire in 2037. The Company also has federal and California state research and development credits of $5.4 million and $1.8 million, respectively. The federal tax credit carryforwards will expire in 2041 if not utilized. The state tax credit carryforwards do not expire.</w:t>
      </w:r>
    </w:p>
    <w:p>
      <w:pPr>
        <w:spacing w:after="0" w:line="174"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Utilization of the net operating loss carryforwards is subject to an annual limitation due to the ownership change limitations provided by the Internal Revenue Code of 1986, as amended, and similar state provisions.</w:t>
      </w: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The Company is not currently in a taxable position and no net operating loss carryforwards or credits have been used to date.</w:t>
      </w:r>
    </w:p>
    <w:p>
      <w:pPr>
        <w:spacing w:after="0" w:line="17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of December 31, 2024 and 2023, the Company has unrecognized tax benefits of $2.1 million and $1.5 million, respectively. As of December 31, 2024, the total amount of unrecognized tax benefits would not affect the effective tax rate, if recognized, due to the valuation allowance that currently offsets deferred tax assets. The Company does not expect the unrecognized tax benefits to change significantly over the next 12 months. A reconciliation of the beginning and ending amount of unrecognized tax benefits for the years ended December 31, 2024 and 2023 was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8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beginning of year</w:t>
            </w:r>
          </w:p>
        </w:tc>
        <w:tc>
          <w:tcPr>
            <w:tcW w:w="1040" w:type="dxa"/>
            <w:vAlign w:val="bottom"/>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1,461</w:t>
            </w:r>
          </w:p>
        </w:tc>
        <w:tc>
          <w:tcPr>
            <w:tcW w:w="1320" w:type="dxa"/>
            <w:vAlign w:val="bottom"/>
            <w:gridSpan w:val="2"/>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783</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Additions related to current year positions</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622</w:t>
            </w:r>
          </w:p>
        </w:tc>
        <w:tc>
          <w:tcPr>
            <w:tcW w:w="3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678</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end of year</w:t>
            </w:r>
          </w:p>
        </w:tc>
        <w:tc>
          <w:tcPr>
            <w:tcW w:w="1040" w:type="dxa"/>
            <w:vAlign w:val="bottom"/>
            <w:tcBorders>
              <w:bottom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2,083</w:t>
            </w: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The Company recognizes interest and penalties related to unrecognized tax benefits within the income tax expense line in the statements of operations. Accrued interest and penalties are included within the related tax liability line in the balance sheet. No accrued interest and penalties have been recorded through December 31, 2024.</w:t>
      </w:r>
    </w:p>
    <w:p>
      <w:pPr>
        <w:spacing w:after="0" w:line="169"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The Company files income tax returns in the U.S. federal jurisdiction and California, Illinois, New York, South Carolina and Virginia state jurisdictions. The Company is not currently under audit by the Internal Revenue Service or other similar state or local authorities. Carryover attributes beginning December 31, 2020 and December 31, 2019, respectively, remain open to adjustment by the U.S. and state taxing authorities to which the Company is subject.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the basic and diluted net loss per share (in thousands, except for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182" w:lineRule="exact"/>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(51,321 )</w:t>
            </w:r>
          </w:p>
        </w:tc>
        <w:tc>
          <w:tcPr>
            <w:tcW w:w="54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(64,732 )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80" w:type="dxa"/>
            <w:vAlign w:val="bottom"/>
          </w:tcPr>
          <w:p>
            <w:pPr>
              <w:ind w:left="280"/>
              <w:spacing w:after="0" w:line="183" w:lineRule="exact"/>
              <w:rPr>
                <w:sz w:val="20"/>
                <w:szCs w:val="20"/>
                <w:color w:val="auto"/>
              </w:rPr>
            </w:pPr>
            <w:r>
              <w:rPr>
                <w:rFonts w:ascii="Arial" w:cs="Arial" w:eastAsia="Arial" w:hAnsi="Arial"/>
                <w:sz w:val="18"/>
                <w:szCs w:val="18"/>
                <w:color w:val="auto"/>
              </w:rPr>
              <w:t>Weighted-average common shares outstanding used to calculate net loss per share</w:t>
            </w:r>
          </w:p>
        </w:tc>
        <w:tc>
          <w:tcPr>
            <w:tcW w:w="380" w:type="dxa"/>
            <w:vAlign w:val="bottom"/>
          </w:tcPr>
          <w:p>
            <w:pPr>
              <w:spacing w:after="0"/>
              <w:rPr>
                <w:sz w:val="15"/>
                <w:szCs w:val="15"/>
                <w:color w:val="auto"/>
              </w:rPr>
            </w:pPr>
          </w:p>
        </w:tc>
        <w:tc>
          <w:tcPr>
            <w:tcW w:w="1320" w:type="dxa"/>
            <w:vAlign w:val="bottom"/>
            <w:vMerge w:val="restart"/>
          </w:tcPr>
          <w:p>
            <w:pPr>
              <w:jc w:val="right"/>
              <w:ind w:right="37"/>
              <w:spacing w:after="0"/>
              <w:rPr>
                <w:sz w:val="20"/>
                <w:szCs w:val="20"/>
                <w:color w:val="auto"/>
              </w:rPr>
            </w:pPr>
            <w:r>
              <w:rPr>
                <w:rFonts w:ascii="Arial" w:cs="Arial" w:eastAsia="Arial" w:hAnsi="Arial"/>
                <w:sz w:val="18"/>
                <w:szCs w:val="18"/>
                <w:color w:val="auto"/>
              </w:rPr>
              <w:t>29,828,227</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8"/>
                <w:szCs w:val="18"/>
                <w:color w:val="auto"/>
              </w:rPr>
              <w:t>23,600,107</w:t>
            </w:r>
          </w:p>
        </w:tc>
        <w:tc>
          <w:tcPr>
            <w:tcW w:w="0" w:type="dxa"/>
            <w:vAlign w:val="bottom"/>
          </w:tcPr>
          <w:p>
            <w:pPr>
              <w:spacing w:after="0"/>
              <w:rPr>
                <w:sz w:val="1"/>
                <w:szCs w:val="1"/>
                <w:color w:val="auto"/>
              </w:rPr>
            </w:pPr>
          </w:p>
        </w:tc>
      </w:tr>
      <w:tr>
        <w:trPr>
          <w:trHeight w:val="181"/>
        </w:trPr>
        <w:tc>
          <w:tcPr>
            <w:tcW w:w="7680" w:type="dxa"/>
            <w:vAlign w:val="bottom"/>
          </w:tcPr>
          <w:p>
            <w:pPr>
              <w:ind w:left="280"/>
              <w:spacing w:after="0" w:line="161" w:lineRule="exact"/>
              <w:rPr>
                <w:sz w:val="20"/>
                <w:szCs w:val="20"/>
                <w:color w:val="auto"/>
              </w:rPr>
            </w:pPr>
            <w:r>
              <w:rPr>
                <w:rFonts w:ascii="Arial" w:cs="Arial" w:eastAsia="Arial" w:hAnsi="Arial"/>
                <w:sz w:val="18"/>
                <w:szCs w:val="18"/>
                <w:color w:val="auto"/>
              </w:rPr>
              <w:t>attributable to common stockholders, basic and diluted</w:t>
            </w: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(1.72 )</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as the inclusion of all potential common shares outstanding would have been anti-dilutive. Potentially dilutive securities that were not included in the diluted per share calculations because they would be anti-dilutive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88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36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2023</w:t>
            </w:r>
          </w:p>
        </w:tc>
        <w:tc>
          <w:tcPr>
            <w:tcW w:w="1120" w:type="dxa"/>
            <w:vAlign w:val="bottom"/>
          </w:tcPr>
          <w:p>
            <w:pPr>
              <w:spacing w:after="0"/>
              <w:rPr>
                <w:sz w:val="13"/>
                <w:szCs w:val="13"/>
                <w:color w:val="auto"/>
              </w:rPr>
            </w:pPr>
          </w:p>
        </w:tc>
      </w:tr>
      <w:tr>
        <w:trPr>
          <w:trHeight w:val="196"/>
        </w:trPr>
        <w:tc>
          <w:tcPr>
            <w:tcW w:w="1140" w:type="dxa"/>
            <w:vAlign w:val="bottom"/>
          </w:tcPr>
          <w:p>
            <w:pPr>
              <w:spacing w:after="0"/>
              <w:rPr>
                <w:sz w:val="17"/>
                <w:szCs w:val="17"/>
                <w:color w:val="auto"/>
              </w:rPr>
            </w:pPr>
          </w:p>
        </w:tc>
        <w:tc>
          <w:tcPr>
            <w:tcW w:w="6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issued and outstanding</w:t>
            </w:r>
          </w:p>
        </w:tc>
        <w:tc>
          <w:tcPr>
            <w:tcW w:w="136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4,890,843</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3,930,306</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Unvested RSUs</w:t>
            </w:r>
          </w:p>
        </w:tc>
        <w:tc>
          <w:tcPr>
            <w:tcW w:w="13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516,511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6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Early exercised common stock subject to future vesting</w:t>
            </w:r>
          </w:p>
        </w:tc>
        <w:tc>
          <w:tcPr>
            <w:tcW w:w="1880" w:type="dxa"/>
            <w:vAlign w:val="bottom"/>
            <w:gridSpan w:val="3"/>
            <w:shd w:val="clear" w:color="auto" w:fill="CFF0FC"/>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5,040</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ESPP authorized for future issuance</w:t>
            </w:r>
          </w:p>
        </w:tc>
        <w:tc>
          <w:tcPr>
            <w:tcW w:w="13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563,731</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337,017</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61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FF0FC"/>
          </w:tcPr>
          <w:p>
            <w:pPr>
              <w:jc w:val="right"/>
              <w:ind w:right="15"/>
              <w:spacing w:after="0" w:line="182" w:lineRule="exact"/>
              <w:rPr>
                <w:sz w:val="20"/>
                <w:szCs w:val="20"/>
                <w:color w:val="auto"/>
              </w:rPr>
            </w:pPr>
            <w:r>
              <w:rPr>
                <w:rFonts w:ascii="Arial" w:cs="Arial" w:eastAsia="Arial" w:hAnsi="Arial"/>
                <w:sz w:val="18"/>
                <w:szCs w:val="18"/>
                <w:color w:val="auto"/>
              </w:rPr>
              <w:t>5,971,085</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4,272,363</w:t>
            </w:r>
          </w:p>
        </w:tc>
        <w:tc>
          <w:tcPr>
            <w:tcW w:w="1120" w:type="dxa"/>
            <w:vAlign w:val="bottom"/>
          </w:tcPr>
          <w:p>
            <w:pPr>
              <w:spacing w:after="0"/>
              <w:rPr>
                <w:sz w:val="20"/>
                <w:szCs w:val="20"/>
                <w:color w:val="auto"/>
              </w:rPr>
            </w:pPr>
          </w:p>
        </w:tc>
      </w:tr>
      <w:tr>
        <w:trPr>
          <w:trHeight w:val="416"/>
        </w:trPr>
        <w:tc>
          <w:tcPr>
            <w:tcW w:w="1140" w:type="dxa"/>
            <w:vAlign w:val="bottom"/>
          </w:tcPr>
          <w:p>
            <w:pPr>
              <w:spacing w:after="0"/>
              <w:rPr>
                <w:sz w:val="24"/>
                <w:szCs w:val="24"/>
                <w:color w:val="auto"/>
              </w:rPr>
            </w:pPr>
          </w:p>
        </w:tc>
        <w:tc>
          <w:tcPr>
            <w:tcW w:w="6140" w:type="dxa"/>
            <w:vAlign w:val="bottom"/>
          </w:tcPr>
          <w:p>
            <w:pPr>
              <w:ind w:left="4300"/>
              <w:spacing w:after="0"/>
              <w:rPr>
                <w:sz w:val="20"/>
                <w:szCs w:val="20"/>
                <w:color w:val="auto"/>
              </w:rPr>
            </w:pPr>
            <w:r>
              <w:rPr>
                <w:rFonts w:ascii="Arial" w:cs="Arial" w:eastAsia="Arial" w:hAnsi="Arial"/>
                <w:sz w:val="18"/>
                <w:szCs w:val="18"/>
                <w:color w:val="auto"/>
              </w:rPr>
              <w:t>F-24</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6"/>
        </w:trPr>
        <w:tc>
          <w:tcPr>
            <w:tcW w:w="11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-788035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-770890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Charges</w:t>
      </w:r>
    </w:p>
    <w:p>
      <w:pPr>
        <w:spacing w:after="0" w:line="104"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On August 8, 2024, the Company announced a reduction of approximately 50% of the Company's workforce, which was approved by the Board in connection with the Company’s planned restructuring following discontinuation of the EBO-301 study and to further extend the Company’s operating capital. In connection with the workforce reduction, the Company recognized severance and other charges of $2.2 million for the year ended December 31, 2024, primarily related to severance payments and other employee termination-related expenses. The severance and other charges were recorded to restructuring charges on the statements of operations and comprehensive loss. The workforce reduction was complete by the end of 2024. Cash payments for severance and other charges of $2.2 million were made in the year ended December 31, 2024.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Reporting</w:t>
      </w:r>
    </w:p>
    <w:p>
      <w:pPr>
        <w:spacing w:after="0" w:line="104"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The Company operates and manages its business as one reportable and operating segment. The determination of a single operating segment is consistent with the financial information regularly provided to the Company’s chief operating decision maker (the “CODM”). The CODM assesses performance for the single segment and decides how to allocate resources based on net loss that also is reported on the statements of operations and comprehensive loss. The monitoring of budgeted versus actual results are used in assessing performance of the segment, and making operating decisions, allocating resources, and planning and forecasting for future periods. The measure of segment assets is reported on the balance sheets as total assets.</w:t>
      </w:r>
    </w:p>
    <w:p>
      <w:pPr>
        <w:spacing w:after="0" w:line="179" w:lineRule="exact"/>
        <w:rPr>
          <w:sz w:val="20"/>
          <w:szCs w:val="20"/>
          <w:color w:val="auto"/>
        </w:rPr>
      </w:pPr>
    </w:p>
    <w:p>
      <w:pPr>
        <w:ind w:right="1260" w:firstLine="509"/>
        <w:spacing w:after="0" w:line="271" w:lineRule="auto"/>
        <w:rPr>
          <w:sz w:val="20"/>
          <w:szCs w:val="20"/>
          <w:color w:val="auto"/>
        </w:rPr>
      </w:pPr>
      <w:r>
        <w:rPr>
          <w:rFonts w:ascii="Arial" w:cs="Arial" w:eastAsia="Arial" w:hAnsi="Arial"/>
          <w:sz w:val="18"/>
          <w:szCs w:val="18"/>
          <w:color w:val="auto"/>
        </w:rPr>
        <w:t>In addition to the significant expense categories included within net loss presented on the statements of operations and comprehensive loss, see below for disaggregated amounts that comprise research and development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1480" w:type="dxa"/>
            <w:vAlign w:val="bottom"/>
          </w:tcPr>
          <w:p>
            <w:pPr>
              <w:spacing w:after="0"/>
              <w:rPr>
                <w:sz w:val="14"/>
                <w:szCs w:val="14"/>
                <w:color w:val="auto"/>
              </w:rPr>
            </w:pPr>
          </w:p>
        </w:tc>
      </w:tr>
      <w:tr>
        <w:trPr>
          <w:trHeight w:val="171"/>
        </w:trPr>
        <w:tc>
          <w:tcPr>
            <w:tcW w:w="69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Borders>
              <w:bottom w:val="single" w:sz="8" w:color="auto"/>
            </w:tcBorders>
          </w:tcPr>
          <w:p>
            <w:pPr>
              <w:spacing w:after="0"/>
              <w:rPr>
                <w:sz w:val="14"/>
                <w:szCs w:val="14"/>
                <w:color w:val="auto"/>
              </w:rPr>
            </w:pPr>
          </w:p>
        </w:tc>
      </w:tr>
      <w:tr>
        <w:trPr>
          <w:trHeight w:val="155"/>
        </w:trPr>
        <w:tc>
          <w:tcPr>
            <w:tcW w:w="6940" w:type="dxa"/>
            <w:vAlign w:val="bottom"/>
          </w:tcPr>
          <w:p>
            <w:pPr>
              <w:spacing w:after="0"/>
              <w:rPr>
                <w:sz w:val="13"/>
                <w:szCs w:val="13"/>
                <w:color w:val="auto"/>
              </w:rPr>
            </w:pPr>
          </w:p>
        </w:tc>
        <w:tc>
          <w:tcPr>
            <w:tcW w:w="126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833"/>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External research and development expenses:</w:t>
            </w:r>
          </w:p>
        </w:tc>
        <w:tc>
          <w:tcPr>
            <w:tcW w:w="1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Clinical trials expenses</w:t>
            </w:r>
          </w:p>
        </w:tc>
        <w:tc>
          <w:tcPr>
            <w:tcW w:w="1260" w:type="dxa"/>
            <w:vAlign w:val="bottom"/>
          </w:tcPr>
          <w:p>
            <w:pPr>
              <w:jc w:val="right"/>
              <w:ind w:right="1056"/>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15,626</w:t>
            </w:r>
          </w:p>
        </w:tc>
        <w:tc>
          <w:tcPr>
            <w:tcW w:w="7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21,200</w:t>
            </w: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Consulting and outside services</w:t>
            </w:r>
          </w:p>
        </w:tc>
        <w:tc>
          <w:tcPr>
            <w:tcW w:w="1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4,707</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4,770</w:t>
            </w: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 xml:space="preserve">Other external research and development </w:t>
            </w:r>
            <w:r>
              <w:rPr>
                <w:rFonts w:ascii="Arial" w:cs="Arial" w:eastAsia="Arial" w:hAnsi="Arial"/>
                <w:sz w:val="14"/>
                <w:szCs w:val="14"/>
                <w:color w:val="auto"/>
              </w:rPr>
              <w:t>(1)</w:t>
            </w: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6,911</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12,340</w:t>
            </w:r>
          </w:p>
        </w:tc>
      </w:tr>
      <w:tr>
        <w:trPr>
          <w:trHeight w:val="196"/>
        </w:trPr>
        <w:tc>
          <w:tcPr>
            <w:tcW w:w="6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external research and development expenses</w:t>
            </w:r>
          </w:p>
        </w:tc>
        <w:tc>
          <w:tcPr>
            <w:tcW w:w="1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27,244</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38,310</w:t>
            </w:r>
          </w:p>
        </w:tc>
      </w:tr>
      <w:tr>
        <w:trPr>
          <w:trHeight w:val="202"/>
        </w:trPr>
        <w:tc>
          <w:tcPr>
            <w:tcW w:w="6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Internal research and development expenses:</w:t>
            </w:r>
          </w:p>
        </w:tc>
        <w:tc>
          <w:tcPr>
            <w:tcW w:w="1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Personnel related expenses</w:t>
            </w: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13,244</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16,561</w:t>
            </w:r>
          </w:p>
        </w:tc>
      </w:tr>
      <w:tr>
        <w:trPr>
          <w:trHeight w:val="236"/>
        </w:trPr>
        <w:tc>
          <w:tcPr>
            <w:tcW w:w="69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research and development expenses</w:t>
            </w:r>
          </w:p>
        </w:tc>
        <w:tc>
          <w:tcPr>
            <w:tcW w:w="1260" w:type="dxa"/>
            <w:vAlign w:val="bottom"/>
            <w:tcBorders>
              <w:bottom w:val="single" w:sz="8" w:color="auto"/>
            </w:tcBorders>
            <w:shd w:val="clear" w:color="auto" w:fill="CFF0FC"/>
          </w:tcPr>
          <w:p>
            <w:pPr>
              <w:jc w:val="right"/>
              <w:ind w:right="1056"/>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40,488</w:t>
            </w:r>
          </w:p>
        </w:tc>
        <w:tc>
          <w:tcPr>
            <w:tcW w:w="760" w:type="dxa"/>
            <w:vAlign w:val="bottom"/>
            <w:tcBorders>
              <w:bottom w:val="single" w:sz="8" w:color="auto"/>
            </w:tcBorders>
            <w:gridSpan w:val="2"/>
            <w:shd w:val="clear" w:color="auto" w:fill="CFF0FC"/>
          </w:tcPr>
          <w:p>
            <w:pPr>
              <w:jc w:val="right"/>
              <w:ind w:right="460"/>
              <w:spacing w:after="0" w:line="18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54,871</w:t>
            </w:r>
          </w:p>
        </w:tc>
      </w:tr>
    </w:tbl>
    <w:p>
      <w:pPr>
        <w:spacing w:after="0" w:line="130" w:lineRule="exact"/>
        <w:rPr>
          <w:sz w:val="20"/>
          <w:szCs w:val="20"/>
          <w:color w:val="auto"/>
        </w:rPr>
      </w:pPr>
    </w:p>
    <w:p>
      <w:pPr>
        <w:ind w:left="5440" w:right="2840" w:hanging="5432"/>
        <w:spacing w:after="0" w:line="271" w:lineRule="auto"/>
        <w:tabs>
          <w:tab w:leader="none" w:pos="225" w:val="left"/>
        </w:tabs>
        <w:numPr>
          <w:ilvl w:val="0"/>
          <w:numId w:val="56"/>
        </w:numPr>
        <w:rPr>
          <w:rFonts w:ascii="Arial" w:cs="Arial" w:eastAsia="Arial" w:hAnsi="Arial"/>
          <w:sz w:val="14"/>
          <w:szCs w:val="14"/>
          <w:color w:val="auto"/>
        </w:rPr>
      </w:pPr>
      <w:r>
        <w:rPr>
          <w:rFonts w:ascii="Arial" w:cs="Arial" w:eastAsia="Arial" w:hAnsi="Arial"/>
          <w:sz w:val="18"/>
          <w:szCs w:val="18"/>
          <w:color w:val="auto"/>
        </w:rPr>
        <w:t>Chemistry manufacturing controls, research and preclinical studies and other miscellaneous expenses. 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10.17</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September 27, 2024</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Each member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who is not also serving as an employee of or consultant to AN2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any of its subsidiaries (each such member, an “</w:t>
      </w:r>
      <w:r>
        <w:rPr>
          <w:rFonts w:ascii="Arial" w:cs="Arial" w:eastAsia="Arial" w:hAnsi="Arial"/>
          <w:sz w:val="18"/>
          <w:szCs w:val="18"/>
          <w:b w:val="1"/>
          <w:bCs w:val="1"/>
          <w:i w:val="1"/>
          <w:iCs w:val="1"/>
          <w:color w:val="auto"/>
        </w:rPr>
        <w:t>Eligible Director</w:t>
      </w:r>
      <w:r>
        <w:rPr>
          <w:rFonts w:ascii="Arial" w:cs="Arial" w:eastAsia="Arial" w:hAnsi="Arial"/>
          <w:sz w:val="18"/>
          <w:szCs w:val="18"/>
          <w:color w:val="auto"/>
        </w:rPr>
        <w:t>”) will receive the compensation described in this Amended and Restated Non-Employee Director Compensation Policy for Board service effective as of the date first set forth above (the “</w:t>
      </w:r>
      <w:r>
        <w:rPr>
          <w:rFonts w:ascii="Arial" w:cs="Arial" w:eastAsia="Arial" w:hAnsi="Arial"/>
          <w:sz w:val="18"/>
          <w:szCs w:val="18"/>
          <w:b w:val="1"/>
          <w:bCs w:val="1"/>
          <w:i w:val="1"/>
          <w:i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An Eligible Director may decline all or any portion of their compensation by giving notice to the Company prior to the date cash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paid or equity awards are to be granted, as the case may be. This policy amends and restates the Non-Employee Director Compensation Policy previously adopted by the Board, is effective as of the Effective Date and may be amended at any time in the sole discretion of the Board or the Compensation Committee of the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Compensation</w:t>
      </w:r>
    </w:p>
    <w:p>
      <w:pPr>
        <w:spacing w:after="0" w:line="21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fees are vested upon payment.</w:t>
      </w:r>
    </w:p>
    <w:p>
      <w:pPr>
        <w:spacing w:after="0" w:line="176"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Annual Board Service Retainer</w:t>
      </w: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ind w:left="1560" w:hanging="403"/>
        <w:spacing w:after="0"/>
        <w:tabs>
          <w:tab w:leader="none" w:pos="15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Eligible Directors: $40,000</w:t>
      </w:r>
    </w:p>
    <w:p>
      <w:pPr>
        <w:spacing w:after="0" w:line="211" w:lineRule="exact"/>
        <w:rPr>
          <w:rFonts w:ascii="Arial" w:cs="Arial" w:eastAsia="Arial" w:hAnsi="Arial"/>
          <w:sz w:val="18"/>
          <w:szCs w:val="18"/>
          <w:color w:val="auto"/>
        </w:rPr>
      </w:pPr>
    </w:p>
    <w:p>
      <w:pPr>
        <w:ind w:left="1560" w:hanging="403"/>
        <w:spacing w:after="0"/>
        <w:tabs>
          <w:tab w:leader="none" w:pos="15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Non-Employee Chair of the Board: $30,000 (in addition to (a) above)</w:t>
      </w:r>
    </w:p>
    <w:p>
      <w:pPr>
        <w:spacing w:after="0" w:line="211" w:lineRule="exact"/>
        <w:rPr>
          <w:rFonts w:ascii="Arial" w:cs="Arial" w:eastAsia="Arial" w:hAnsi="Arial"/>
          <w:sz w:val="18"/>
          <w:szCs w:val="18"/>
          <w:color w:val="auto"/>
        </w:rPr>
      </w:pPr>
    </w:p>
    <w:p>
      <w:pPr>
        <w:ind w:left="1560" w:hanging="403"/>
        <w:spacing w:after="0"/>
        <w:tabs>
          <w:tab w:leader="none" w:pos="15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Lead Independent Director: $25,000 (in addition to (a) above)</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Annual Committee Chair Service Retainer</w:t>
      </w: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ind w:left="1560" w:hanging="403"/>
        <w:spacing w:after="0"/>
        <w:tabs>
          <w:tab w:leader="none" w:pos="15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Chair of the Audit Committee: $15,000</w:t>
      </w:r>
    </w:p>
    <w:p>
      <w:pPr>
        <w:spacing w:after="0" w:line="21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b.   Chair of the Compensation Committee: $15,000</w:t>
      </w:r>
    </w:p>
    <w:p>
      <w:pPr>
        <w:spacing w:after="0" w:line="212" w:lineRule="exact"/>
        <w:rPr>
          <w:sz w:val="20"/>
          <w:szCs w:val="20"/>
          <w:color w:val="auto"/>
        </w:rPr>
      </w:pPr>
    </w:p>
    <w:p>
      <w:pPr>
        <w:ind w:left="1560" w:hanging="403"/>
        <w:spacing w:after="0"/>
        <w:tabs>
          <w:tab w:leader="none" w:pos="15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Chair of the Nominating and Corporate Governance Committee: $8,000</w:t>
      </w:r>
    </w:p>
    <w:p>
      <w:pPr>
        <w:spacing w:after="0" w:line="211" w:lineRule="exact"/>
        <w:rPr>
          <w:rFonts w:ascii="Arial" w:cs="Arial" w:eastAsia="Arial" w:hAnsi="Arial"/>
          <w:sz w:val="18"/>
          <w:szCs w:val="18"/>
          <w:color w:val="auto"/>
        </w:rPr>
      </w:pPr>
    </w:p>
    <w:p>
      <w:pPr>
        <w:ind w:left="1500" w:right="3840" w:hanging="1118"/>
        <w:spacing w:after="0" w:line="492" w:lineRule="auto"/>
        <w:tabs>
          <w:tab w:leader="none" w:pos="801"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Annual Committee Member Service Retainer (not applicable to Committee Chairs)</w:t>
      </w:r>
      <w:r>
        <w:rPr>
          <w:rFonts w:ascii="Arial" w:cs="Arial" w:eastAsia="Arial" w:hAnsi="Arial"/>
          <w:sz w:val="18"/>
          <w:szCs w:val="18"/>
          <w:color w:val="auto"/>
        </w:rPr>
        <w:t>: a. Member of the Audit Committee: $7,500</w:t>
      </w:r>
    </w:p>
    <w:p>
      <w:pPr>
        <w:ind w:left="1560" w:hanging="403"/>
        <w:spacing w:after="0"/>
        <w:tabs>
          <w:tab w:leader="none" w:pos="15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Member of the Compensation Committee: $7,500</w:t>
      </w:r>
    </w:p>
    <w:p>
      <w:pPr>
        <w:spacing w:after="0" w:line="211" w:lineRule="exact"/>
        <w:rPr>
          <w:rFonts w:ascii="Arial" w:cs="Arial" w:eastAsia="Arial" w:hAnsi="Arial"/>
          <w:sz w:val="18"/>
          <w:szCs w:val="18"/>
          <w:color w:val="auto"/>
        </w:rPr>
      </w:pPr>
    </w:p>
    <w:p>
      <w:pPr>
        <w:ind w:left="1560" w:hanging="403"/>
        <w:spacing w:after="0"/>
        <w:tabs>
          <w:tab w:leader="none" w:pos="15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1565275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Equity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equity compensation set forth below will be granted under the Company’s 2022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12" w:lineRule="exact"/>
        <w:rPr>
          <w:sz w:val="20"/>
          <w:szCs w:val="20"/>
          <w:color w:val="auto"/>
        </w:rPr>
      </w:pPr>
    </w:p>
    <w:p>
      <w:pPr>
        <w:ind w:left="1140" w:hanging="383"/>
        <w:spacing w:after="0" w:line="259" w:lineRule="auto"/>
        <w:tabs>
          <w:tab w:leader="none" w:pos="114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Initial Grant</w:t>
      </w:r>
      <w:r>
        <w:rPr>
          <w:rFonts w:ascii="Arial" w:cs="Arial" w:eastAsia="Arial" w:hAnsi="Arial"/>
          <w:sz w:val="17"/>
          <w:szCs w:val="17"/>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number of stock options (“</w:t>
      </w:r>
      <w:r>
        <w:rPr>
          <w:rFonts w:ascii="Arial" w:cs="Arial" w:eastAsia="Arial" w:hAnsi="Arial"/>
          <w:sz w:val="17"/>
          <w:szCs w:val="17"/>
          <w:b w:val="1"/>
          <w:bCs w:val="1"/>
          <w:i w:val="1"/>
          <w:iCs w:val="1"/>
          <w:color w:val="auto"/>
        </w:rPr>
        <w:t>Option</w:t>
      </w:r>
      <w:r>
        <w:rPr>
          <w:rFonts w:ascii="Arial" w:cs="Arial" w:eastAsia="Arial" w:hAnsi="Arial"/>
          <w:sz w:val="17"/>
          <w:szCs w:val="17"/>
          <w:i w:val="1"/>
          <w:iCs w:val="1"/>
          <w:color w:val="auto"/>
        </w:rPr>
        <w:t>s</w:t>
      </w:r>
      <w:r>
        <w:rPr>
          <w:rFonts w:ascii="Arial" w:cs="Arial" w:eastAsia="Arial" w:hAnsi="Arial"/>
          <w:sz w:val="17"/>
          <w:szCs w:val="17"/>
          <w:color w:val="auto"/>
        </w:rPr>
        <w:t>”) with a grant-date value of $209,093 (the “</w:t>
      </w:r>
      <w:r>
        <w:rPr>
          <w:rFonts w:ascii="Arial" w:cs="Arial" w:eastAsia="Arial" w:hAnsi="Arial"/>
          <w:sz w:val="17"/>
          <w:szCs w:val="17"/>
          <w:b w:val="1"/>
          <w:bCs w:val="1"/>
          <w:i w:val="1"/>
          <w:i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Grant</w:t>
      </w:r>
      <w:r>
        <w:rPr>
          <w:rFonts w:ascii="Arial" w:cs="Arial" w:eastAsia="Arial" w:hAnsi="Arial"/>
          <w:sz w:val="17"/>
          <w:szCs w:val="17"/>
          <w:color w:val="auto"/>
        </w:rPr>
        <w:t>”). The Initial Grant Options will vest in substantially equal monthly installments through the first three years following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of grant, subject to the Eligible Director’s Continuous Service (as defined in the Plan) through such vesting date.</w:t>
      </w:r>
    </w:p>
    <w:p>
      <w:pPr>
        <w:spacing w:after="0" w:line="164" w:lineRule="exact"/>
        <w:rPr>
          <w:rFonts w:ascii="Times New Roman" w:cs="Times New Roman" w:eastAsia="Times New Roman" w:hAnsi="Times New Roman"/>
          <w:sz w:val="17"/>
          <w:szCs w:val="17"/>
          <w:color w:val="auto"/>
        </w:rPr>
      </w:pPr>
    </w:p>
    <w:p>
      <w:pPr>
        <w:ind w:left="1140" w:right="100" w:hanging="383"/>
        <w:spacing w:after="0" w:line="239" w:lineRule="auto"/>
        <w:tabs>
          <w:tab w:leader="none" w:pos="114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Annual Grants</w:t>
      </w:r>
      <w:r>
        <w:rPr>
          <w:rFonts w:ascii="Arial" w:cs="Arial" w:eastAsia="Arial" w:hAnsi="Arial"/>
          <w:sz w:val="18"/>
          <w:szCs w:val="18"/>
          <w:color w:val="auto"/>
        </w:rPr>
        <w:t>: On the date of each annual stockholder meeting of the Company held after the Effective Date, each Eligible Director who (x) has completed at least three months of Continuous Service as an Eligible Director as of the date of such annual stockholder meeting and (y) continues to serve as a non-employee member of the Board following such stockholder meeting will be automatically, and without further action by the Board or the Compensation Committee of the Board, granted Options with a grant-date value of $104,546 (the “</w:t>
      </w:r>
      <w:r>
        <w:rPr>
          <w:rFonts w:ascii="Arial" w:cs="Arial" w:eastAsia="Arial" w:hAnsi="Arial"/>
          <w:sz w:val="18"/>
          <w:szCs w:val="18"/>
          <w:b w:val="1"/>
          <w:bCs w:val="1"/>
          <w:i w:val="1"/>
          <w:iCs w:val="1"/>
          <w:color w:val="auto"/>
        </w:rPr>
        <w:t>Annual Grant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 Eligible Director who received an Initial Grant at least three, but less than six, months prior to the annual stockholder meeting date, such Eligible Director will be granted Options with a grant-date value of $52,273. The Annual Grant Options will vest in full on the earlier of (x) the one-year anniversary of the date of grant or (y) the day prior to the date of the Company’s next annual stockholder meeting, subject to the Eligible Director’s Continuous Service through such vesting date.</w:t>
      </w:r>
    </w:p>
    <w:p>
      <w:pPr>
        <w:spacing w:after="0" w:line="182"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Accelerated Vesting</w:t>
      </w:r>
      <w:r>
        <w:rPr>
          <w:rFonts w:ascii="Arial" w:cs="Arial" w:eastAsia="Arial" w:hAnsi="Arial"/>
          <w:sz w:val="18"/>
          <w:szCs w:val="18"/>
          <w:color w:val="auto"/>
        </w:rPr>
        <w:t>: Notwithstanding the foregoing, each Initial Grant and each Annual Grant will vest in full upon a Change in Control (as defined in the Plan) prior to termination of such Eligible Director’s Continuous Service.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Receive Restricted Stock Units (“RSUs”) In Lieu of Annual Retainers</w:t>
      </w:r>
    </w:p>
    <w:p>
      <w:pPr>
        <w:spacing w:after="0" w:line="200" w:lineRule="exact"/>
        <w:rPr>
          <w:sz w:val="20"/>
          <w:szCs w:val="20"/>
          <w:color w:val="auto"/>
        </w:rPr>
      </w:pPr>
    </w:p>
    <w:p>
      <w:pPr>
        <w:spacing w:after="0" w:line="201" w:lineRule="exact"/>
        <w:rPr>
          <w:sz w:val="20"/>
          <w:szCs w:val="20"/>
          <w:color w:val="auto"/>
        </w:rPr>
      </w:pPr>
    </w:p>
    <w:p>
      <w:pPr>
        <w:ind w:left="1680" w:right="360" w:hanging="1659"/>
        <w:spacing w:after="0"/>
        <w:tabs>
          <w:tab w:leader="none" w:pos="1660" w:val="left"/>
        </w:tabs>
        <w:rPr>
          <w:sz w:val="20"/>
          <w:szCs w:val="20"/>
          <w:color w:val="auto"/>
        </w:rPr>
      </w:pPr>
      <w:r>
        <w:rPr>
          <w:rFonts w:ascii="Arial" w:cs="Arial" w:eastAsia="Arial" w:hAnsi="Arial"/>
          <w:sz w:val="18"/>
          <w:szCs w:val="18"/>
          <w:b w:val="1"/>
          <w:bCs w:val="1"/>
          <w:color w:val="auto"/>
        </w:rPr>
        <w:t>General:</w:t>
      </w:r>
      <w:r>
        <w:rPr>
          <w:sz w:val="20"/>
          <w:szCs w:val="20"/>
          <w:color w:val="auto"/>
        </w:rPr>
        <w:tab/>
      </w:r>
      <w:r>
        <w:rPr>
          <w:rFonts w:ascii="Arial" w:cs="Arial" w:eastAsia="Arial" w:hAnsi="Arial"/>
          <w:sz w:val="18"/>
          <w:szCs w:val="18"/>
          <w:color w:val="auto"/>
        </w:rPr>
        <w:t>The Board or its Compensation Committee (the “</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may, in its discretion, provide Non-Employee Directors with the opportunity to elect to convert all or a portion of their annual retainers into awards of RSUs (“</w:t>
      </w:r>
      <w:r>
        <w:rPr>
          <w:rFonts w:ascii="Arial" w:cs="Arial" w:eastAsia="Arial" w:hAnsi="Arial"/>
          <w:sz w:val="18"/>
          <w:szCs w:val="18"/>
          <w:b w:val="1"/>
          <w:bCs w:val="1"/>
          <w:i w:val="1"/>
          <w:iCs w:val="1"/>
          <w:color w:val="auto"/>
        </w:rPr>
        <w:t>Retainer RSU Awards</w:t>
      </w:r>
      <w:r>
        <w:rPr>
          <w:rFonts w:ascii="Arial" w:cs="Arial" w:eastAsia="Arial" w:hAnsi="Arial"/>
          <w:sz w:val="18"/>
          <w:szCs w:val="18"/>
          <w:color w:val="auto"/>
        </w:rPr>
        <w:t>”) granted under the Plan or any other applicable Company equity incentive plan then-maintained by the Company, with each such Retainer RSU Award covering a number of shares of Common Stock calculated by dividing (i) the amount of the annual retainer that would have otherwise been paid to such Non-Employee Director on the applicable grant date by (ii) the average per share closing trading price of the Common Stock over the most recent 30 trading days as of the grant date (such election, a “</w:t>
      </w:r>
      <w:r>
        <w:rPr>
          <w:rFonts w:ascii="Arial" w:cs="Arial" w:eastAsia="Arial" w:hAnsi="Arial"/>
          <w:sz w:val="18"/>
          <w:szCs w:val="18"/>
          <w:b w:val="1"/>
          <w:bCs w:val="1"/>
          <w:i w:val="1"/>
          <w:iCs w:val="1"/>
          <w:color w:val="auto"/>
        </w:rPr>
        <w:t>Retainer RSU Election</w:t>
      </w:r>
      <w:r>
        <w:rPr>
          <w:rFonts w:ascii="Arial" w:cs="Arial" w:eastAsia="Arial" w:hAnsi="Arial"/>
          <w:sz w:val="18"/>
          <w:szCs w:val="18"/>
          <w:color w:val="auto"/>
        </w:rPr>
        <w:t>”), then multiplying the resulting number of shares by 1.1x.</w:t>
      </w:r>
    </w:p>
    <w:p>
      <w:pPr>
        <w:spacing w:after="0" w:line="167" w:lineRule="exact"/>
        <w:rPr>
          <w:sz w:val="20"/>
          <w:szCs w:val="20"/>
          <w:color w:val="auto"/>
        </w:rPr>
      </w:pPr>
    </w:p>
    <w:p>
      <w:pPr>
        <w:ind w:left="1680" w:right="620"/>
        <w:spacing w:after="0" w:line="253" w:lineRule="auto"/>
        <w:rPr>
          <w:sz w:val="20"/>
          <w:szCs w:val="20"/>
          <w:color w:val="auto"/>
        </w:rPr>
      </w:pPr>
      <w:r>
        <w:rPr>
          <w:rFonts w:ascii="Arial" w:cs="Arial" w:eastAsia="Arial" w:hAnsi="Arial"/>
          <w:sz w:val="18"/>
          <w:szCs w:val="18"/>
          <w:color w:val="auto"/>
        </w:rPr>
        <w:t>Each Retainer RSU Award automatically will be granted on the tenth day of the month immediately following the end of the quarter for which the corresponding portion of the annual retainer was earned. Each Retainer RSU Award will be fully vested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23" w:name="page124"/>
    <w:bookmarkEnd w:id="123"/>
    <w:p>
      <w:pPr>
        <w:ind w:left="1660" w:right="520" w:hanging="1633"/>
        <w:spacing w:after="0" w:line="247" w:lineRule="auto"/>
        <w:tabs>
          <w:tab w:leader="none" w:pos="1640" w:val="left"/>
        </w:tabs>
        <w:rPr>
          <w:sz w:val="20"/>
          <w:szCs w:val="20"/>
          <w:color w:val="auto"/>
        </w:rPr>
      </w:pPr>
      <w:r>
        <w:rPr>
          <w:rFonts w:ascii="Arial" w:cs="Arial" w:eastAsia="Arial" w:hAnsi="Arial"/>
          <w:sz w:val="18"/>
          <w:szCs w:val="18"/>
          <w:b w:val="1"/>
          <w:bCs w:val="1"/>
          <w:color w:val="auto"/>
        </w:rPr>
        <w:t>Election Method:</w:t>
      </w:r>
      <w:r>
        <w:rPr>
          <w:sz w:val="20"/>
          <w:szCs w:val="20"/>
          <w:color w:val="auto"/>
        </w:rPr>
        <w:tab/>
      </w:r>
      <w:r>
        <w:rPr>
          <w:rFonts w:ascii="Arial" w:cs="Arial" w:eastAsia="Arial" w:hAnsi="Arial"/>
          <w:sz w:val="18"/>
          <w:szCs w:val="18"/>
          <w:color w:val="auto"/>
        </w:rPr>
        <w:t>Each Retainer RSU Election must be submitted to the Company in the form and manner specified by the Board or the Compensation Committee. An individual who fails to make a timely Retainer RSU Election will not receive a Retainer RSU Award and instead will receive the applicable annual retainer in cash. Retainer RSU Elections must comply with the following timing requirements:</w:t>
      </w:r>
    </w:p>
    <w:p>
      <w:pPr>
        <w:spacing w:after="0" w:line="160" w:lineRule="exact"/>
        <w:rPr>
          <w:sz w:val="20"/>
          <w:szCs w:val="20"/>
          <w:color w:val="auto"/>
        </w:rPr>
      </w:pPr>
    </w:p>
    <w:p>
      <w:pPr>
        <w:jc w:val="both"/>
        <w:ind w:left="1660" w:right="240"/>
        <w:spacing w:after="0" w:line="264" w:lineRule="auto"/>
        <w:rPr>
          <w:sz w:val="20"/>
          <w:szCs w:val="20"/>
          <w:color w:val="auto"/>
        </w:rPr>
      </w:pPr>
      <w:r>
        <w:rPr>
          <w:rFonts w:ascii="Arial" w:cs="Arial" w:eastAsia="Arial" w:hAnsi="Arial"/>
          <w:sz w:val="17"/>
          <w:szCs w:val="17"/>
          <w:i w:val="1"/>
          <w:iCs w:val="1"/>
          <w:u w:val="single" w:color="auto"/>
          <w:color w:val="auto"/>
        </w:rPr>
        <w:t>Initial Election</w:t>
      </w:r>
      <w:r>
        <w:rPr>
          <w:rFonts w:ascii="Arial" w:cs="Arial" w:eastAsia="Arial" w:hAnsi="Arial"/>
          <w:sz w:val="17"/>
          <w:szCs w:val="17"/>
          <w:i w:val="1"/>
          <w:iCs w:val="1"/>
          <w:color w:val="auto"/>
        </w:rPr>
        <w:t xml:space="preserve">. </w:t>
      </w:r>
      <w:r>
        <w:rPr>
          <w:rFonts w:ascii="Arial" w:cs="Arial" w:eastAsia="Arial" w:hAnsi="Arial"/>
          <w:sz w:val="17"/>
          <w:szCs w:val="17"/>
          <w:color w:val="auto"/>
        </w:rPr>
        <w:t>Each individual who first becomes a Non-Employee Director may make a Retainer RSU Election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annual retainer payments scheduled to be paid in the same calendar year as such individual first becomes a Non -Employee Director (the “</w:t>
      </w:r>
      <w:r>
        <w:rPr>
          <w:rFonts w:ascii="Arial" w:cs="Arial" w:eastAsia="Arial" w:hAnsi="Arial"/>
          <w:sz w:val="17"/>
          <w:szCs w:val="17"/>
          <w:b w:val="1"/>
          <w:bCs w:val="1"/>
          <w:i w:val="1"/>
          <w:iCs w:val="1"/>
          <w:color w:val="auto"/>
        </w:rPr>
        <w:t>Initial Retainer RSU Election</w:t>
      </w:r>
      <w:r>
        <w:rPr>
          <w:rFonts w:ascii="Arial" w:cs="Arial" w:eastAsia="Arial" w:hAnsi="Arial"/>
          <w:sz w:val="17"/>
          <w:szCs w:val="17"/>
          <w:color w:val="auto"/>
        </w:rPr>
        <w:t>”). The Initial Retainer RSU Election must be submitted to the Company on or before the date that the individual first becomes a Non-Employee Director (the “</w:t>
      </w:r>
      <w:r>
        <w:rPr>
          <w:rFonts w:ascii="Arial" w:cs="Arial" w:eastAsia="Arial" w:hAnsi="Arial"/>
          <w:sz w:val="17"/>
          <w:szCs w:val="17"/>
          <w:b w:val="1"/>
          <w:bCs w:val="1"/>
          <w:i w:val="1"/>
          <w:iCs w:val="1"/>
          <w:color w:val="auto"/>
        </w:rPr>
        <w:t>Initial Election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Deadline</w:t>
      </w:r>
      <w:r>
        <w:rPr>
          <w:rFonts w:ascii="Arial" w:cs="Arial" w:eastAsia="Arial" w:hAnsi="Arial"/>
          <w:sz w:val="17"/>
          <w:szCs w:val="17"/>
          <w:color w:val="auto"/>
        </w:rPr>
        <w:t>”), and the Initial Retainer RSU Election will become final and irrevocable as of the Initial Election Deadline.</w:t>
      </w:r>
    </w:p>
    <w:p>
      <w:pPr>
        <w:spacing w:after="0" w:line="140" w:lineRule="exact"/>
        <w:rPr>
          <w:sz w:val="20"/>
          <w:szCs w:val="20"/>
          <w:color w:val="auto"/>
        </w:rPr>
      </w:pPr>
    </w:p>
    <w:p>
      <w:pPr>
        <w:ind w:left="1660" w:right="260"/>
        <w:spacing w:after="0" w:line="259" w:lineRule="auto"/>
        <w:rPr>
          <w:sz w:val="20"/>
          <w:szCs w:val="20"/>
          <w:color w:val="auto"/>
        </w:rPr>
      </w:pPr>
      <w:r>
        <w:rPr>
          <w:rFonts w:ascii="Arial" w:cs="Arial" w:eastAsia="Arial" w:hAnsi="Arial"/>
          <w:sz w:val="17"/>
          <w:szCs w:val="17"/>
          <w:i w:val="1"/>
          <w:iCs w:val="1"/>
          <w:u w:val="single" w:color="auto"/>
          <w:color w:val="auto"/>
        </w:rPr>
        <w:t>Annual Election</w:t>
      </w:r>
      <w:r>
        <w:rPr>
          <w:rFonts w:ascii="Arial" w:cs="Arial" w:eastAsia="Arial" w:hAnsi="Arial"/>
          <w:sz w:val="17"/>
          <w:szCs w:val="17"/>
          <w:i w:val="1"/>
          <w:iCs w:val="1"/>
          <w:color w:val="auto"/>
        </w:rPr>
        <w:t xml:space="preserve">. </w:t>
      </w:r>
      <w:r>
        <w:rPr>
          <w:rFonts w:ascii="Arial" w:cs="Arial" w:eastAsia="Arial" w:hAnsi="Arial"/>
          <w:sz w:val="17"/>
          <w:szCs w:val="17"/>
          <w:color w:val="auto"/>
        </w:rPr>
        <w:t>No later than December 31 of each calendar year, or such other deadline as may be established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or the Compensation Committee, in its discretion (the “</w:t>
      </w:r>
      <w:r>
        <w:rPr>
          <w:rFonts w:ascii="Arial" w:cs="Arial" w:eastAsia="Arial" w:hAnsi="Arial"/>
          <w:sz w:val="17"/>
          <w:szCs w:val="17"/>
          <w:b w:val="1"/>
          <w:bCs w:val="1"/>
          <w:i w:val="1"/>
          <w:iCs w:val="1"/>
          <w:color w:val="auto"/>
        </w:rPr>
        <w:t>Annual Election Deadline</w:t>
      </w:r>
      <w:r>
        <w:rPr>
          <w:rFonts w:ascii="Arial" w:cs="Arial" w:eastAsia="Arial" w:hAnsi="Arial"/>
          <w:sz w:val="17"/>
          <w:szCs w:val="17"/>
          <w:color w:val="auto"/>
        </w:rPr>
        <w:t>”), each individual who is a Non-Employee Director as of immediately before the Annual Election Deadline may make a Retainer RSU Election with respect to the annual retainer relating to services to be performed in the following calendar year (the “</w:t>
      </w:r>
      <w:r>
        <w:rPr>
          <w:rFonts w:ascii="Arial" w:cs="Arial" w:eastAsia="Arial" w:hAnsi="Arial"/>
          <w:sz w:val="17"/>
          <w:szCs w:val="17"/>
          <w:b w:val="1"/>
          <w:bCs w:val="1"/>
          <w:i w:val="1"/>
          <w:iCs w:val="1"/>
          <w:color w:val="auto"/>
        </w:rPr>
        <w:t>Annual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Retainer RSU Election</w:t>
      </w:r>
      <w:r>
        <w:rPr>
          <w:rFonts w:ascii="Arial" w:cs="Arial" w:eastAsia="Arial" w:hAnsi="Arial"/>
          <w:sz w:val="17"/>
          <w:szCs w:val="17"/>
          <w:color w:val="auto"/>
        </w:rPr>
        <w:t>”). The Annual Retainer RSU Election must be submitted to the Company on or before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Annual Election Deadline and will become effective and irrevocable as of the Annual Election Deadline.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Defer Issuances</w:t>
      </w:r>
    </w:p>
    <w:p>
      <w:pPr>
        <w:spacing w:after="0" w:line="198" w:lineRule="exact"/>
        <w:rPr>
          <w:sz w:val="20"/>
          <w:szCs w:val="20"/>
          <w:color w:val="auto"/>
        </w:rPr>
      </w:pPr>
    </w:p>
    <w:p>
      <w:pPr>
        <w:ind w:left="1620" w:right="80" w:hanging="1599"/>
        <w:spacing w:after="0" w:line="238" w:lineRule="auto"/>
        <w:tabs>
          <w:tab w:leader="none" w:pos="1600" w:val="left"/>
        </w:tabs>
        <w:rPr>
          <w:sz w:val="20"/>
          <w:szCs w:val="20"/>
          <w:color w:val="auto"/>
        </w:rPr>
      </w:pPr>
      <w:r>
        <w:rPr>
          <w:rFonts w:ascii="Arial" w:cs="Arial" w:eastAsia="Arial" w:hAnsi="Arial"/>
          <w:sz w:val="18"/>
          <w:szCs w:val="18"/>
          <w:b w:val="1"/>
          <w:bCs w:val="1"/>
          <w:color w:val="auto"/>
        </w:rPr>
        <w:t>General:</w:t>
      </w:r>
      <w:r>
        <w:rPr>
          <w:sz w:val="20"/>
          <w:szCs w:val="20"/>
          <w:color w:val="auto"/>
        </w:rPr>
        <w:tab/>
      </w:r>
      <w:r>
        <w:rPr>
          <w:rFonts w:ascii="Arial" w:cs="Arial" w:eastAsia="Arial" w:hAnsi="Arial"/>
          <w:sz w:val="18"/>
          <w:szCs w:val="18"/>
          <w:color w:val="auto"/>
        </w:rPr>
        <w:t>Each Non-Employee Director shall have the opportunity to defer the issuance of the shares underlying RSUs granted under this Program (including, for clarity, Retainer RSUs, Initial RSU Awards, the IPO RSU Awards and Annual RSU Awards) that would otherwise be issued to the Non-Employee Director in connection with the vesting or grant of the RSUs (including, for clarity, the Retainer RSU Awards, Initial RSU Awards, the IPO RSU Awards and Annual RSU Awards) until the earliest of a fixed date properly elected by the Non-Employee Director, the Non-Employee Director’s Termination of Service or a Change in Control. Any such deferral election (“</w:t>
      </w:r>
      <w:r>
        <w:rPr>
          <w:rFonts w:ascii="Arial" w:cs="Arial" w:eastAsia="Arial" w:hAnsi="Arial"/>
          <w:sz w:val="18"/>
          <w:szCs w:val="18"/>
          <w:b w:val="1"/>
          <w:bCs w:val="1"/>
          <w:i w:val="1"/>
          <w:iCs w:val="1"/>
          <w:color w:val="auto"/>
        </w:rPr>
        <w:t>Deferral Election</w:t>
      </w:r>
      <w:r>
        <w:rPr>
          <w:rFonts w:ascii="Arial" w:cs="Arial" w:eastAsia="Arial" w:hAnsi="Arial"/>
          <w:sz w:val="18"/>
          <w:szCs w:val="18"/>
          <w:color w:val="auto"/>
        </w:rPr>
        <w:t>”) shall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If an individual elects to defer the delivery of the shares underlying RSUs granted under this Program, settlement of the deferred RSUs shall be made in accordance with the terms of the Deferral Election.</w:t>
      </w:r>
    </w:p>
    <w:p>
      <w:pPr>
        <w:spacing w:after="0" w:line="388"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8"/>
          <w:szCs w:val="18"/>
          <w:b w:val="1"/>
          <w:bCs w:val="1"/>
          <w:color w:val="auto"/>
        </w:rPr>
        <w:t>Election Method:</w:t>
      </w:r>
      <w:r>
        <w:rPr>
          <w:sz w:val="20"/>
          <w:szCs w:val="20"/>
          <w:color w:val="auto"/>
        </w:rPr>
        <w:tab/>
      </w:r>
      <w:r>
        <w:rPr>
          <w:rFonts w:ascii="Arial" w:cs="Arial" w:eastAsia="Arial" w:hAnsi="Arial"/>
          <w:sz w:val="17"/>
          <w:szCs w:val="17"/>
          <w:color w:val="auto"/>
        </w:rPr>
        <w:t>Each Deferral Election must be submitted to the Company in the form and manner specified by the Board or the</w:t>
      </w:r>
    </w:p>
    <w:p>
      <w:pPr>
        <w:spacing w:after="0" w:line="1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Compensation Committee. Deferral Elections must comply with the following timing requirements:</w:t>
      </w:r>
    </w:p>
    <w:p>
      <w:pPr>
        <w:spacing w:after="0" w:line="180" w:lineRule="exact"/>
        <w:rPr>
          <w:sz w:val="20"/>
          <w:szCs w:val="20"/>
          <w:color w:val="auto"/>
        </w:rPr>
      </w:pPr>
    </w:p>
    <w:p>
      <w:pPr>
        <w:ind w:left="1640"/>
        <w:spacing w:after="0" w:line="244" w:lineRule="auto"/>
        <w:rPr>
          <w:sz w:val="20"/>
          <w:szCs w:val="20"/>
          <w:color w:val="auto"/>
        </w:rPr>
      </w:pPr>
      <w:r>
        <w:rPr>
          <w:rFonts w:ascii="Arial" w:cs="Arial" w:eastAsia="Arial" w:hAnsi="Arial"/>
          <w:sz w:val="18"/>
          <w:szCs w:val="18"/>
          <w:u w:val="single" w:color="auto"/>
          <w:color w:val="auto"/>
        </w:rPr>
        <w:t>Initial Deferral Election</w:t>
      </w:r>
      <w:r>
        <w:rPr>
          <w:rFonts w:ascii="Arial" w:cs="Arial" w:eastAsia="Arial" w:hAnsi="Arial"/>
          <w:sz w:val="18"/>
          <w:szCs w:val="18"/>
          <w:color w:val="auto"/>
        </w:rPr>
        <w:t>. Each individual who first becomes a Non-Employee Director may make a Deferral Election with respect to the Non-Employee Director’s RSUs to be granted in the same calendar year as such individual first becomes a Non-Employee Director (the “</w:t>
      </w:r>
      <w:r>
        <w:rPr>
          <w:rFonts w:ascii="Arial" w:cs="Arial" w:eastAsia="Arial" w:hAnsi="Arial"/>
          <w:sz w:val="18"/>
          <w:szCs w:val="18"/>
          <w:b w:val="1"/>
          <w:bCs w:val="1"/>
          <w:i w:val="1"/>
          <w:iCs w:val="1"/>
          <w:color w:val="auto"/>
        </w:rPr>
        <w:t>Initial Deferral Election</w:t>
      </w:r>
      <w:r>
        <w:rPr>
          <w:rFonts w:ascii="Arial" w:cs="Arial" w:eastAsia="Arial" w:hAnsi="Arial"/>
          <w:sz w:val="18"/>
          <w:szCs w:val="18"/>
          <w:color w:val="auto"/>
        </w:rPr>
        <w:t>”). The Initial Deferral Election must be submitted to the Company on or before the Initial Election Deadline, and the Initial Deferral Election shall become final and irrevocable as of the Initial Election Deadline.</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4" w:name="page125"/>
    <w:bookmarkEnd w:id="124"/>
    <w:p>
      <w:pPr>
        <w:ind w:left="1640" w:right="80"/>
        <w:spacing w:after="0" w:line="244" w:lineRule="auto"/>
        <w:rPr>
          <w:sz w:val="20"/>
          <w:szCs w:val="20"/>
          <w:color w:val="auto"/>
        </w:rPr>
      </w:pPr>
      <w:r>
        <w:rPr>
          <w:rFonts w:ascii="Arial" w:cs="Arial" w:eastAsia="Arial" w:hAnsi="Arial"/>
          <w:sz w:val="18"/>
          <w:szCs w:val="18"/>
          <w:u w:val="single" w:color="auto"/>
          <w:color w:val="auto"/>
        </w:rPr>
        <w:t>Annual Deferral Election</w:t>
      </w:r>
      <w:r>
        <w:rPr>
          <w:rFonts w:ascii="Arial" w:cs="Arial" w:eastAsia="Arial" w:hAnsi="Arial"/>
          <w:sz w:val="18"/>
          <w:szCs w:val="18"/>
          <w:color w:val="auto"/>
        </w:rPr>
        <w:t>. No later than the Annual Election Deadline, each individual who is a Non-Employee Director as of immediately before the Annual Election Deadline may make a Deferral Election with respect to the RSUs to be granted in the following calendar year (the “</w:t>
      </w:r>
      <w:r>
        <w:rPr>
          <w:rFonts w:ascii="Arial" w:cs="Arial" w:eastAsia="Arial" w:hAnsi="Arial"/>
          <w:sz w:val="18"/>
          <w:szCs w:val="18"/>
          <w:b w:val="1"/>
          <w:bCs w:val="1"/>
          <w:i w:val="1"/>
          <w:iCs w:val="1"/>
          <w:color w:val="auto"/>
        </w:rPr>
        <w:t>Annual Deferral Election</w:t>
      </w:r>
      <w:r>
        <w:rPr>
          <w:rFonts w:ascii="Arial" w:cs="Arial" w:eastAsia="Arial" w:hAnsi="Arial"/>
          <w:sz w:val="18"/>
          <w:szCs w:val="18"/>
          <w:color w:val="auto"/>
        </w:rPr>
        <w:t>”). The Annual Deferral Election must be submitted to the Company on or before the applicable Annual Election Deadline and shall become final and irrevocable for the subsequent calendar year as of the applicable Annual Election Deadline.</w:t>
      </w:r>
    </w:p>
    <w:p>
      <w:pPr>
        <w:spacing w:after="0" w:line="365"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No portion of an IPO RSU Award, Initial RSU Award or Annual RSU Award which is unvested at the time of a Non-Employee Director’s termination of service on the Board will become vested and exercisable thereafter.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The Company will reimburse Eligible Directors for ordinary, necessary and reasonable out-of-pocket travel expenses to cover in-person attendance at and participation in Board and committee meetings; </w:t>
      </w:r>
      <w:r>
        <w:rPr>
          <w:rFonts w:ascii="Arial" w:cs="Arial" w:eastAsia="Arial" w:hAnsi="Arial"/>
          <w:sz w:val="18"/>
          <w:szCs w:val="18"/>
          <w:u w:val="single" w:color="auto"/>
          <w:color w:val="auto"/>
        </w:rPr>
        <w:t>provided</w:t>
      </w:r>
      <w:r>
        <w:rPr>
          <w:rFonts w:ascii="Arial" w:cs="Arial" w:eastAsia="Arial" w:hAnsi="Arial"/>
          <w:sz w:val="18"/>
          <w:szCs w:val="18"/>
          <w:color w:val="auto"/>
        </w:rPr>
        <w:t>, that the Eligible Director timely submit to the Company appropriate documentation substantiating such expenses in accordance with the Company’s travel and expense policy, as in effect from tim</w:t>
      </w:r>
      <w:r>
        <w:rPr>
          <w:rFonts w:ascii="Times New Roman" w:cs="Times New Roman" w:eastAsia="Times New Roman" w:hAnsi="Times New Roman"/>
          <w:sz w:val="19"/>
          <w:szCs w:val="19"/>
          <w:color w:val="auto"/>
        </w:rPr>
        <w: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time.</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PATENT LICENSE AGREEMENT</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Exclusive Patent License Agreement, effective as of October 10, 2023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is entered by and between the </w:t>
      </w:r>
      <w:r>
        <w:rPr>
          <w:rFonts w:ascii="Arial" w:cs="Arial" w:eastAsia="Arial" w:hAnsi="Arial"/>
          <w:sz w:val="18"/>
          <w:szCs w:val="18"/>
          <w:b w:val="1"/>
          <w:bCs w:val="1"/>
          <w:color w:val="auto"/>
        </w:rPr>
        <w:t>University of</w:t>
      </w:r>
      <w:r>
        <w:rPr>
          <w:rFonts w:ascii="Arial" w:cs="Arial" w:eastAsia="Arial" w:hAnsi="Arial"/>
          <w:sz w:val="18"/>
          <w:szCs w:val="18"/>
          <w:color w:val="auto"/>
        </w:rPr>
        <w:t xml:space="preserve"> </w:t>
      </w:r>
      <w:r>
        <w:rPr>
          <w:rFonts w:ascii="Arial" w:cs="Arial" w:eastAsia="Arial" w:hAnsi="Arial"/>
          <w:sz w:val="18"/>
          <w:szCs w:val="18"/>
          <w:b w:val="1"/>
          <w:bCs w:val="1"/>
          <w:color w:val="auto"/>
        </w:rPr>
        <w:t>Georgia Research Foundation, Inc.</w:t>
      </w:r>
      <w:r>
        <w:rPr>
          <w:rFonts w:ascii="Arial" w:cs="Arial" w:eastAsia="Arial" w:hAnsi="Arial"/>
          <w:sz w:val="18"/>
          <w:szCs w:val="18"/>
          <w:color w:val="auto"/>
        </w:rPr>
        <w:t>, a Georgia non-profit corporation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UGARF</w:t>
      </w:r>
      <w:r>
        <w:rPr>
          <w:rFonts w:ascii="Arial" w:cs="Arial" w:eastAsia="Arial" w:hAnsi="Arial"/>
          <w:sz w:val="18"/>
          <w:szCs w:val="18"/>
          <w:b w:val="1"/>
          <w:bCs w:val="1"/>
          <w:color w:val="auto"/>
        </w:rPr>
        <w:t>”)</w:t>
      </w:r>
      <w:r>
        <w:rPr>
          <w:rFonts w:ascii="Arial" w:cs="Arial" w:eastAsia="Arial" w:hAnsi="Arial"/>
          <w:sz w:val="18"/>
          <w:szCs w:val="18"/>
          <w:color w:val="auto"/>
        </w:rPr>
        <w:t>, and</w:t>
      </w:r>
      <w:r>
        <w:rPr>
          <w:rFonts w:ascii="Arial" w:cs="Arial" w:eastAsia="Arial" w:hAnsi="Arial"/>
          <w:sz w:val="18"/>
          <w:szCs w:val="18"/>
          <w:b w:val="1"/>
          <w:bCs w:val="1"/>
          <w:color w:val="auto"/>
        </w:rPr>
        <w:t xml:space="preserve"> AN2 Therapeutics,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having a principal place of business at 1800 El Camino Real, Suite D, Menlo Park, CA 94027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Licensee</w:t>
      </w:r>
      <w:r>
        <w:rPr>
          <w:rFonts w:ascii="Arial" w:cs="Arial" w:eastAsia="Arial" w:hAnsi="Arial"/>
          <w:sz w:val="18"/>
          <w:szCs w:val="18"/>
          <w:b w:val="1"/>
          <w:bCs w:val="1"/>
          <w:color w:val="auto"/>
        </w:rPr>
        <w:t>”)</w:t>
      </w:r>
      <w:r>
        <w:rPr>
          <w:rFonts w:ascii="Arial" w:cs="Arial" w:eastAsia="Arial" w:hAnsi="Arial"/>
          <w:sz w:val="18"/>
          <w:szCs w:val="18"/>
          <w:color w:val="auto"/>
        </w:rPr>
        <w:t>. UGARF and Licensee may each be referred to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or may together be referred to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60" w:lineRule="exact"/>
        <w:rPr>
          <w:sz w:val="20"/>
          <w:szCs w:val="20"/>
          <w:color w:val="auto"/>
        </w:rPr>
      </w:pPr>
    </w:p>
    <w:p>
      <w:pPr>
        <w:ind w:left="760" w:right="24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Wellcome Trust Limited as trustee of The Wellcome Trust (the “Trust”), Anacor Pharmaceuticals (“</w:t>
      </w:r>
      <w:r>
        <w:rPr>
          <w:rFonts w:ascii="Arial" w:cs="Arial" w:eastAsia="Arial" w:hAnsi="Arial"/>
          <w:sz w:val="18"/>
          <w:szCs w:val="18"/>
          <w:u w:val="single" w:color="auto"/>
          <w:color w:val="auto"/>
        </w:rPr>
        <w:t>Anacor</w:t>
      </w:r>
      <w:r>
        <w:rPr>
          <w:rFonts w:ascii="Arial" w:cs="Arial" w:eastAsia="Arial" w:hAnsi="Arial"/>
          <w:sz w:val="18"/>
          <w:szCs w:val="18"/>
          <w:color w:val="auto"/>
        </w:rPr>
        <w:t>”), and UGARF are parties to that Not-For-Profit Funding Agreement (Seeding Drug Discovery) dated October 15, 2014, as amended by the First Amendment dated February 20, 2017, the Notice and Amendment No. 2 dated April 17, 2020, the Third Amendment dated December 3, 2020, the Fourth Amendment dated April 21, 2021, and the Fifth Amendment dated on or about May 11, 2022 (collectively, with any additional future amendments, the “</w:t>
      </w:r>
      <w:r>
        <w:rPr>
          <w:rFonts w:ascii="Arial" w:cs="Arial" w:eastAsia="Arial" w:hAnsi="Arial"/>
          <w:sz w:val="18"/>
          <w:szCs w:val="18"/>
          <w:u w:val="single" w:color="auto"/>
          <w:color w:val="auto"/>
        </w:rPr>
        <w:t>Anacor License Agreement</w:t>
      </w:r>
      <w:r>
        <w:rPr>
          <w:rFonts w:ascii="Arial" w:cs="Arial" w:eastAsia="Arial" w:hAnsi="Arial"/>
          <w:sz w:val="18"/>
          <w:szCs w:val="18"/>
          <w:color w:val="auto"/>
        </w:rPr>
        <w:t>”). A true and complete copy of the Anacor License Agreement is attached hereto as Schedule 1.1. AN2 shall treat the Anacor License Agreement as UGARF Confidential Information.</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Pursuant to the Anacor License Agreement:</w:t>
      </w:r>
    </w:p>
    <w:p>
      <w:pPr>
        <w:spacing w:after="0" w:line="198" w:lineRule="exact"/>
        <w:rPr>
          <w:rFonts w:ascii="Arial" w:cs="Arial" w:eastAsia="Arial" w:hAnsi="Arial"/>
          <w:sz w:val="18"/>
          <w:szCs w:val="18"/>
          <w:color w:val="auto"/>
        </w:rPr>
      </w:pPr>
    </w:p>
    <w:p>
      <w:pPr>
        <w:ind w:left="1140" w:hanging="383"/>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Trust, Anacor, and UGARF funded and/or performed, and are continuing to fund and/or perform, certain research.</w:t>
      </w:r>
    </w:p>
    <w:p>
      <w:pPr>
        <w:spacing w:after="0" w:line="198" w:lineRule="exact"/>
        <w:rPr>
          <w:rFonts w:ascii="Arial" w:cs="Arial" w:eastAsia="Arial" w:hAnsi="Arial"/>
          <w:sz w:val="18"/>
          <w:szCs w:val="18"/>
          <w:color w:val="auto"/>
        </w:rPr>
      </w:pPr>
    </w:p>
    <w:p>
      <w:pPr>
        <w:ind w:left="1140" w:right="60" w:hanging="383"/>
        <w:spacing w:after="0" w:line="253"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Anacor is the owner of certain materials resulting from the research, including </w:t>
      </w:r>
      <w:r>
        <w:rPr>
          <w:rFonts w:ascii="Arial" w:cs="Arial" w:eastAsia="Arial" w:hAnsi="Arial"/>
          <w:sz w:val="18"/>
          <w:szCs w:val="18"/>
          <w:u w:val="single" w:color="auto"/>
          <w:color w:val="auto"/>
        </w:rPr>
        <w:t>Project Compounds</w:t>
      </w:r>
      <w:r>
        <w:rPr>
          <w:rFonts w:ascii="Arial" w:cs="Arial" w:eastAsia="Arial" w:hAnsi="Arial"/>
          <w:sz w:val="18"/>
          <w:szCs w:val="18"/>
          <w:color w:val="auto"/>
        </w:rPr>
        <w:t xml:space="preserve"> (as defined by the Anacor License Agreement) and intellectual property rights therein, which are included among </w:t>
      </w:r>
      <w:r>
        <w:rPr>
          <w:rFonts w:ascii="Arial" w:cs="Arial" w:eastAsia="Arial" w:hAnsi="Arial"/>
          <w:sz w:val="18"/>
          <w:szCs w:val="18"/>
          <w:u w:val="single" w:color="auto"/>
          <w:color w:val="auto"/>
        </w:rPr>
        <w:t>Project Intellectual Property</w:t>
      </w:r>
      <w:r>
        <w:rPr>
          <w:rFonts w:ascii="Arial" w:cs="Arial" w:eastAsia="Arial" w:hAnsi="Arial"/>
          <w:sz w:val="18"/>
          <w:szCs w:val="18"/>
          <w:color w:val="auto"/>
        </w:rPr>
        <w:t xml:space="preserve"> (as defined by the Anacor License Agreement).</w:t>
      </w:r>
    </w:p>
    <w:p>
      <w:pPr>
        <w:spacing w:after="0" w:line="155" w:lineRule="exact"/>
        <w:rPr>
          <w:rFonts w:ascii="Arial" w:cs="Arial" w:eastAsia="Arial" w:hAnsi="Arial"/>
          <w:sz w:val="18"/>
          <w:szCs w:val="18"/>
          <w:color w:val="auto"/>
        </w:rPr>
      </w:pPr>
    </w:p>
    <w:p>
      <w:pPr>
        <w:ind w:left="1140" w:right="320" w:hanging="383"/>
        <w:spacing w:after="0" w:line="253"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Trust, Anacor, and UGARF have agreed that UGARF is the </w:t>
      </w:r>
      <w:r>
        <w:rPr>
          <w:rFonts w:ascii="Arial" w:cs="Arial" w:eastAsia="Arial" w:hAnsi="Arial"/>
          <w:sz w:val="18"/>
          <w:szCs w:val="18"/>
          <w:u w:val="single" w:color="auto"/>
          <w:color w:val="auto"/>
        </w:rPr>
        <w:t>Exploiting Party</w:t>
      </w:r>
      <w:r>
        <w:rPr>
          <w:rFonts w:ascii="Arial" w:cs="Arial" w:eastAsia="Arial" w:hAnsi="Arial"/>
          <w:sz w:val="18"/>
          <w:szCs w:val="18"/>
          <w:color w:val="auto"/>
        </w:rPr>
        <w:t xml:space="preserve"> (as defined by the Anacor License Agreement) responsible for patent prosecution and maintenance, as well as commercialization, of Project Compounds and associated Project Intellectual Property.</w:t>
      </w:r>
    </w:p>
    <w:p>
      <w:pPr>
        <w:spacing w:after="0" w:line="155" w:lineRule="exact"/>
        <w:rPr>
          <w:rFonts w:ascii="Arial" w:cs="Arial" w:eastAsia="Arial" w:hAnsi="Arial"/>
          <w:sz w:val="18"/>
          <w:szCs w:val="18"/>
          <w:color w:val="auto"/>
        </w:rPr>
      </w:pPr>
    </w:p>
    <w:p>
      <w:pPr>
        <w:ind w:left="1140" w:right="140" w:hanging="383"/>
        <w:spacing w:after="0" w:line="242"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Anacor has granted to UGARF an exclusive, even as to Anacor (but subject to certain Anacor reserved rights), right and license to those Project Intellectual Property rights in and to Project Compounds with the right to sublicense the rights to have made, use, have used, have sold, offer to sell, import, Develop, have Developed, Manufacture, have Manufactured, Commercialize, have Commercialized, and otherwise exploit Project Compounds in Field B within the Territory and to otherwise exploit Project Compounds and Products in Field B within in the Territory (with each such capitalized term not defined in this Agreement having the meaning given to it by the Anacor License Agreement).</w:t>
      </w:r>
    </w:p>
    <w:p>
      <w:pPr>
        <w:spacing w:after="0" w:line="165" w:lineRule="exact"/>
        <w:rPr>
          <w:rFonts w:ascii="Arial" w:cs="Arial" w:eastAsia="Arial" w:hAnsi="Arial"/>
          <w:sz w:val="18"/>
          <w:szCs w:val="18"/>
          <w:color w:val="auto"/>
        </w:rPr>
      </w:pPr>
    </w:p>
    <w:p>
      <w:pPr>
        <w:ind w:left="1140" w:hanging="383"/>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any such sublicense, UGARF is required to flow certain terms to sublicensees, including Licensee herein.</w:t>
      </w:r>
    </w:p>
    <w:p>
      <w:pPr>
        <w:spacing w:after="0" w:line="198" w:lineRule="exact"/>
        <w:rPr>
          <w:rFonts w:ascii="Arial" w:cs="Arial" w:eastAsia="Arial" w:hAnsi="Arial"/>
          <w:sz w:val="18"/>
          <w:szCs w:val="18"/>
          <w:color w:val="auto"/>
        </w:rPr>
      </w:pPr>
    </w:p>
    <w:p>
      <w:pPr>
        <w:jc w:val="both"/>
        <w:ind w:left="760" w:right="320" w:hanging="378"/>
        <w:spacing w:after="0" w:line="253"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Licensed Patents that are the subject of this Agreement relate to the use of small molecule therapeutics for the treatment of Chagas disease, are designated by UGARF with the reference Case No. 2019-145 titled “Oxaborole Esters and Uses Thereof,” relate to Project Compounds, and are included within Project Intellectual Property.</w:t>
      </w:r>
    </w:p>
    <w:p>
      <w:pPr>
        <w:spacing w:after="0" w:line="155" w:lineRule="exact"/>
        <w:rPr>
          <w:rFonts w:ascii="Arial" w:cs="Arial" w:eastAsia="Arial" w:hAnsi="Arial"/>
          <w:sz w:val="18"/>
          <w:szCs w:val="18"/>
          <w:color w:val="auto"/>
        </w:rPr>
      </w:pPr>
    </w:p>
    <w:p>
      <w:pPr>
        <w:ind w:left="760" w:right="80" w:hanging="378"/>
        <w:spacing w:after="0" w:line="253"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UGARF desires to have the Licensed Patents commercialized, and Licensee wishes to obtain the right to use the Licensed Patents for commercial purposes and represents that it has the necessary expertise and has or will acquire the necessary resources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6" w:name="page127"/>
    <w:bookmarkEnd w:id="126"/>
    <w:p>
      <w:pPr>
        <w:ind w:right="480"/>
        <w:spacing w:after="0" w:line="271" w:lineRule="auto"/>
        <w:rPr>
          <w:sz w:val="20"/>
          <w:szCs w:val="20"/>
          <w:color w:val="auto"/>
        </w:rPr>
      </w:pPr>
      <w:r>
        <w:rPr>
          <w:rFonts w:ascii="Arial" w:cs="Arial" w:eastAsia="Arial" w:hAnsi="Arial"/>
          <w:sz w:val="18"/>
          <w:szCs w:val="18"/>
          <w:color w:val="auto"/>
        </w:rPr>
        <w:t>THEREFORE, in exchange for the mutual promises set out in this Agreement and other due and valuable consideration the receipt and sufficiency of which are hereby acknowledged, the Parties agree as follows.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1DEFINITIONS</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with respect to any entity, any person that, on the Effective Date or during the Term, controls, is controlled by, or is under the common control with such entity. For the purposes of this definition: (a) “</w:t>
      </w:r>
      <w:r>
        <w:rPr>
          <w:rFonts w:ascii="Arial" w:cs="Arial" w:eastAsia="Arial" w:hAnsi="Arial"/>
          <w:sz w:val="18"/>
          <w:szCs w:val="18"/>
          <w:u w:val="single" w:color="auto"/>
          <w:color w:val="auto"/>
        </w:rPr>
        <w:t>control</w:t>
      </w:r>
      <w:r>
        <w:rPr>
          <w:rFonts w:ascii="Arial" w:cs="Arial" w:eastAsia="Arial" w:hAnsi="Arial"/>
          <w:sz w:val="18"/>
          <w:szCs w:val="18"/>
          <w:color w:val="auto"/>
        </w:rPr>
        <w:t>” means (i) the possession, directly or indirectly, of the power to direct or cause the direction of the management or policies of an entity, whether through the ownership of voting securities or other ownership interest, by contract or otherwise or (ii) the ownership, directly or indirectly, of fifty percent (50%) or more of the voting securities or other ownership interest of the entity; and (b)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7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means any and all data, results, Know-How (as defined by the Anacor License Agreement), show how, software, plans, details of research work, discoveries, inventions, intended publications, intended or pending patent applications, designs, technical information, business plans, budgets and strategies, business or financial information, or other information in any medium and in any form, and any physical items, prototypes, compounds, samples, components, or other articles or Materials (as defined in the Anacor License Agreement) disclosed on or after the Effective Date by one Party to the other Party whether orally or in writing or in any other form; and without limiting the breadth of the foregoing UGARF’s Confidential Information specifically includes the Anacor License Agreement and its terms, this Agreement and its terms, as well as any and all other information that contains or makes reference to any one or more of the following: inventions; patent applications; intellectual property holdings or strategy; know-how; source code or software; data, biological or chemical materials; prototypes or devices; product development information and market efforts; financial information; sales information; Progress Reports; Royalty Reports; Sublicensee Fee Reports; customer, Sublicense, or Sublicensee information; business or legal arrangements; tax filings; and/or information related to actual or potential litigation.</w:t>
      </w:r>
    </w:p>
    <w:p>
      <w:pPr>
        <w:spacing w:after="0" w:line="1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b w:val="1"/>
          <w:bCs w:val="1"/>
          <w:color w:val="auto"/>
        </w:rPr>
        <w:t xml:space="preserve">“Contractor” </w:t>
      </w:r>
      <w:r>
        <w:rPr>
          <w:rFonts w:ascii="Arial" w:cs="Arial" w:eastAsia="Arial" w:hAnsi="Arial"/>
          <w:sz w:val="17"/>
          <w:szCs w:val="17"/>
          <w:color w:val="auto"/>
        </w:rPr>
        <w:t>means a third-party to which Licensee or a Sublicensee has granted Production Rights.</w:t>
      </w:r>
    </w:p>
    <w:p>
      <w:pPr>
        <w:spacing w:after="0" w:line="19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b w:val="1"/>
          <w:bCs w:val="1"/>
          <w:color w:val="auto"/>
        </w:rPr>
        <w:t xml:space="preserve">“Licensed Field” </w:t>
      </w:r>
      <w:r>
        <w:rPr>
          <w:rFonts w:ascii="Arial" w:cs="Arial" w:eastAsia="Arial" w:hAnsi="Arial"/>
          <w:sz w:val="17"/>
          <w:szCs w:val="17"/>
          <w:color w:val="auto"/>
        </w:rPr>
        <w:t>means the therapeutic, diagnostic, and prophylactic treatment of Chagas disease in humans or animals.</w:t>
      </w:r>
    </w:p>
    <w:p>
      <w:pPr>
        <w:spacing w:after="0" w:line="19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“Licensed Patent Expenses</w:t>
      </w:r>
      <w:r>
        <w:rPr>
          <w:rFonts w:ascii="Arial" w:cs="Arial" w:eastAsia="Arial" w:hAnsi="Arial"/>
          <w:sz w:val="18"/>
          <w:szCs w:val="18"/>
          <w:color w:val="auto"/>
        </w:rPr>
        <w:t>” means all costs incurred and/or paid by UGARF with respect to the filing, prosecution, maintenance, defense against interference, and/or extension of the term of Licensed Patents in the Licensed Patent Territory.</w:t>
      </w:r>
    </w:p>
    <w:p>
      <w:pPr>
        <w:spacing w:after="0" w:line="140"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Licensed Patents</w:t>
      </w:r>
      <w:r>
        <w:rPr>
          <w:rFonts w:ascii="Arial" w:cs="Arial" w:eastAsia="Arial" w:hAnsi="Arial"/>
          <w:sz w:val="18"/>
          <w:szCs w:val="18"/>
          <w:color w:val="auto"/>
        </w:rPr>
        <w:t xml:space="preserve">” means the issued patents and patent applications identified at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as well as any patents that issue therefrom.</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service, or process in the Licensed Field, the manufacture, use, and/or sale of which at the time of any such manufacture, use, delivery, and/or sale, absent the licenses granted under this Agreement, would infringe one or more Valid Claims.</w:t>
      </w:r>
    </w:p>
    <w:p>
      <w:pPr>
        <w:spacing w:after="0" w:line="155"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Licensed Product Sales”</w:t>
      </w:r>
      <w:r>
        <w:rPr>
          <w:rFonts w:ascii="Arial" w:cs="Arial" w:eastAsia="Arial" w:hAnsi="Arial"/>
          <w:sz w:val="18"/>
          <w:szCs w:val="18"/>
          <w:color w:val="auto"/>
        </w:rPr>
        <w:t xml:space="preserve"> means all accrued consideration received in exchange for the sale or other transfer of Licensed Products to a third-party </w:t>
      </w:r>
      <w:r>
        <w:rPr>
          <w:rFonts w:ascii="Arial" w:cs="Arial" w:eastAsia="Arial" w:hAnsi="Arial"/>
          <w:sz w:val="18"/>
          <w:szCs w:val="18"/>
          <w:u w:val="single" w:color="auto"/>
          <w:color w:val="auto"/>
        </w:rPr>
        <w:t>but does not include</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23"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“Licensed Patent Territory”</w:t>
      </w:r>
      <w:r>
        <w:rPr>
          <w:rFonts w:ascii="Arial" w:cs="Arial" w:eastAsia="Arial" w:hAnsi="Arial"/>
          <w:sz w:val="18"/>
          <w:szCs w:val="18"/>
          <w:color w:val="auto"/>
        </w:rPr>
        <w:t xml:space="preserve"> means, for each Licensed Patent, the territories in which there exists at least one Valid Claim of that Licensed Patent.</w:t>
      </w:r>
    </w:p>
    <w:p>
      <w:pPr>
        <w:spacing w:after="0" w:line="14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b w:val="1"/>
          <w:bCs w:val="1"/>
          <w:color w:val="auto"/>
        </w:rPr>
        <w:t xml:space="preserve">“Licensed Territory” </w:t>
      </w:r>
      <w:r>
        <w:rPr>
          <w:rFonts w:ascii="Arial" w:cs="Arial" w:eastAsia="Arial" w:hAnsi="Arial"/>
          <w:sz w:val="17"/>
          <w:szCs w:val="17"/>
          <w:color w:val="auto"/>
        </w:rPr>
        <w:t>means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7" w:name="page128"/>
    <w:bookmarkEnd w:id="127"/>
    <w:p>
      <w:pPr>
        <w:spacing w:after="0" w:line="24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“Production Rights”</w:t>
      </w:r>
      <w:r>
        <w:rPr>
          <w:rFonts w:ascii="Arial" w:cs="Arial" w:eastAsia="Arial" w:hAnsi="Arial"/>
          <w:sz w:val="18"/>
          <w:szCs w:val="18"/>
          <w:color w:val="auto"/>
        </w:rPr>
        <w:t xml:space="preserve"> means the limited right and license to practice one or more Licensed Patents, in the respective Licensed Patent Territory for the sole purposes of: (a) developing and/or manufacturing Licensed Products; and/or (b) transferring, delivering, importing, exporting and/or selling Licensed Products to only Licensee and/or Sublicensees but not to third-party purchasers; and/or (c) offering for sale and/or selling Licensed Products in the name of, and on behalf of, Licensee and/or Sublicensees.</w:t>
      </w:r>
    </w:p>
    <w:p>
      <w:pPr>
        <w:spacing w:after="0" w:line="16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“Production Rights Agreement”</w:t>
      </w:r>
      <w:r>
        <w:rPr>
          <w:rFonts w:ascii="Arial" w:cs="Arial" w:eastAsia="Arial" w:hAnsi="Arial"/>
          <w:sz w:val="18"/>
          <w:szCs w:val="18"/>
          <w:color w:val="auto"/>
        </w:rPr>
        <w:t xml:space="preserve"> means an agreement between Licensee or a Sublicensee, and a third-party, in which Licensee or Sublicensee grants to such third-party, either alone or with other rights, some or all Production Rights.</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“Sublicense”</w:t>
      </w:r>
      <w:r>
        <w:rPr>
          <w:rFonts w:ascii="Arial" w:cs="Arial" w:eastAsia="Arial" w:hAnsi="Arial"/>
          <w:sz w:val="18"/>
          <w:szCs w:val="18"/>
          <w:color w:val="auto"/>
        </w:rPr>
        <w:t xml:space="preserve"> means a sublicense between Licensee and a third-party in which Licensee grants to such third-party, either alone or with other rights, any or all of the rights to make, have made, use, import, export, offer for sale and sell Licensed Products in the third-party’s name.</w:t>
      </w:r>
    </w:p>
    <w:p>
      <w:pPr>
        <w:spacing w:after="0" w:line="15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“Sublicense Fee”</w:t>
      </w:r>
      <w:r>
        <w:rPr>
          <w:rFonts w:ascii="Arial" w:cs="Arial" w:eastAsia="Arial" w:hAnsi="Arial"/>
          <w:sz w:val="18"/>
          <w:szCs w:val="18"/>
          <w:color w:val="auto"/>
        </w:rPr>
        <w:t xml:space="preserve"> means any and all cash consideration and/or the value of any and all equity received by Licensee in exchange for the grant of a Sublicense, but excluding sales-based royalty payment amounts received by Licensee from any one or more Sublicensees based on and for the sale of Licensed Products. For clarity, investment by a Sublicensee in equity of Licensee as part of a larger bona fide financing transaction of at least twice the amount of equity purchased by such Sublicensee on the same terms as other purchasers of Licensee equity shall not be considered a Sublicensee Fee payment.</w:t>
      </w:r>
    </w:p>
    <w:p>
      <w:pPr>
        <w:spacing w:after="0" w:line="16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b w:val="1"/>
          <w:bCs w:val="1"/>
          <w:color w:val="auto"/>
        </w:rPr>
        <w:t xml:space="preserve">“Sublicensee” </w:t>
      </w:r>
      <w:r>
        <w:rPr>
          <w:rFonts w:ascii="Arial" w:cs="Arial" w:eastAsia="Arial" w:hAnsi="Arial"/>
          <w:sz w:val="17"/>
          <w:szCs w:val="17"/>
          <w:color w:val="auto"/>
        </w:rPr>
        <w:t>means a third-party to which Licensee has granted a Sublicense.</w:t>
      </w:r>
    </w:p>
    <w:p>
      <w:pPr>
        <w:spacing w:after="0" w:line="198"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in any (a) issued and unexpired patent included among the Licensed Patents, so long as such claim has not have been irrevocably abandoned or held invalid in an unappealable decision of a court or other authority of competent jurisdiction; and</w:t>
      </w:r>
    </w:p>
    <w:p>
      <w:pPr>
        <w:ind w:right="60" w:firstLine="8"/>
        <w:spacing w:after="0" w:line="242" w:lineRule="auto"/>
        <w:tabs>
          <w:tab w:leader="none" w:pos="2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 claim of a pending patent application included among the Licensed Patents that has been pending for no more than </w:t>
      </w:r>
      <w:r>
        <w:rPr>
          <w:rFonts w:ascii="Arial" w:cs="Arial" w:eastAsia="Arial" w:hAnsi="Arial"/>
          <w:sz w:val="18"/>
          <w:szCs w:val="18"/>
          <w:b w:val="1"/>
          <w:bCs w:val="1"/>
          <w:color w:val="auto"/>
        </w:rPr>
        <w:t>[***]</w:t>
      </w:r>
      <w:r>
        <w:rPr>
          <w:rFonts w:ascii="Arial" w:cs="Arial" w:eastAsia="Arial" w:hAnsi="Arial"/>
          <w:sz w:val="18"/>
          <w:szCs w:val="18"/>
          <w:color w:val="auto"/>
        </w:rPr>
        <w:t xml:space="preserve"> since its earliest priority date, which claim was filed in good faith and has not been abandoned or finally disallowed without the possibility of appeal or refiling of such application.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2GRANT OF LICENSE</w:t>
      </w:r>
    </w:p>
    <w:p>
      <w:pPr>
        <w:spacing w:after="0" w:line="19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Grant of Rights</w:t>
      </w:r>
      <w:r>
        <w:rPr>
          <w:rFonts w:ascii="Arial" w:cs="Arial" w:eastAsia="Arial" w:hAnsi="Arial"/>
          <w:sz w:val="18"/>
          <w:szCs w:val="18"/>
          <w:color w:val="auto"/>
        </w:rPr>
        <w:t>. Subject to the reservations, retained rights, payment obligations, and other terms of this Agreement, UGARF grants to Licensee the exclusive right and license in the Licensed Territory to practice each Licensed Patent in its Licensed Patent Territory only as necessary to make, use, import, offer for sale, and sell (including the right to commercialize) Licensed Products. The grant of rights in this Section 2.1 includes the right to Sublicense and grant Production Rights in accordance with Sections 2.2 and 2.3.</w:t>
      </w:r>
    </w:p>
    <w:p>
      <w:pPr>
        <w:spacing w:after="0" w:line="16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Production Rights.</w:t>
      </w:r>
      <w:r>
        <w:rPr>
          <w:rFonts w:ascii="Arial" w:cs="Arial" w:eastAsia="Arial" w:hAnsi="Arial"/>
          <w:sz w:val="18"/>
          <w:szCs w:val="18"/>
          <w:color w:val="auto"/>
        </w:rPr>
        <w:t xml:space="preserve"> Licensee may grant Production Rights to Contractors in Production Rights Agreements without UGARF’s prior approval. Licensee shall provide UGARF with a copy of each and every Production Rights Agreement that Licensee or any Sublicensee has in place with any Contractor within 15 days of its execution. Any copy may be redacted for confidential information of third-parties and other license rights with respect to other products and technology that are not Licensed Products. Licensee must include in every Production Rights Agreement all terms required in Sublicenses per Section 2.3 adjusted to requirements of Contractors under Production Rights Agreements. Licensee shall remain fully responsible to UGARF for those operations of each Contractor that are relevant to this Agreement as if such operations were carried out by Licensee. A breach by a Contractor of any terms required of Licensee or Contractor hereunder or otherwise by this Agreement shall be considered a breach of this Agreement by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28" w:name="page129"/>
    <w:bookmarkEnd w:id="128"/>
    <w:p>
      <w:pPr>
        <w:spacing w:after="0" w:line="24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Sublicensing.</w:t>
      </w:r>
      <w:r>
        <w:rPr>
          <w:rFonts w:ascii="Arial" w:cs="Arial" w:eastAsia="Arial" w:hAnsi="Arial"/>
          <w:sz w:val="18"/>
          <w:szCs w:val="18"/>
          <w:color w:val="auto"/>
        </w:rPr>
        <w:t xml:space="preserve"> UGARF grants to Licensee the right to enter into one or more Sublicenses having terms consistent with this Agreement, but Licensee may not grant to any Sublicensee the right to grant sub-sublicenses of any rights in or to Licensed Patents or Licensed Products except that Licensee may grant to any one or more Sublicensees the right of such Sublicensee to grant Production Rights to Contractors. Licensee must comply with all of the following requirements with respect to any and all Sublicenses.</w:t>
      </w:r>
    </w:p>
    <w:p>
      <w:pPr>
        <w:spacing w:after="0" w:line="160"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2.3.1</w:t>
      </w:r>
      <w:r>
        <w:rPr>
          <w:rFonts w:ascii="Arial" w:cs="Arial" w:eastAsia="Arial" w:hAnsi="Arial"/>
          <w:sz w:val="18"/>
          <w:szCs w:val="18"/>
          <w:u w:val="single" w:color="auto"/>
          <w:color w:val="auto"/>
        </w:rPr>
        <w:t>Copy of Sublicenses</w:t>
      </w:r>
      <w:r>
        <w:rPr>
          <w:rFonts w:ascii="Arial" w:cs="Arial" w:eastAsia="Arial" w:hAnsi="Arial"/>
          <w:sz w:val="18"/>
          <w:szCs w:val="18"/>
          <w:color w:val="auto"/>
        </w:rPr>
        <w:t xml:space="preserve">. Licensee shall provide UGARF with an unredacted copy of any Sublicense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after its execution sufficient for UGARF to verify compliance with the terms of the Agreement, including financial obligations, provided that the unredacted copy shall be maintained as confidential information of Licensee.</w:t>
      </w:r>
    </w:p>
    <w:p>
      <w:pPr>
        <w:spacing w:after="0" w:line="155" w:lineRule="exact"/>
        <w:rPr>
          <w:sz w:val="20"/>
          <w:szCs w:val="20"/>
          <w:color w:val="auto"/>
        </w:rPr>
      </w:pPr>
    </w:p>
    <w:p>
      <w:pPr>
        <w:jc w:val="both"/>
        <w:ind w:left="760" w:right="500"/>
        <w:spacing w:after="0" w:line="253" w:lineRule="auto"/>
        <w:rPr>
          <w:sz w:val="20"/>
          <w:szCs w:val="20"/>
          <w:color w:val="auto"/>
        </w:rPr>
      </w:pPr>
      <w:r>
        <w:rPr>
          <w:rFonts w:ascii="Arial" w:cs="Arial" w:eastAsia="Arial" w:hAnsi="Arial"/>
          <w:sz w:val="18"/>
          <w:szCs w:val="18"/>
          <w:color w:val="auto"/>
        </w:rPr>
        <w:t>2.3.2</w:t>
      </w:r>
      <w:r>
        <w:rPr>
          <w:rFonts w:ascii="Arial" w:cs="Arial" w:eastAsia="Arial" w:hAnsi="Arial"/>
          <w:sz w:val="18"/>
          <w:szCs w:val="18"/>
          <w:u w:val="single" w:color="auto"/>
          <w:color w:val="auto"/>
        </w:rPr>
        <w:t>Copy of Sublicense Payment Reports</w:t>
      </w:r>
      <w:r>
        <w:rPr>
          <w:rFonts w:ascii="Arial" w:cs="Arial" w:eastAsia="Arial" w:hAnsi="Arial"/>
          <w:sz w:val="18"/>
          <w:szCs w:val="18"/>
          <w:color w:val="auto"/>
        </w:rPr>
        <w:t>. Licensee shall provide UGARF with an unredacted copy of each report related to Licensed Patents and/or Licensed Products received by Licensee from each Sublicensee to the extent related to payments to UGARF pursuant to Article 4 hereunder.</w:t>
      </w:r>
    </w:p>
    <w:p>
      <w:pPr>
        <w:spacing w:after="0" w:line="155" w:lineRule="exact"/>
        <w:rPr>
          <w:sz w:val="20"/>
          <w:szCs w:val="20"/>
          <w:color w:val="auto"/>
        </w:rPr>
      </w:pPr>
    </w:p>
    <w:p>
      <w:pPr>
        <w:ind w:left="760" w:right="200"/>
        <w:spacing w:after="0" w:line="247" w:lineRule="auto"/>
        <w:rPr>
          <w:sz w:val="20"/>
          <w:szCs w:val="20"/>
          <w:color w:val="auto"/>
        </w:rPr>
      </w:pPr>
      <w:r>
        <w:rPr>
          <w:rFonts w:ascii="Arial" w:cs="Arial" w:eastAsia="Arial" w:hAnsi="Arial"/>
          <w:sz w:val="18"/>
          <w:szCs w:val="18"/>
          <w:color w:val="auto"/>
        </w:rPr>
        <w:t>2.3.3</w:t>
      </w:r>
      <w:r>
        <w:rPr>
          <w:rFonts w:ascii="Arial" w:cs="Arial" w:eastAsia="Arial" w:hAnsi="Arial"/>
          <w:sz w:val="18"/>
          <w:szCs w:val="18"/>
          <w:u w:val="single" w:color="auto"/>
          <w:color w:val="auto"/>
        </w:rPr>
        <w:t>Responsibility for Sublicensees</w:t>
      </w:r>
      <w:r>
        <w:rPr>
          <w:rFonts w:ascii="Arial" w:cs="Arial" w:eastAsia="Arial" w:hAnsi="Arial"/>
          <w:sz w:val="18"/>
          <w:szCs w:val="18"/>
          <w:color w:val="auto"/>
        </w:rPr>
        <w:t>. Licensee shall remain fully responsible to UGARF for those operations of each Sublicensee that are relevant to this Agreement as if such operations were carried out by Licensee. A breach by a Sublicensee of any terms required of the Sublicensee by this Agreement, or that Licensee is required to flow to Sublicensee in a Sublicense, shall be considered a breach of this Agreement by Licensee.</w:t>
      </w:r>
    </w:p>
    <w:p>
      <w:pPr>
        <w:spacing w:after="0" w:line="160"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2.3.4</w:t>
      </w:r>
      <w:r>
        <w:rPr>
          <w:rFonts w:ascii="Arial" w:cs="Arial" w:eastAsia="Arial" w:hAnsi="Arial"/>
          <w:sz w:val="18"/>
          <w:szCs w:val="18"/>
          <w:u w:val="single" w:color="auto"/>
          <w:color w:val="auto"/>
        </w:rPr>
        <w:t>Sublicensee Indemnification Obligation to UGARF</w:t>
      </w:r>
      <w:r>
        <w:rPr>
          <w:rFonts w:ascii="Arial" w:cs="Arial" w:eastAsia="Arial" w:hAnsi="Arial"/>
          <w:sz w:val="18"/>
          <w:szCs w:val="18"/>
          <w:color w:val="auto"/>
        </w:rPr>
        <w:t>. Licensee must include in each Sublicense a provision requiring the Sublicensee(s) to indemnify, defend, and hold UGARF and all Indemnitees (as defined in Section 9.4) harmless from and against claims and damages asserted or assessed against UGARF related to a Sublicensee’s operations to the same extent Licensee is so required.</w:t>
      </w:r>
    </w:p>
    <w:p>
      <w:pPr>
        <w:spacing w:after="0" w:line="160" w:lineRule="exact"/>
        <w:rPr>
          <w:sz w:val="20"/>
          <w:szCs w:val="20"/>
          <w:color w:val="auto"/>
        </w:rPr>
      </w:pPr>
    </w:p>
    <w:p>
      <w:pPr>
        <w:ind w:left="760" w:right="440"/>
        <w:spacing w:after="0" w:line="271" w:lineRule="auto"/>
        <w:rPr>
          <w:sz w:val="20"/>
          <w:szCs w:val="20"/>
          <w:color w:val="auto"/>
        </w:rPr>
      </w:pPr>
      <w:r>
        <w:rPr>
          <w:rFonts w:ascii="Arial" w:cs="Arial" w:eastAsia="Arial" w:hAnsi="Arial"/>
          <w:sz w:val="18"/>
          <w:szCs w:val="18"/>
          <w:color w:val="auto"/>
        </w:rPr>
        <w:t>2.3.5</w:t>
      </w:r>
      <w:r>
        <w:rPr>
          <w:rFonts w:ascii="Arial" w:cs="Arial" w:eastAsia="Arial" w:hAnsi="Arial"/>
          <w:sz w:val="18"/>
          <w:szCs w:val="18"/>
          <w:u w:val="single" w:color="auto"/>
          <w:color w:val="auto"/>
        </w:rPr>
        <w:t>Sublicensee Insurance Requirements</w:t>
      </w:r>
      <w:r>
        <w:rPr>
          <w:rFonts w:ascii="Arial" w:cs="Arial" w:eastAsia="Arial" w:hAnsi="Arial"/>
          <w:sz w:val="18"/>
          <w:szCs w:val="18"/>
          <w:color w:val="auto"/>
        </w:rPr>
        <w:t>. Licensee must include a provision in each Sublicense requiring the Sublicensee to maintain insurance coverage to materially same extent that Licensee is so required under this Agreement.</w:t>
      </w:r>
    </w:p>
    <w:p>
      <w:pPr>
        <w:spacing w:after="0" w:line="140"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2.3.6</w:t>
      </w:r>
      <w:r>
        <w:rPr>
          <w:rFonts w:ascii="Arial" w:cs="Arial" w:eastAsia="Arial" w:hAnsi="Arial"/>
          <w:sz w:val="18"/>
          <w:szCs w:val="18"/>
          <w:u w:val="single" w:color="auto"/>
          <w:color w:val="auto"/>
        </w:rPr>
        <w:t>Sublicense Audit Requirements</w:t>
      </w:r>
      <w:r>
        <w:rPr>
          <w:rFonts w:ascii="Arial" w:cs="Arial" w:eastAsia="Arial" w:hAnsi="Arial"/>
          <w:sz w:val="18"/>
          <w:szCs w:val="18"/>
          <w:color w:val="auto"/>
        </w:rPr>
        <w:t>. Licensee must include a provision in each Sublicense requiring the Sublicensee to permit access to, and the right for Licensee to conduct an inspection and audit of Sublicensee on behalf of UGARF upon prior written notice to Licensee, to the same extent Licensee is so required to make its facilities, books, and records, available to UGARF under this Agreement. To the extent that Licensee conducts such inspection and audit, UGARF shall be invited, under appropriate confidentiality obligations, to participate with Licensee in the conduct of such inspection and audit.</w:t>
      </w:r>
    </w:p>
    <w:p>
      <w:pPr>
        <w:spacing w:after="0" w:line="163" w:lineRule="exact"/>
        <w:rPr>
          <w:sz w:val="20"/>
          <w:szCs w:val="20"/>
          <w:color w:val="auto"/>
        </w:rPr>
      </w:pPr>
    </w:p>
    <w:p>
      <w:pPr>
        <w:ind w:left="760" w:right="180"/>
        <w:spacing w:after="0" w:line="244" w:lineRule="auto"/>
        <w:rPr>
          <w:sz w:val="20"/>
          <w:szCs w:val="20"/>
          <w:color w:val="auto"/>
        </w:rPr>
      </w:pPr>
      <w:r>
        <w:rPr>
          <w:rFonts w:ascii="Arial" w:cs="Arial" w:eastAsia="Arial" w:hAnsi="Arial"/>
          <w:sz w:val="18"/>
          <w:szCs w:val="18"/>
          <w:color w:val="auto"/>
        </w:rPr>
        <w:t>2.3.7</w:t>
      </w:r>
      <w:r>
        <w:rPr>
          <w:rFonts w:ascii="Arial" w:cs="Arial" w:eastAsia="Arial" w:hAnsi="Arial"/>
          <w:sz w:val="18"/>
          <w:szCs w:val="18"/>
          <w:u w:val="single" w:color="auto"/>
          <w:color w:val="auto"/>
        </w:rPr>
        <w:t>Required Anacor Terms</w:t>
      </w:r>
      <w:r>
        <w:rPr>
          <w:rFonts w:ascii="Arial" w:cs="Arial" w:eastAsia="Arial" w:hAnsi="Arial"/>
          <w:sz w:val="18"/>
          <w:szCs w:val="18"/>
          <w:color w:val="auto"/>
        </w:rPr>
        <w:t>. Licensee must include a provision in each Sublicense requiring that Anacor is a third-party beneficiary of the Sublicense with the right to enforce Licensee’s and the Sublicensee’s obligations to Anacor as are required of Licensee herein, including but not limited to those obligations to Anacor in Section 2.5. (Anacor Retained Rights); Sections 9.5.1. and 9.5.2. (Indemnification); Section 11.6.1 (Use of Names); Section11.6.2 (Press Release); Section 9.6 (Insurance); and Section 11.14 (Third-Party Beneficiary) of this Agreement.</w:t>
      </w:r>
    </w:p>
    <w:p>
      <w:pPr>
        <w:spacing w:after="0" w:line="16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UGARF Reservation of Rights.</w:t>
      </w:r>
      <w:r>
        <w:rPr>
          <w:rFonts w:ascii="Arial" w:cs="Arial" w:eastAsia="Arial" w:hAnsi="Arial"/>
          <w:sz w:val="18"/>
          <w:szCs w:val="18"/>
          <w:color w:val="auto"/>
        </w:rPr>
        <w:t xml:space="preserve"> The rights and licenses granted in this Article 2 are subject to a reserved non-exclusive, non-sublicensable, non-transferable right for UGARF to use Licensed Patents for the limited purposes of its own internal academic research and that of its academic collaborators including but not limited to the University of Georgia, provided that such research is not carried out in collaboration with or for the benefit of any commercial third-party. Rights not expressly granted to Licensee or reserved for UGARF, the University of Georgia, or any third-party hereunder are hereby reserved to UGARF.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9" w:name="page130"/>
    <w:bookmarkEnd w:id="129"/>
    <w:p>
      <w:pPr>
        <w:ind w:right="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Anacor Retained Rights.</w:t>
      </w:r>
      <w:r>
        <w:rPr>
          <w:rFonts w:ascii="Arial" w:cs="Arial" w:eastAsia="Arial" w:hAnsi="Arial"/>
          <w:sz w:val="18"/>
          <w:szCs w:val="18"/>
          <w:color w:val="auto"/>
        </w:rPr>
        <w:t xml:space="preserve"> Licensee acknowledges and agrees that the rights and licenses granted in this Article 2 are also subject to the following retained rights: (a) Anacor retains the right to make, have made, use, and import the Project Compound and Product and to use the Project Intellectual Property solely for all research and development purposes, excluding (i) the use of any Project Compound in any clinical trial directed to developing any Project Compound and (ii) commercializing or having commercialized any Project Compound, and (b) Anacor is free to use the Licensed Patent Rights for purposes other than those exclusively licensed to Exploiting Party under this Agreement. Notwithstanding anything to the contrary in this Agreement, nothing herein shall be deemed to prevent or restrict in any way the ability of Anacor or its Affiliates to conduct any activities in the Territory, which activities would be allowed under any safe harbor, research exemption, government, or executive declaration of urgent public health need, or similar right available in law or in equity if conducted by a Third Party.</w:t>
      </w:r>
    </w:p>
    <w:p>
      <w:pPr>
        <w:spacing w:after="0" w:line="16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Trust Reservation of Rights.</w:t>
      </w:r>
      <w:r>
        <w:rPr>
          <w:rFonts w:ascii="Arial" w:cs="Arial" w:eastAsia="Arial" w:hAnsi="Arial"/>
          <w:sz w:val="18"/>
          <w:szCs w:val="18"/>
          <w:color w:val="auto"/>
        </w:rPr>
        <w:t xml:space="preserve"> Licensee acknowledges and agrees that the rights and licenses granted in this Article 2 are further subject to the reserved rights for Trust to practice Licensed Patents for research, development, regulatory purposes.</w:t>
      </w:r>
    </w:p>
    <w:p>
      <w:pPr>
        <w:spacing w:after="0" w:line="14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b w:val="1"/>
          <w:bCs w:val="1"/>
          <w:color w:val="auto"/>
        </w:rPr>
        <w:t xml:space="preserve">Global Social Responsibility. </w:t>
      </w:r>
      <w:r>
        <w:rPr>
          <w:rFonts w:ascii="Arial" w:cs="Arial" w:eastAsia="Arial" w:hAnsi="Arial"/>
          <w:sz w:val="17"/>
          <w:szCs w:val="17"/>
          <w:color w:val="auto"/>
        </w:rPr>
        <w:t>In performing the activities contemplated under this Agreement, the Parties agree to take into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consideration the principle of “</w:t>
      </w:r>
      <w:r>
        <w:rPr>
          <w:rFonts w:ascii="Arial" w:cs="Arial" w:eastAsia="Arial" w:hAnsi="Arial"/>
          <w:sz w:val="18"/>
          <w:szCs w:val="18"/>
          <w:u w:val="single" w:color="auto"/>
          <w:color w:val="auto"/>
        </w:rPr>
        <w:t>Global Social Responsibility</w:t>
      </w:r>
      <w:r>
        <w:rPr>
          <w:rFonts w:ascii="Arial" w:cs="Arial" w:eastAsia="Arial" w:hAnsi="Arial"/>
          <w:sz w:val="18"/>
          <w:szCs w:val="18"/>
          <w:color w:val="auto"/>
        </w:rPr>
        <w:t>,” which is defined to mean facilitating the availability of Licensed Products in</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Developing Countries</w:t>
      </w:r>
      <w:r>
        <w:rPr>
          <w:rFonts w:ascii="Arial" w:cs="Arial" w:eastAsia="Arial" w:hAnsi="Arial"/>
          <w:sz w:val="18"/>
          <w:szCs w:val="18"/>
          <w:color w:val="auto"/>
        </w:rPr>
        <w:t>” in the Licensed Territory at locally affordable prices, under reasonable circumstances and terms to improve access to</w:t>
      </w:r>
    </w:p>
    <w:p>
      <w:pPr>
        <w:spacing w:after="0" w:line="235" w:lineRule="auto"/>
        <w:rPr>
          <w:sz w:val="20"/>
          <w:szCs w:val="20"/>
          <w:color w:val="auto"/>
        </w:rPr>
      </w:pPr>
      <w:r>
        <w:rPr>
          <w:rFonts w:ascii="Arial" w:cs="Arial" w:eastAsia="Arial" w:hAnsi="Arial"/>
          <w:sz w:val="18"/>
          <w:szCs w:val="18"/>
          <w:color w:val="auto"/>
        </w:rPr>
        <w:t>such Licensed Products in such countries. “</w:t>
      </w:r>
      <w:r>
        <w:rPr>
          <w:rFonts w:ascii="Arial" w:cs="Arial" w:eastAsia="Arial" w:hAnsi="Arial"/>
          <w:sz w:val="18"/>
          <w:szCs w:val="18"/>
          <w:u w:val="single" w:color="auto"/>
          <w:color w:val="auto"/>
        </w:rPr>
        <w:t>Developing Counties</w:t>
      </w:r>
      <w:r>
        <w:rPr>
          <w:rFonts w:ascii="Arial" w:cs="Arial" w:eastAsia="Arial" w:hAnsi="Arial"/>
          <w:sz w:val="18"/>
          <w:szCs w:val="18"/>
          <w:color w:val="auto"/>
        </w:rPr>
        <w:t>” is defined to mean those counties in the Licensed Territory that are listed</w:t>
      </w:r>
    </w:p>
    <w:p>
      <w:pPr>
        <w:spacing w:after="0" w:line="235" w:lineRule="auto"/>
        <w:rPr>
          <w:sz w:val="20"/>
          <w:szCs w:val="20"/>
          <w:color w:val="auto"/>
        </w:rPr>
      </w:pPr>
      <w:r>
        <w:rPr>
          <w:rFonts w:ascii="Arial" w:cs="Arial" w:eastAsia="Arial" w:hAnsi="Arial"/>
          <w:sz w:val="18"/>
          <w:szCs w:val="18"/>
          <w:color w:val="auto"/>
        </w:rPr>
        <w:t>by the World Bank as “</w:t>
      </w:r>
      <w:r>
        <w:rPr>
          <w:rFonts w:ascii="Arial" w:cs="Arial" w:eastAsia="Arial" w:hAnsi="Arial"/>
          <w:sz w:val="18"/>
          <w:szCs w:val="18"/>
          <w:u w:val="single" w:color="auto"/>
          <w:color w:val="auto"/>
        </w:rPr>
        <w:t>Low-Income Economies</w:t>
      </w:r>
      <w:r>
        <w:rPr>
          <w:rFonts w:ascii="Arial" w:cs="Arial" w:eastAsia="Arial" w:hAnsi="Arial"/>
          <w:sz w:val="18"/>
          <w:szCs w:val="18"/>
          <w:color w:val="auto"/>
        </w:rPr>
        <w:t>,” as such list may change from time to time. Solely by way of example, in support of a Party’s</w:t>
      </w:r>
    </w:p>
    <w:p>
      <w:pPr>
        <w:spacing w:after="0" w:line="235" w:lineRule="auto"/>
        <w:rPr>
          <w:sz w:val="20"/>
          <w:szCs w:val="20"/>
          <w:color w:val="auto"/>
        </w:rPr>
      </w:pPr>
      <w:r>
        <w:rPr>
          <w:rFonts w:ascii="Arial" w:cs="Arial" w:eastAsia="Arial" w:hAnsi="Arial"/>
          <w:sz w:val="18"/>
          <w:szCs w:val="18"/>
          <w:color w:val="auto"/>
        </w:rPr>
        <w:t>Global Social Responsibility the Parties may mutually agree to revise royalty rates, adjust fair market value, consider non-monetary</w:t>
      </w:r>
    </w:p>
    <w:p>
      <w:pPr>
        <w:spacing w:after="0"/>
        <w:rPr>
          <w:sz w:val="20"/>
          <w:szCs w:val="20"/>
          <w:color w:val="auto"/>
        </w:rPr>
      </w:pPr>
      <w:r>
        <w:rPr>
          <w:rFonts w:ascii="Arial" w:cs="Arial" w:eastAsia="Arial" w:hAnsi="Arial"/>
          <w:sz w:val="18"/>
          <w:szCs w:val="18"/>
          <w:color w:val="auto"/>
        </w:rPr>
        <w:t>consideration, and/or develop targeted patent strategies.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3DILIGENCE</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Reasonable Commercial Diligence.</w:t>
      </w:r>
      <w:r>
        <w:rPr>
          <w:rFonts w:ascii="Arial" w:cs="Arial" w:eastAsia="Arial" w:hAnsi="Arial"/>
          <w:sz w:val="18"/>
          <w:szCs w:val="18"/>
          <w:color w:val="auto"/>
        </w:rPr>
        <w:t xml:space="preserve"> Licensee shall use commercially reasonable efforts, directly and/or through operations of its Contractors and/or Sublicensees, to bring Licensed Products to market, and to create, supply, and service throughout each Licensed Patent Territory. Licensee’s failure to meet the requirements of this Section 3.1 is a material breach of this Agreement.</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Specific Diligence, Development, and Sales Requirements.</w:t>
      </w:r>
      <w:r>
        <w:rPr>
          <w:rFonts w:ascii="Arial" w:cs="Arial" w:eastAsia="Arial" w:hAnsi="Arial"/>
          <w:sz w:val="18"/>
          <w:szCs w:val="18"/>
          <w:color w:val="auto"/>
        </w:rPr>
        <w:t xml:space="preserve"> Licensee shall use commercially reasonable efforts to attain each development milestone event, sales milestone event, and all other milestone events, each of which is identified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Milestone</w:t>
      </w:r>
      <w:r>
        <w:rPr>
          <w:rFonts w:ascii="Arial" w:cs="Arial" w:eastAsia="Arial" w:hAnsi="Arial"/>
          <w:sz w:val="18"/>
          <w:szCs w:val="18"/>
          <w:color w:val="auto"/>
        </w:rPr>
        <w:t xml:space="preserve">”) on or before the corresponding deadline for each milestone specified. In the event that Licensee is unable to achieve a milestone event by the date specified, Licensee and UGARF shall meet and discuss the reason for such failure. In the event that UGARF and Licensee are unable to reach agreement on an adjustment or extension of the milestone event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failure date, then Licensee’s failure to meet any one or more Milestones by the applicable due date shall be a material breach of this Agreement.</w:t>
      </w:r>
    </w:p>
    <w:p>
      <w:pPr>
        <w:spacing w:after="0" w:line="1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Patent Marking.</w:t>
      </w:r>
      <w:r>
        <w:rPr>
          <w:rFonts w:ascii="Arial" w:cs="Arial" w:eastAsia="Arial" w:hAnsi="Arial"/>
          <w:sz w:val="18"/>
          <w:szCs w:val="18"/>
          <w:color w:val="auto"/>
        </w:rPr>
        <w:t xml:space="preserve"> Licensee and each Sublicensee shall place in a conspicuous location on all Licensed Products (or on their packaging and accompanying written materials where appropriate) a patent notice regarding the applicable Licensed Patents in accordance with applicable law.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4PAYMENTS</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Initial License Fee</w:t>
      </w:r>
      <w:r>
        <w:rPr>
          <w:rFonts w:ascii="Arial" w:cs="Arial" w:eastAsia="Arial" w:hAnsi="Arial"/>
          <w:sz w:val="18"/>
          <w:szCs w:val="18"/>
          <w:color w:val="auto"/>
        </w:rPr>
        <w:t xml:space="preserve">. As a condition to the rights granted in this Agreement, including Article 2, Licensee shall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Effective Date deliver to UGARF a non-refundable payment in the amount of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Initial License Fee</w:t>
      </w:r>
      <w:r>
        <w:rPr>
          <w:rFonts w:ascii="Arial" w:cs="Arial" w:eastAsia="Arial" w:hAnsi="Arial"/>
          <w:sz w:val="18"/>
          <w:szCs w:val="18"/>
          <w:color w:val="auto"/>
        </w:rPr>
        <w:t>”). This Agreement will terminate automatically without any additional notice required in the event that Licensee has not delivered to UGARF payment of the Initial License Fee by its due date. With its payment, Licensee shall indicate that this payment represents the Initial License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0" w:name="page131"/>
    <w:bookmarkEnd w:id="130"/>
    <w:p>
      <w:pPr>
        <w:ind w:right="60"/>
        <w:spacing w:after="0" w:line="25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License Maintenance Fees.</w:t>
      </w:r>
      <w:r>
        <w:rPr>
          <w:rFonts w:ascii="Arial" w:cs="Arial" w:eastAsia="Arial" w:hAnsi="Arial"/>
          <w:sz w:val="18"/>
          <w:szCs w:val="18"/>
          <w:color w:val="auto"/>
        </w:rPr>
        <w:t xml:space="preserve"> Each year, beginning </w:t>
      </w:r>
      <w:r>
        <w:rPr>
          <w:rFonts w:ascii="Arial" w:cs="Arial" w:eastAsia="Arial" w:hAnsi="Arial"/>
          <w:sz w:val="18"/>
          <w:szCs w:val="18"/>
          <w:b w:val="1"/>
          <w:bCs w:val="1"/>
          <w:color w:val="auto"/>
        </w:rPr>
        <w:t>[***]</w:t>
      </w:r>
      <w:r>
        <w:rPr>
          <w:rFonts w:ascii="Arial" w:cs="Arial" w:eastAsia="Arial" w:hAnsi="Arial"/>
          <w:sz w:val="18"/>
          <w:szCs w:val="18"/>
          <w:color w:val="auto"/>
        </w:rPr>
        <w:t xml:space="preserve"> and no later than each </w:t>
      </w:r>
      <w:r>
        <w:rPr>
          <w:rFonts w:ascii="Arial" w:cs="Arial" w:eastAsia="Arial" w:hAnsi="Arial"/>
          <w:sz w:val="18"/>
          <w:szCs w:val="18"/>
          <w:b w:val="1"/>
          <w:bCs w:val="1"/>
          <w:color w:val="auto"/>
        </w:rPr>
        <w:t>[***]</w:t>
      </w:r>
      <w:r>
        <w:rPr>
          <w:rFonts w:ascii="Arial" w:cs="Arial" w:eastAsia="Arial" w:hAnsi="Arial"/>
          <w:sz w:val="18"/>
          <w:szCs w:val="18"/>
          <w:color w:val="auto"/>
        </w:rPr>
        <w:t xml:space="preserve"> thereafter until initiation of the first clinical trial of the first Licensed Product, Licensee shall deliver to UGARF a non-refundable payment in the amount of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Maintenance Fee</w:t>
      </w:r>
      <w:r>
        <w:rPr>
          <w:rFonts w:ascii="Arial" w:cs="Arial" w:eastAsia="Arial" w:hAnsi="Arial"/>
          <w:sz w:val="18"/>
          <w:szCs w:val="18"/>
          <w:color w:val="auto"/>
        </w:rPr>
        <w:t>”). With each such payment, Licensee shall indicate that the payment represents a Maintenance Fee.</w:t>
      </w:r>
    </w:p>
    <w:p>
      <w:pPr>
        <w:spacing w:after="0" w:line="15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Milestone Fees.</w:t>
      </w:r>
      <w:r>
        <w:rPr>
          <w:rFonts w:ascii="Arial" w:cs="Arial" w:eastAsia="Arial" w:hAnsi="Arial"/>
          <w:sz w:val="18"/>
          <w:szCs w:val="18"/>
          <w:color w:val="auto"/>
        </w:rPr>
        <w:t xml:space="preserve"> Licensee shall deliver to UGARF each payment related to a Milestone as required by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Milestone</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w:t>
      </w:r>
      <w:r>
        <w:rPr>
          <w:rFonts w:ascii="Arial" w:cs="Arial" w:eastAsia="Arial" w:hAnsi="Arial"/>
          <w:sz w:val="18"/>
          <w:szCs w:val="18"/>
          <w:color w:val="auto"/>
        </w:rPr>
        <w:t xml:space="preserve">”)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close of the calendar quarter in which the corresponding Milestone was achieved or by any due date identified for such Milestone on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whichever is earlier. With each Milestone Fee payment, Licensee shall indicate the specific Milestone achieved. Each Milestone Fee payment shall be payable only once on the first achievement per product of the Milestone set forth on </w:t>
      </w:r>
      <w:r>
        <w:rPr>
          <w:rFonts w:ascii="Arial" w:cs="Arial" w:eastAsia="Arial" w:hAnsi="Arial"/>
          <w:sz w:val="18"/>
          <w:szCs w:val="18"/>
          <w:u w:val="single" w:color="auto"/>
          <w:color w:val="auto"/>
        </w:rPr>
        <w:t>Appendix B.</w:t>
      </w:r>
    </w:p>
    <w:p>
      <w:pPr>
        <w:spacing w:after="0" w:line="16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0A0A0A"/>
        </w:rPr>
        <w:t>Royalty Payments</w:t>
      </w:r>
      <w:r>
        <w:rPr>
          <w:rFonts w:ascii="Arial" w:cs="Arial" w:eastAsia="Arial" w:hAnsi="Arial"/>
          <w:sz w:val="18"/>
          <w:szCs w:val="18"/>
          <w:color w:val="0A0A0A"/>
        </w:rPr>
        <w:t>.</w:t>
      </w:r>
      <w:r>
        <w:rPr>
          <w:rFonts w:ascii="Arial" w:cs="Arial" w:eastAsia="Arial" w:hAnsi="Arial"/>
          <w:sz w:val="18"/>
          <w:szCs w:val="18"/>
          <w:color w:val="auto"/>
        </w:rPr>
        <w:t xml:space="preserve"> For each calendar quarter, Licensee shall deliver to UGARF a running royalty payment equal to </w:t>
      </w:r>
      <w:r>
        <w:rPr>
          <w:rFonts w:ascii="Arial" w:cs="Arial" w:eastAsia="Arial" w:hAnsi="Arial"/>
          <w:sz w:val="18"/>
          <w:szCs w:val="18"/>
          <w:b w:val="1"/>
          <w:bCs w:val="1"/>
          <w:color w:val="auto"/>
        </w:rPr>
        <w:t>[***]</w:t>
      </w:r>
      <w:r>
        <w:rPr>
          <w:rFonts w:ascii="Arial" w:cs="Arial" w:eastAsia="Arial" w:hAnsi="Arial"/>
          <w:sz w:val="18"/>
          <w:szCs w:val="18"/>
          <w:color w:val="auto"/>
        </w:rPr>
        <w:t xml:space="preserve"> of all Licensed Product Sales, subject to deductions for Stacked Royalties as permitted below, received directly by, or on behalf of, Licensee and all Sublicensees in such quarter (“</w:t>
      </w:r>
      <w:r>
        <w:rPr>
          <w:rFonts w:ascii="Arial" w:cs="Arial" w:eastAsia="Arial" w:hAnsi="Arial"/>
          <w:sz w:val="18"/>
          <w:szCs w:val="18"/>
          <w:u w:val="single" w:color="auto"/>
          <w:color w:val="auto"/>
        </w:rPr>
        <w:t>Royalty Payment</w:t>
      </w:r>
      <w:r>
        <w:rPr>
          <w:rFonts w:ascii="Arial" w:cs="Arial" w:eastAsia="Arial" w:hAnsi="Arial"/>
          <w:sz w:val="18"/>
          <w:szCs w:val="18"/>
          <w:color w:val="auto"/>
        </w:rPr>
        <w:t>”). Licensee shall deliver its quarterly Royalty Payment to UGARF for a particular calendar quarter no later than the corresponding Royalty Payment Due Date identified in the table below that immediately follows the close of such calendar quarter.</w:t>
      </w:r>
    </w:p>
    <w:p>
      <w:pPr>
        <w:spacing w:after="0" w:line="200" w:lineRule="exact"/>
        <w:rPr>
          <w:sz w:val="20"/>
          <w:szCs w:val="20"/>
          <w:color w:val="auto"/>
        </w:rPr>
      </w:pPr>
    </w:p>
    <w:p>
      <w:pPr>
        <w:spacing w:after="0" w:line="363" w:lineRule="exact"/>
        <w:rPr>
          <w:sz w:val="20"/>
          <w:szCs w:val="20"/>
          <w:color w:val="auto"/>
        </w:rPr>
      </w:pPr>
    </w:p>
    <w:tbl>
      <w:tblPr>
        <w:tblLayout w:type="fixed"/>
        <w:tblInd w:w="750" w:type="dxa"/>
        <w:tblCellMar>
          <w:top w:w="0" w:type="dxa"/>
          <w:left w:w="0" w:type="dxa"/>
          <w:bottom w:w="0" w:type="dxa"/>
          <w:right w:w="0" w:type="dxa"/>
        </w:tblCellMar>
      </w:tblPr>
      <w:tr>
        <w:trPr>
          <w:trHeight w:val="200"/>
        </w:trPr>
        <w:tc>
          <w:tcPr>
            <w:tcW w:w="3820" w:type="dxa"/>
            <w:vAlign w:val="bottom"/>
            <w:tcBorders>
              <w:top w:val="single" w:sz="8" w:color="auto"/>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Licensed Product Sales in the Calendar</w:t>
            </w:r>
          </w:p>
        </w:tc>
        <w:tc>
          <w:tcPr>
            <w:tcW w:w="3380" w:type="dxa"/>
            <w:vAlign w:val="bottom"/>
            <w:tcBorders>
              <w:top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Royalty Payment Due Date</w:t>
            </w:r>
          </w:p>
        </w:tc>
      </w:tr>
      <w:tr>
        <w:trPr>
          <w:trHeight w:val="238"/>
        </w:trPr>
        <w:tc>
          <w:tcPr>
            <w:tcW w:w="3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Quarter</w:t>
            </w:r>
          </w:p>
        </w:tc>
        <w:tc>
          <w:tcPr>
            <w:tcW w:w="3380" w:type="dxa"/>
            <w:vAlign w:val="bottom"/>
            <w:tcBorders>
              <w:bottom w:val="single" w:sz="8" w:color="auto"/>
              <w:right w:val="single" w:sz="8" w:color="auto"/>
            </w:tcBorders>
          </w:tcPr>
          <w:p>
            <w:pPr>
              <w:spacing w:after="0"/>
              <w:rPr>
                <w:sz w:val="20"/>
                <w:szCs w:val="20"/>
                <w:color w:val="auto"/>
              </w:rPr>
            </w:pPr>
          </w:p>
        </w:tc>
      </w:tr>
      <w:tr>
        <w:trPr>
          <w:trHeight w:val="179"/>
        </w:trPr>
        <w:tc>
          <w:tcPr>
            <w:tcW w:w="3820" w:type="dxa"/>
            <w:vAlign w:val="bottom"/>
            <w:tcBorders>
              <w:left w:val="single" w:sz="8" w:color="auto"/>
              <w:bottom w:val="single" w:sz="8" w:color="auto"/>
              <w:right w:val="single" w:sz="8" w:color="auto"/>
            </w:tcBorders>
          </w:tcPr>
          <w:p>
            <w:pPr>
              <w:ind w:left="120"/>
              <w:spacing w:after="0" w:line="179" w:lineRule="exact"/>
              <w:rPr>
                <w:sz w:val="20"/>
                <w:szCs w:val="20"/>
                <w:color w:val="auto"/>
              </w:rPr>
            </w:pPr>
            <w:r>
              <w:rPr>
                <w:rFonts w:ascii="Arial" w:cs="Arial" w:eastAsia="Arial" w:hAnsi="Arial"/>
                <w:sz w:val="18"/>
                <w:szCs w:val="18"/>
                <w:color w:val="auto"/>
              </w:rPr>
              <w:t>January 1 – March 31</w:t>
            </w:r>
          </w:p>
        </w:tc>
        <w:tc>
          <w:tcPr>
            <w:tcW w:w="3380" w:type="dxa"/>
            <w:vAlign w:val="bottom"/>
            <w:tcBorders>
              <w:bottom w:val="single" w:sz="8" w:color="auto"/>
              <w:right w:val="single" w:sz="8" w:color="auto"/>
            </w:tcBorders>
          </w:tcPr>
          <w:p>
            <w:pPr>
              <w:ind w:left="80"/>
              <w:spacing w:after="0" w:line="179" w:lineRule="exact"/>
              <w:rPr>
                <w:sz w:val="20"/>
                <w:szCs w:val="20"/>
                <w:color w:val="auto"/>
              </w:rPr>
            </w:pPr>
            <w:r>
              <w:rPr>
                <w:rFonts w:ascii="Arial" w:cs="Arial" w:eastAsia="Arial" w:hAnsi="Arial"/>
                <w:sz w:val="18"/>
                <w:szCs w:val="18"/>
                <w:b w:val="1"/>
                <w:bCs w:val="1"/>
                <w:color w:val="auto"/>
              </w:rPr>
              <w:t>[***]</w:t>
            </w:r>
          </w:p>
        </w:tc>
      </w:tr>
      <w:tr>
        <w:trPr>
          <w:trHeight w:val="196"/>
        </w:trPr>
        <w:tc>
          <w:tcPr>
            <w:tcW w:w="38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April 1 – June 30</w:t>
            </w:r>
          </w:p>
        </w:tc>
        <w:tc>
          <w:tcPr>
            <w:tcW w:w="33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38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July 1 – September 30</w:t>
            </w:r>
          </w:p>
        </w:tc>
        <w:tc>
          <w:tcPr>
            <w:tcW w:w="33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38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October 1 – December 31</w:t>
            </w:r>
          </w:p>
        </w:tc>
        <w:tc>
          <w:tcPr>
            <w:tcW w:w="33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18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However, the Parties acknowledge that, in order to offer to sell and/or sell a particular Licensed Product absent infringement of third-party patent rights, Licensee and/or Sublicensees may be required to license patent rights from third-parties (“</w:t>
      </w:r>
      <w:r>
        <w:rPr>
          <w:rFonts w:ascii="Arial" w:cs="Arial" w:eastAsia="Arial" w:hAnsi="Arial"/>
          <w:sz w:val="18"/>
          <w:szCs w:val="18"/>
          <w:u w:val="single" w:color="auto"/>
          <w:color w:val="auto"/>
        </w:rPr>
        <w:t>Third-Party Patent License</w:t>
      </w:r>
      <w:r>
        <w:rPr>
          <w:rFonts w:ascii="Arial" w:cs="Arial" w:eastAsia="Arial" w:hAnsi="Arial"/>
          <w:sz w:val="18"/>
          <w:szCs w:val="18"/>
          <w:color w:val="auto"/>
        </w:rPr>
        <w:t>”), and license of those patent rights may require Licensee and/or Sublicensee to pay royalties calculated as a percentage of Licensed Product sales to such third-parties (“</w:t>
      </w:r>
      <w:r>
        <w:rPr>
          <w:rFonts w:ascii="Arial" w:cs="Arial" w:eastAsia="Arial" w:hAnsi="Arial"/>
          <w:sz w:val="18"/>
          <w:szCs w:val="18"/>
          <w:u w:val="single" w:color="auto"/>
          <w:color w:val="auto"/>
        </w:rPr>
        <w:t>Stacked Royalties</w:t>
      </w:r>
      <w:r>
        <w:rPr>
          <w:rFonts w:ascii="Arial" w:cs="Arial" w:eastAsia="Arial" w:hAnsi="Arial"/>
          <w:sz w:val="18"/>
          <w:szCs w:val="18"/>
          <w:color w:val="auto"/>
        </w:rPr>
        <w:t xml:space="preserve">”). If, in any particular calendar quarter, one or more Third-Party Patent Licenses was required to enable Licensee and/or Sublicensees to offer for sale and/or sell any particular Licensed Product in such quarter without infringing third-party patent rights, then Licensee may deduct from the total Licensed Product Sales in such calendar quarter associated with such Licensed Product the amount of any Stacked Royalties paid by Licensee and/or Sublicensees for such quarter as consideration for those Third-Party Patent Licenses absent which the offer for sale or sale of such Licensed Product in the quarter would have infringed third-party patent rights; </w:t>
      </w:r>
      <w:r>
        <w:rPr>
          <w:rFonts w:ascii="Arial" w:cs="Arial" w:eastAsia="Arial" w:hAnsi="Arial"/>
          <w:sz w:val="18"/>
          <w:szCs w:val="18"/>
          <w:i w:val="1"/>
          <w:iCs w:val="1"/>
          <w:color w:val="auto"/>
        </w:rPr>
        <w:t xml:space="preserve">except that </w:t>
      </w:r>
      <w:r>
        <w:rPr>
          <w:rFonts w:ascii="Arial" w:cs="Arial" w:eastAsia="Arial" w:hAnsi="Arial"/>
          <w:sz w:val="18"/>
          <w:szCs w:val="18"/>
          <w:color w:val="auto"/>
        </w:rPr>
        <w:t>Stacked Royalties for a particular Licensed Product in any particular calendar quarter are capped at an amount equal to half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associated Licensed Product Sales for such Licensed Product in the calendar quarter, such that, as a result of the application of Stacked Royalties, Licensed Product Sales for a particular Licensed Product in a particular calendar quarter may never be reduced by more than </w:t>
      </w:r>
      <w:r>
        <w:rPr>
          <w:rFonts w:ascii="Arial" w:cs="Arial" w:eastAsia="Arial" w:hAnsi="Arial"/>
          <w:sz w:val="18"/>
          <w:szCs w:val="18"/>
          <w:b w:val="1"/>
          <w:bCs w:val="1"/>
          <w:color w:val="auto"/>
        </w:rPr>
        <w:t>[***]</w:t>
      </w:r>
      <w:r>
        <w:rPr>
          <w:rFonts w:ascii="Arial" w:cs="Arial" w:eastAsia="Arial" w:hAnsi="Arial"/>
          <w:sz w:val="18"/>
          <w:szCs w:val="18"/>
          <w:color w:val="auto"/>
        </w:rPr>
        <w:t xml:space="preserve"> (i.e., reduction floor of royalty to UGARF of not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for all applicable Stacked Royalties) for the purpose of computing the Royalty Payment due to UGARF associated with such Licensed Product Sales. In the event that Licensee intends to deduct any Stacked Royalties from any Licensed Product Sales in a particular calendar quarter, then in the Royalty Report for such quarter due per Section 5.2 Licensee shall identify the third-party patent payments associated with all such Stacked Royalties, as well as the third-parties from which they were licensed and the owner of the third-party rights (if different), providing sufficient detail to allow UGARF to confirm that the deduction of Stacked Royalties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1" w:name="page132"/>
    <w:bookmarkEnd w:id="131"/>
    <w:p>
      <w:pPr>
        <w:ind w:right="300"/>
        <w:spacing w:after="0" w:line="25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Sublicense Fee Payments.</w:t>
      </w:r>
      <w:r>
        <w:rPr>
          <w:rFonts w:ascii="Arial" w:cs="Arial" w:eastAsia="Arial" w:hAnsi="Arial"/>
          <w:sz w:val="18"/>
          <w:szCs w:val="18"/>
          <w:color w:val="auto"/>
        </w:rPr>
        <w:t xml:space="preserve"> No later than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calendar quarter in which Licensee receives any Sublicense Fee, Licensee shall deliver to UGARF a payment computed as a percentage of such Sublicense Fee as determined by the applicable Technology Development Stage per the table at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Sublicense Fee Payment</w:t>
      </w:r>
      <w:r>
        <w:rPr>
          <w:rFonts w:ascii="Arial" w:cs="Arial" w:eastAsia="Arial" w:hAnsi="Arial"/>
          <w:sz w:val="18"/>
          <w:szCs w:val="18"/>
          <w:color w:val="auto"/>
        </w:rPr>
        <w:t>”).</w:t>
      </w:r>
    </w:p>
    <w:p>
      <w:pPr>
        <w:spacing w:after="0" w:line="151" w:lineRule="exact"/>
        <w:rPr>
          <w:sz w:val="20"/>
          <w:szCs w:val="20"/>
          <w:color w:val="auto"/>
        </w:rPr>
      </w:pPr>
    </w:p>
    <w:tbl>
      <w:tblPr>
        <w:tblLayout w:type="fixed"/>
        <w:tblInd w:w="750" w:type="dxa"/>
        <w:tblCellMar>
          <w:top w:w="0" w:type="dxa"/>
          <w:left w:w="0" w:type="dxa"/>
          <w:bottom w:w="0" w:type="dxa"/>
          <w:right w:w="0" w:type="dxa"/>
        </w:tblCellMar>
      </w:tblPr>
      <w:tr>
        <w:trPr>
          <w:trHeight w:val="200"/>
        </w:trPr>
        <w:tc>
          <w:tcPr>
            <w:tcW w:w="3660" w:type="dxa"/>
            <w:vAlign w:val="bottom"/>
            <w:tcBorders>
              <w:top w:val="single" w:sz="8" w:color="auto"/>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Sublicense Fee Received in the</w:t>
            </w:r>
          </w:p>
        </w:tc>
        <w:tc>
          <w:tcPr>
            <w:tcW w:w="3540" w:type="dxa"/>
            <w:vAlign w:val="bottom"/>
            <w:tcBorders>
              <w:top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Sublicense Fee Payments Due Date</w:t>
            </w:r>
          </w:p>
        </w:tc>
      </w:tr>
      <w:tr>
        <w:trPr>
          <w:trHeight w:val="238"/>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Calendar Quarter</w:t>
            </w:r>
          </w:p>
        </w:tc>
        <w:tc>
          <w:tcPr>
            <w:tcW w:w="3540" w:type="dxa"/>
            <w:vAlign w:val="bottom"/>
            <w:tcBorders>
              <w:bottom w:val="single" w:sz="8" w:color="auto"/>
              <w:right w:val="single" w:sz="8" w:color="auto"/>
            </w:tcBorders>
          </w:tcPr>
          <w:p>
            <w:pPr>
              <w:spacing w:after="0"/>
              <w:rPr>
                <w:sz w:val="20"/>
                <w:szCs w:val="20"/>
                <w:color w:val="auto"/>
              </w:rPr>
            </w:pPr>
          </w:p>
        </w:tc>
      </w:tr>
      <w:tr>
        <w:trPr>
          <w:trHeight w:val="179"/>
        </w:trPr>
        <w:tc>
          <w:tcPr>
            <w:tcW w:w="3660" w:type="dxa"/>
            <w:vAlign w:val="bottom"/>
            <w:tcBorders>
              <w:left w:val="single" w:sz="8" w:color="auto"/>
              <w:bottom w:val="single" w:sz="8" w:color="auto"/>
              <w:right w:val="single" w:sz="8" w:color="auto"/>
            </w:tcBorders>
          </w:tcPr>
          <w:p>
            <w:pPr>
              <w:ind w:left="120"/>
              <w:spacing w:after="0" w:line="179" w:lineRule="exact"/>
              <w:rPr>
                <w:sz w:val="20"/>
                <w:szCs w:val="20"/>
                <w:color w:val="auto"/>
              </w:rPr>
            </w:pPr>
            <w:r>
              <w:rPr>
                <w:rFonts w:ascii="Arial" w:cs="Arial" w:eastAsia="Arial" w:hAnsi="Arial"/>
                <w:sz w:val="18"/>
                <w:szCs w:val="18"/>
                <w:color w:val="auto"/>
              </w:rPr>
              <w:t>January 1 – March 31</w:t>
            </w:r>
          </w:p>
        </w:tc>
        <w:tc>
          <w:tcPr>
            <w:tcW w:w="3540" w:type="dxa"/>
            <w:vAlign w:val="bottom"/>
            <w:tcBorders>
              <w:bottom w:val="single" w:sz="8" w:color="auto"/>
              <w:right w:val="single" w:sz="8" w:color="auto"/>
            </w:tcBorders>
          </w:tcPr>
          <w:p>
            <w:pPr>
              <w:ind w:left="80"/>
              <w:spacing w:after="0" w:line="179" w:lineRule="exact"/>
              <w:rPr>
                <w:sz w:val="20"/>
                <w:szCs w:val="20"/>
                <w:color w:val="auto"/>
              </w:rPr>
            </w:pPr>
            <w:r>
              <w:rPr>
                <w:rFonts w:ascii="Arial" w:cs="Arial" w:eastAsia="Arial" w:hAnsi="Arial"/>
                <w:sz w:val="18"/>
                <w:szCs w:val="18"/>
                <w:b w:val="1"/>
                <w:bCs w:val="1"/>
                <w:color w:val="auto"/>
              </w:rPr>
              <w:t>[***]</w:t>
            </w:r>
          </w:p>
        </w:tc>
      </w:tr>
      <w:tr>
        <w:trPr>
          <w:trHeight w:val="196"/>
        </w:trPr>
        <w:tc>
          <w:tcPr>
            <w:tcW w:w="36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April 1 – June 30</w:t>
            </w:r>
          </w:p>
        </w:tc>
        <w:tc>
          <w:tcPr>
            <w:tcW w:w="35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36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July 1 – September 30</w:t>
            </w:r>
          </w:p>
        </w:tc>
        <w:tc>
          <w:tcPr>
            <w:tcW w:w="35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36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October 1 – December 31</w:t>
            </w:r>
          </w:p>
        </w:tc>
        <w:tc>
          <w:tcPr>
            <w:tcW w:w="35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18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Priority Review Voucher Fee Payments.</w:t>
      </w:r>
      <w:r>
        <w:rPr>
          <w:rFonts w:ascii="Arial" w:cs="Arial" w:eastAsia="Arial" w:hAnsi="Arial"/>
          <w:sz w:val="18"/>
          <w:szCs w:val="18"/>
          <w:color w:val="auto"/>
        </w:rPr>
        <w:t xml:space="preserve"> No later than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calendar quarter in which consideration is received by Licensee or Sublicensee upon the transfer of a Priority Review Voucher received as a result of approval of a Licensed Product Licensee or Sublicensee receives consideration for the sale or transfer of a Priority Review Voucher, Licensee shall deliver to UGARF a payment in the amount as required in Appendix D of all such consideration (a “PRV Fee Payment”).</w:t>
      </w:r>
    </w:p>
    <w:p>
      <w:pPr>
        <w:spacing w:after="0" w:line="16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Taxes.</w:t>
      </w:r>
      <w:r>
        <w:rPr>
          <w:rFonts w:ascii="Arial" w:cs="Arial" w:eastAsia="Arial" w:hAnsi="Arial"/>
          <w:sz w:val="18"/>
          <w:szCs w:val="18"/>
          <w:color w:val="auto"/>
        </w:rPr>
        <w:t xml:space="preserve"> All payments to UGARF will be made free and clear of any tax, customs, or other governmental charge or levy (“</w:t>
      </w:r>
      <w:r>
        <w:rPr>
          <w:rFonts w:ascii="Arial" w:cs="Arial" w:eastAsia="Arial" w:hAnsi="Arial"/>
          <w:sz w:val="18"/>
          <w:szCs w:val="18"/>
          <w:u w:val="single" w:color="auto"/>
          <w:color w:val="auto"/>
        </w:rPr>
        <w:t>Taxes</w:t>
      </w:r>
      <w:r>
        <w:rPr>
          <w:rFonts w:ascii="Arial" w:cs="Arial" w:eastAsia="Arial" w:hAnsi="Arial"/>
          <w:sz w:val="18"/>
          <w:szCs w:val="18"/>
          <w:color w:val="auto"/>
        </w:rPr>
        <w:t>”). If Licensee is obligated by law to withhold Taxes on any payments to UGARF, Licensee shall be entitled to deduct the applicable withholding amount with respect to such payment, provided that Licensee separately documents the applicable withholding requirements and amounts.</w:t>
      </w:r>
    </w:p>
    <w:p>
      <w:pPr>
        <w:spacing w:after="0" w:line="15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color w:val="auto"/>
        </w:rPr>
        <w:t>Making Payments and Wire Fee.</w:t>
      </w:r>
      <w:r>
        <w:rPr>
          <w:rFonts w:ascii="Arial" w:cs="Arial" w:eastAsia="Arial" w:hAnsi="Arial"/>
          <w:sz w:val="18"/>
          <w:szCs w:val="18"/>
          <w:color w:val="auto"/>
        </w:rPr>
        <w:t xml:space="preserve"> All payments due to UGARF under this Agreement shall be made either by wire transfer to an account designated by UGARF in </w:t>
      </w:r>
      <w:r>
        <w:rPr>
          <w:rFonts w:ascii="Arial" w:cs="Arial" w:eastAsia="Arial" w:hAnsi="Arial"/>
          <w:sz w:val="18"/>
          <w:szCs w:val="18"/>
          <w:u w:val="single" w:color="auto"/>
          <w:color w:val="auto"/>
        </w:rPr>
        <w:t>Appendix E</w:t>
      </w:r>
      <w:r>
        <w:rPr>
          <w:rFonts w:ascii="Arial" w:cs="Arial" w:eastAsia="Arial" w:hAnsi="Arial"/>
          <w:sz w:val="18"/>
          <w:szCs w:val="18"/>
          <w:color w:val="auto"/>
        </w:rPr>
        <w:t xml:space="preserve"> (or to a different account identified from time to time by UGARF upon notice to Licensee) or by check delivered to </w:t>
      </w:r>
      <w:r>
        <w:rPr>
          <w:rFonts w:ascii="Arial" w:cs="Arial" w:eastAsia="Arial" w:hAnsi="Arial"/>
          <w:sz w:val="18"/>
          <w:szCs w:val="18"/>
          <w:b w:val="1"/>
          <w:bCs w:val="1"/>
          <w:color w:val="auto"/>
        </w:rPr>
        <w:t>[***]</w:t>
      </w:r>
      <w:r>
        <w:rPr>
          <w:rFonts w:ascii="Arial" w:cs="Arial" w:eastAsia="Arial" w:hAnsi="Arial"/>
          <w:sz w:val="18"/>
          <w:szCs w:val="18"/>
          <w:color w:val="auto"/>
        </w:rPr>
        <w:t xml:space="preserve">. For each payment made by wire transfer, to the extent UGARF is charged for receipt of such wire, UGARF shall separately invoice Licensee, and Licensee shall pay the applicable additional fee of </w:t>
      </w:r>
      <w:r>
        <w:rPr>
          <w:rFonts w:ascii="Arial" w:cs="Arial" w:eastAsia="Arial" w:hAnsi="Arial"/>
          <w:sz w:val="18"/>
          <w:szCs w:val="18"/>
          <w:b w:val="1"/>
          <w:bCs w:val="1"/>
          <w:color w:val="auto"/>
        </w:rPr>
        <w:t>[***]</w:t>
      </w:r>
      <w:r>
        <w:rPr>
          <w:rFonts w:ascii="Arial" w:cs="Arial" w:eastAsia="Arial" w:hAnsi="Arial"/>
          <w:sz w:val="18"/>
          <w:szCs w:val="18"/>
          <w:color w:val="auto"/>
        </w:rPr>
        <w:t xml:space="preserve"> for payments originating from a domestic U.S. account or </w:t>
      </w:r>
      <w:r>
        <w:rPr>
          <w:rFonts w:ascii="Arial" w:cs="Arial" w:eastAsia="Arial" w:hAnsi="Arial"/>
          <w:sz w:val="18"/>
          <w:szCs w:val="18"/>
          <w:b w:val="1"/>
          <w:bCs w:val="1"/>
          <w:color w:val="auto"/>
        </w:rPr>
        <w:t>[***]</w:t>
      </w:r>
      <w:r>
        <w:rPr>
          <w:rFonts w:ascii="Arial" w:cs="Arial" w:eastAsia="Arial" w:hAnsi="Arial"/>
          <w:sz w:val="18"/>
          <w:szCs w:val="18"/>
          <w:color w:val="auto"/>
        </w:rPr>
        <w:t xml:space="preserve"> for payments originating from a foreign account. UGARF will not provide invoices to Licensee or any Sublicensee for any payments due under this Agreement except with respect to the reimbursement of Patent Expenses, and it is Licensee’s responsibility to ensure that all payments owed to UGARF under this Agreement are received by UGARF when due.</w:t>
      </w:r>
    </w:p>
    <w:p>
      <w:pPr>
        <w:spacing w:after="0" w:line="1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color w:val="auto"/>
        </w:rPr>
        <w:t>Currency Conversion.</w:t>
      </w:r>
      <w:r>
        <w:rPr>
          <w:rFonts w:ascii="Arial" w:cs="Arial" w:eastAsia="Arial" w:hAnsi="Arial"/>
          <w:sz w:val="18"/>
          <w:szCs w:val="18"/>
          <w:color w:val="auto"/>
        </w:rPr>
        <w:t xml:space="preserve"> All payments to UGARF shall be paid in U.S. Dollars. If any Licensed Product Sales or Sublicensee Fees are made in a currency </w:t>
      </w:r>
      <w:r>
        <w:rPr>
          <w:rFonts w:ascii="Arial" w:cs="Arial" w:eastAsia="Arial" w:hAnsi="Arial"/>
          <w:sz w:val="18"/>
          <w:szCs w:val="18"/>
          <w:u w:val="single" w:color="auto"/>
          <w:color w:val="auto"/>
        </w:rPr>
        <w:t>other</w:t>
      </w:r>
      <w:r>
        <w:rPr>
          <w:rFonts w:ascii="Arial" w:cs="Arial" w:eastAsia="Arial" w:hAnsi="Arial"/>
          <w:sz w:val="18"/>
          <w:szCs w:val="18"/>
          <w:color w:val="auto"/>
        </w:rPr>
        <w:t xml:space="preserve"> than U.S. Dollars, then the associated amount owed to UGARF shall first be determined in the currency received by Licensee and/or the Sublicensee and then converted to U.S. Dollars at the rate for conversion of the foreign currency into U.S. Dollars as published by the Wall Street Journal (U.S. ed.) on the day the corresponding payment is due.</w:t>
      </w:r>
    </w:p>
    <w:p>
      <w:pPr>
        <w:spacing w:after="0" w:line="16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b w:val="1"/>
          <w:bCs w:val="1"/>
          <w:color w:val="auto"/>
        </w:rPr>
        <w:t>Overdue Payments</w:t>
      </w:r>
      <w:r>
        <w:rPr>
          <w:rFonts w:ascii="Arial" w:cs="Arial" w:eastAsia="Arial" w:hAnsi="Arial"/>
          <w:sz w:val="17"/>
          <w:szCs w:val="17"/>
          <w:color w:val="auto"/>
        </w:rPr>
        <w:t>. All overdue payments under this Agreement shall bear simple interest until paid at the lower of the annual rate of</w:t>
      </w:r>
    </w:p>
    <w:p>
      <w:pPr>
        <w:spacing w:after="0" w:line="14"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or the highest rate permitted by law. Interest accruing under this section shall be due UGARF automatically without demand.</w:t>
      </w:r>
    </w:p>
    <w:p>
      <w:pPr>
        <w:spacing w:after="0" w:line="180" w:lineRule="exact"/>
        <w:rPr>
          <w:sz w:val="20"/>
          <w:szCs w:val="20"/>
          <w:color w:val="auto"/>
        </w:rPr>
      </w:pPr>
    </w:p>
    <w:p>
      <w:pPr>
        <w:ind w:right="480"/>
        <w:spacing w:after="0" w:line="281"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color w:val="auto"/>
        </w:rPr>
        <w:t>No Refunds or Credits</w:t>
      </w:r>
      <w:r>
        <w:rPr>
          <w:rFonts w:ascii="Arial" w:cs="Arial" w:eastAsia="Arial" w:hAnsi="Arial"/>
          <w:sz w:val="18"/>
          <w:szCs w:val="18"/>
          <w:color w:val="auto"/>
        </w:rPr>
        <w:t>. All amounts paid to UGARF pursuant to this Agreement shall be non-refundable, and no amount paid to UGARF shall be credited against any other amount due by Licensee under this Agreement or any other agreement</w:t>
      </w:r>
      <w:r>
        <w:rPr>
          <w:rFonts w:ascii="Arial" w:cs="Arial" w:eastAsia="Arial" w:hAnsi="Arial"/>
          <w:sz w:val="18"/>
          <w:szCs w:val="18"/>
          <w:b w:val="1"/>
          <w:bCs w:val="1"/>
          <w:color w:val="auto"/>
        </w:rPr>
        <w:t>.</w:t>
      </w:r>
    </w:p>
    <w:p>
      <w:pPr>
        <w:spacing w:after="0" w:line="1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color w:val="auto"/>
        </w:rPr>
        <w:t>Full Payment of Amounts Owed.</w:t>
      </w:r>
      <w:r>
        <w:rPr>
          <w:rFonts w:ascii="Arial" w:cs="Arial" w:eastAsia="Arial" w:hAnsi="Arial"/>
          <w:sz w:val="18"/>
          <w:szCs w:val="18"/>
          <w:color w:val="auto"/>
        </w:rPr>
        <w:t xml:space="preserve"> UGARF shall be solely and fully responsible for the timely and complete payment of any and all of UGARF’s payment obligations to Anacor or any third-party under the Anacor License Agreement related to the rights granted to Licensee pursuant to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5REPORTS AND RECORDS INSPECTION</w:t>
      </w:r>
    </w:p>
    <w:p>
      <w:pPr>
        <w:spacing w:after="0" w:line="198"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Progress Reports.</w:t>
      </w:r>
      <w:r>
        <w:rPr>
          <w:rFonts w:ascii="Arial" w:cs="Arial" w:eastAsia="Arial" w:hAnsi="Arial"/>
          <w:sz w:val="18"/>
          <w:szCs w:val="18"/>
          <w:color w:val="auto"/>
        </w:rPr>
        <w:t xml:space="preserve"> Each year, no later than </w:t>
      </w:r>
      <w:r>
        <w:rPr>
          <w:rFonts w:ascii="Arial" w:cs="Arial" w:eastAsia="Arial" w:hAnsi="Arial"/>
          <w:sz w:val="18"/>
          <w:szCs w:val="18"/>
          <w:b w:val="1"/>
          <w:bCs w:val="1"/>
          <w:color w:val="auto"/>
        </w:rPr>
        <w:t>[***]</w:t>
      </w:r>
      <w:r>
        <w:rPr>
          <w:rFonts w:ascii="Arial" w:cs="Arial" w:eastAsia="Arial" w:hAnsi="Arial"/>
          <w:sz w:val="18"/>
          <w:szCs w:val="18"/>
          <w:color w:val="auto"/>
        </w:rPr>
        <w:t xml:space="preserve"> for the prior calendar year, Licensee shall deliver to UGARF a written report containing the information identified for Progress Reports at </w:t>
      </w:r>
      <w:r>
        <w:rPr>
          <w:rFonts w:ascii="Arial" w:cs="Arial" w:eastAsia="Arial" w:hAnsi="Arial"/>
          <w:sz w:val="18"/>
          <w:szCs w:val="18"/>
          <w:u w:val="single" w:color="auto"/>
          <w:color w:val="auto"/>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2" w:name="page133"/>
    <w:bookmarkEnd w:id="132"/>
    <w:p>
      <w:pPr>
        <w:ind w:right="280" w:firstLine="509"/>
        <w:spacing w:after="0" w:line="247" w:lineRule="auto"/>
        <w:rPr>
          <w:sz w:val="20"/>
          <w:szCs w:val="20"/>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 detailing the current progress of the Licensee, directly and through the work of Sublicensees and Contractors, toward the development and commercialization of Licensed Products throughout each of the Licensed Patent Territories (each, a “</w:t>
      </w:r>
      <w:r>
        <w:rPr>
          <w:rFonts w:ascii="Arial" w:cs="Arial" w:eastAsia="Arial" w:hAnsi="Arial"/>
          <w:sz w:val="18"/>
          <w:szCs w:val="18"/>
          <w:u w:val="single" w:color="auto"/>
          <w:color w:val="auto"/>
        </w:rPr>
        <w:t>Progress Report</w:t>
      </w:r>
      <w:r>
        <w:rPr>
          <w:rFonts w:ascii="Arial" w:cs="Arial" w:eastAsia="Arial" w:hAnsi="Arial"/>
          <w:sz w:val="18"/>
          <w:szCs w:val="18"/>
          <w:color w:val="auto"/>
        </w:rPr>
        <w:t>”). Licensee shall identify in each Progress Report all Milestones attained, and all Milestone Fees due and/or paid, in the calendar year being reported.</w:t>
      </w:r>
    </w:p>
    <w:p>
      <w:pPr>
        <w:spacing w:after="0" w:line="160"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Royalty Reports.</w:t>
      </w:r>
      <w:r>
        <w:rPr>
          <w:rFonts w:ascii="Arial" w:cs="Arial" w:eastAsia="Arial" w:hAnsi="Arial"/>
          <w:sz w:val="18"/>
          <w:szCs w:val="18"/>
          <w:color w:val="auto"/>
        </w:rPr>
        <w:t xml:space="preserve"> Four times per calendar year, once for each calendar quarter, Licensee shall deliver to UGARF a written report containing the information identified for Royalty Reports at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for Licensed Product Sales in such calendar quarter (each, a “</w:t>
      </w:r>
      <w:r>
        <w:rPr>
          <w:rFonts w:ascii="Arial" w:cs="Arial" w:eastAsia="Arial" w:hAnsi="Arial"/>
          <w:sz w:val="18"/>
          <w:szCs w:val="18"/>
          <w:u w:val="single" w:color="auto"/>
          <w:color w:val="auto"/>
        </w:rPr>
        <w:t>Royalty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Report</w:t>
      </w:r>
      <w:r>
        <w:rPr>
          <w:rFonts w:ascii="Arial" w:cs="Arial" w:eastAsia="Arial" w:hAnsi="Arial"/>
          <w:sz w:val="18"/>
          <w:szCs w:val="18"/>
          <w:color w:val="auto"/>
        </w:rPr>
        <w:t xml:space="preserve">”). Licensee shall deliver a Royalty Report to UGARF on the same schedule as Royalty Payments; specifically, the Royalty Report corresponding to Licensed Product Sales for a particular calendar quarter is due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close of such quarter.</w:t>
      </w:r>
    </w:p>
    <w:p>
      <w:pPr>
        <w:spacing w:after="0" w:line="146" w:lineRule="exact"/>
        <w:rPr>
          <w:sz w:val="20"/>
          <w:szCs w:val="20"/>
          <w:color w:val="auto"/>
        </w:rPr>
      </w:pPr>
    </w:p>
    <w:tbl>
      <w:tblPr>
        <w:tblLayout w:type="fixed"/>
        <w:tblInd w:w="750" w:type="dxa"/>
        <w:tblCellMar>
          <w:top w:w="0" w:type="dxa"/>
          <w:left w:w="0" w:type="dxa"/>
          <w:bottom w:w="0" w:type="dxa"/>
          <w:right w:w="0" w:type="dxa"/>
        </w:tblCellMar>
      </w:tblPr>
      <w:tr>
        <w:trPr>
          <w:trHeight w:val="200"/>
        </w:trPr>
        <w:tc>
          <w:tcPr>
            <w:tcW w:w="3380" w:type="dxa"/>
            <w:vAlign w:val="bottom"/>
            <w:tcBorders>
              <w:top w:val="single" w:sz="8" w:color="auto"/>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Licensed Product Sales and Royalty</w:t>
            </w:r>
          </w:p>
        </w:tc>
        <w:tc>
          <w:tcPr>
            <w:tcW w:w="3380" w:type="dxa"/>
            <w:vAlign w:val="bottom"/>
            <w:tcBorders>
              <w:top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Royalty Report Due Date</w:t>
            </w:r>
          </w:p>
        </w:tc>
      </w:tr>
      <w:tr>
        <w:trPr>
          <w:trHeight w:val="238"/>
        </w:trPr>
        <w:tc>
          <w:tcPr>
            <w:tcW w:w="3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Fees Due for the Calendar Quarter</w:t>
            </w:r>
          </w:p>
        </w:tc>
        <w:tc>
          <w:tcPr>
            <w:tcW w:w="3380" w:type="dxa"/>
            <w:vAlign w:val="bottom"/>
            <w:tcBorders>
              <w:bottom w:val="single" w:sz="8" w:color="auto"/>
              <w:right w:val="single" w:sz="8" w:color="auto"/>
            </w:tcBorders>
          </w:tcPr>
          <w:p>
            <w:pPr>
              <w:spacing w:after="0"/>
              <w:rPr>
                <w:sz w:val="20"/>
                <w:szCs w:val="20"/>
                <w:color w:val="auto"/>
              </w:rPr>
            </w:pPr>
          </w:p>
        </w:tc>
      </w:tr>
      <w:tr>
        <w:trPr>
          <w:trHeight w:val="179"/>
        </w:trPr>
        <w:tc>
          <w:tcPr>
            <w:tcW w:w="3380" w:type="dxa"/>
            <w:vAlign w:val="bottom"/>
            <w:tcBorders>
              <w:left w:val="single" w:sz="8" w:color="auto"/>
              <w:bottom w:val="single" w:sz="8" w:color="auto"/>
              <w:right w:val="single" w:sz="8" w:color="auto"/>
            </w:tcBorders>
          </w:tcPr>
          <w:p>
            <w:pPr>
              <w:ind w:left="120"/>
              <w:spacing w:after="0" w:line="179" w:lineRule="exact"/>
              <w:rPr>
                <w:sz w:val="20"/>
                <w:szCs w:val="20"/>
                <w:color w:val="auto"/>
              </w:rPr>
            </w:pPr>
            <w:r>
              <w:rPr>
                <w:rFonts w:ascii="Arial" w:cs="Arial" w:eastAsia="Arial" w:hAnsi="Arial"/>
                <w:sz w:val="18"/>
                <w:szCs w:val="18"/>
                <w:color w:val="auto"/>
              </w:rPr>
              <w:t>January 1 – March 31</w:t>
            </w:r>
          </w:p>
        </w:tc>
        <w:tc>
          <w:tcPr>
            <w:tcW w:w="3380" w:type="dxa"/>
            <w:vAlign w:val="bottom"/>
            <w:tcBorders>
              <w:bottom w:val="single" w:sz="8" w:color="auto"/>
              <w:right w:val="single" w:sz="8" w:color="auto"/>
            </w:tcBorders>
          </w:tcPr>
          <w:p>
            <w:pPr>
              <w:ind w:left="80"/>
              <w:spacing w:after="0" w:line="179" w:lineRule="exact"/>
              <w:rPr>
                <w:sz w:val="20"/>
                <w:szCs w:val="20"/>
                <w:color w:val="auto"/>
              </w:rPr>
            </w:pPr>
            <w:r>
              <w:rPr>
                <w:rFonts w:ascii="Arial" w:cs="Arial" w:eastAsia="Arial" w:hAnsi="Arial"/>
                <w:sz w:val="18"/>
                <w:szCs w:val="18"/>
                <w:b w:val="1"/>
                <w:bCs w:val="1"/>
                <w:color w:val="auto"/>
              </w:rPr>
              <w:t>[***]</w:t>
            </w:r>
          </w:p>
        </w:tc>
      </w:tr>
      <w:tr>
        <w:trPr>
          <w:trHeight w:val="196"/>
        </w:trPr>
        <w:tc>
          <w:tcPr>
            <w:tcW w:w="33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April 1 – June 30</w:t>
            </w:r>
          </w:p>
        </w:tc>
        <w:tc>
          <w:tcPr>
            <w:tcW w:w="33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33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July 1 – September 30</w:t>
            </w:r>
          </w:p>
        </w:tc>
        <w:tc>
          <w:tcPr>
            <w:tcW w:w="33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33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October 1 – December 31</w:t>
            </w:r>
          </w:p>
        </w:tc>
        <w:tc>
          <w:tcPr>
            <w:tcW w:w="33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18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Sublicense Fee Reports.</w:t>
      </w:r>
      <w:r>
        <w:rPr>
          <w:rFonts w:ascii="Arial" w:cs="Arial" w:eastAsia="Arial" w:hAnsi="Arial"/>
          <w:sz w:val="18"/>
          <w:szCs w:val="18"/>
          <w:color w:val="auto"/>
        </w:rPr>
        <w:t xml:space="preserve"> For each calendar quarter in which Licensee receives one or more Sublicensee Fees, Licensee shall deliver to UGARF a report identifying the nature and amount of the Sublicensee Fee, the name of the Sublicensee that paid the Sublicensee Fee and the transaction(s) to which it relates, as well as the corresponding Sublicense Fee Payment due under this Agreement and the dates due and paid.</w:t>
      </w:r>
    </w:p>
    <w:p>
      <w:pPr>
        <w:spacing w:after="0" w:line="16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Recordkeeping</w:t>
      </w:r>
      <w:r>
        <w:rPr>
          <w:rFonts w:ascii="Arial" w:cs="Arial" w:eastAsia="Arial" w:hAnsi="Arial"/>
          <w:sz w:val="18"/>
          <w:szCs w:val="18"/>
          <w:color w:val="auto"/>
        </w:rPr>
        <w:t>. Licensee shall keep, and shall cause Sublicensees to keep, accurate records in sufficient and customary detail such that the amounts due under this Agreement, and full compliance with this Agreement, may be verified.</w:t>
      </w:r>
    </w:p>
    <w:p>
      <w:pPr>
        <w:spacing w:after="0" w:line="14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Records Inspection.</w:t>
      </w:r>
      <w:r>
        <w:rPr>
          <w:rFonts w:ascii="Arial" w:cs="Arial" w:eastAsia="Arial" w:hAnsi="Arial"/>
          <w:sz w:val="18"/>
          <w:szCs w:val="18"/>
          <w:color w:val="auto"/>
        </w:rPr>
        <w:t xml:space="preserve"> During the term of this Agreement and for a period of </w:t>
      </w:r>
      <w:r>
        <w:rPr>
          <w:rFonts w:ascii="Arial" w:cs="Arial" w:eastAsia="Arial" w:hAnsi="Arial"/>
          <w:sz w:val="18"/>
          <w:szCs w:val="18"/>
          <w:b w:val="1"/>
          <w:bCs w:val="1"/>
          <w:color w:val="auto"/>
        </w:rPr>
        <w:t>[***]</w:t>
      </w:r>
      <w:r>
        <w:rPr>
          <w:rFonts w:ascii="Arial" w:cs="Arial" w:eastAsia="Arial" w:hAnsi="Arial"/>
          <w:sz w:val="18"/>
          <w:szCs w:val="18"/>
          <w:color w:val="auto"/>
        </w:rPr>
        <w:t xml:space="preserve"> after any payment made to UGARF pursuant to this Agreement, Licensee shall permit UGARF or its representatives, to inspect, review, analyze, and copy, Licensee’s books and records regarding the manufacture and sale of Licensed Products, the completeness of Progress Reports, Royalty Reports, Sublicense Fee Reports, and diligence efforts (each, a “</w:t>
      </w:r>
      <w:r>
        <w:rPr>
          <w:rFonts w:ascii="Arial" w:cs="Arial" w:eastAsia="Arial" w:hAnsi="Arial"/>
          <w:sz w:val="18"/>
          <w:szCs w:val="18"/>
          <w:u w:val="single" w:color="auto"/>
          <w:color w:val="auto"/>
        </w:rPr>
        <w:t>Records Inspection</w:t>
      </w:r>
      <w:r>
        <w:rPr>
          <w:rFonts w:ascii="Arial" w:cs="Arial" w:eastAsia="Arial" w:hAnsi="Arial"/>
          <w:sz w:val="18"/>
          <w:szCs w:val="18"/>
          <w:color w:val="auto"/>
        </w:rPr>
        <w:t xml:space="preserve">”). Such books and records shall include, to the extent applicable to Licensee for, but are not limited to invoice registers and original invoices; product sales reports; price lists, accounting general ledgers; Sublicenses, Production Rights Agreements, and distributor agreements; financial statements and income tax returns; sales tax returns; inventory and production records; and shipping documents. UGARF or its representatives may conduct a Records Inspection no more than once per calendar year, and any Records Inspection may relate to any one or more years in any given </w:t>
      </w:r>
      <w:r>
        <w:rPr>
          <w:rFonts w:ascii="Arial" w:cs="Arial" w:eastAsia="Arial" w:hAnsi="Arial"/>
          <w:sz w:val="18"/>
          <w:szCs w:val="18"/>
          <w:b w:val="1"/>
          <w:bCs w:val="1"/>
          <w:color w:val="auto"/>
        </w:rPr>
        <w:t>[***]</w:t>
      </w:r>
      <w:r>
        <w:rPr>
          <w:rFonts w:ascii="Arial" w:cs="Arial" w:eastAsia="Arial" w:hAnsi="Arial"/>
          <w:sz w:val="18"/>
          <w:szCs w:val="18"/>
          <w:color w:val="auto"/>
        </w:rPr>
        <w:t xml:space="preserve"> period under this License Agreement at UGARF’s discretion. Upon UGARF’s notice to Licensee of an intended Records Inspection, Licensee shall reasonably cooperate with UGARF in setting a mutually convenient time and place for such, ordinarily during regular business hours. Any Records Inspection shall be made at UGARF’s expense, except that if a Records Inspection discloses a shortage of </w:t>
      </w:r>
      <w:r>
        <w:rPr>
          <w:rFonts w:ascii="Arial" w:cs="Arial" w:eastAsia="Arial" w:hAnsi="Arial"/>
          <w:sz w:val="18"/>
          <w:szCs w:val="18"/>
          <w:b w:val="1"/>
          <w:bCs w:val="1"/>
          <w:color w:val="auto"/>
        </w:rPr>
        <w:t>[***]</w:t>
      </w:r>
      <w:r>
        <w:rPr>
          <w:rFonts w:ascii="Arial" w:cs="Arial" w:eastAsia="Arial" w:hAnsi="Arial"/>
          <w:sz w:val="18"/>
          <w:szCs w:val="18"/>
          <w:color w:val="auto"/>
        </w:rPr>
        <w:t xml:space="preserve">, between the payments due UGARF for any calendar year or the final, partial year of this Agreement and the amounts actually paid by Licensee for such period, or if the Records Inspection reveals a material breach of this Agreement, then Licensee shall reimburse UGARF for its incurred costs, including professional fees, of such Records Inspection. </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ARTICLE 6LICENSED PATENT FILINGS, PROSECUTION, AND MAINTENANCE</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Prosecution and Maintenance</w:t>
      </w:r>
      <w:r>
        <w:rPr>
          <w:rFonts w:ascii="Arial" w:cs="Arial" w:eastAsia="Arial" w:hAnsi="Arial"/>
          <w:sz w:val="18"/>
          <w:szCs w:val="18"/>
          <w:color w:val="auto"/>
        </w:rPr>
        <w:t xml:space="preserve">. Licensee acknowledges that Anacor is the owner and assignee of the Licensed Patents, but pursuant to the Anacor License Agreement, UGARF shall manage the prosecution and maintenance those Licensed Patents identified at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well as all other Licensed Patents in the Licensed Patent Territory elected by Licensee per Section 6.2 below. UGARF shall provide Licensee with copies of all filings and correspondence pertaining to such activities reasonably in advance of any deadlines so as to give Licensee reasonable opportunities to advise and cooperate with UGARF, and UGARF shall reasonably consider any advice and recommendations offered in proceeding with the prosecution and maintenance.</w:t>
      </w:r>
    </w:p>
    <w:p>
      <w:pPr>
        <w:spacing w:after="0" w:line="16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Licensee Election of Additional Filings</w:t>
      </w:r>
      <w:r>
        <w:rPr>
          <w:rFonts w:ascii="Arial" w:cs="Arial" w:eastAsia="Arial" w:hAnsi="Arial"/>
          <w:sz w:val="18"/>
          <w:szCs w:val="18"/>
          <w:color w:val="auto"/>
        </w:rPr>
        <w:t xml:space="preserve">. No later than </w:t>
      </w:r>
      <w:r>
        <w:rPr>
          <w:rFonts w:ascii="Arial" w:cs="Arial" w:eastAsia="Arial" w:hAnsi="Arial"/>
          <w:sz w:val="18"/>
          <w:szCs w:val="18"/>
          <w:b w:val="1"/>
          <w:bCs w:val="1"/>
          <w:color w:val="auto"/>
        </w:rPr>
        <w:t>[***]</w:t>
      </w:r>
      <w:r>
        <w:rPr>
          <w:rFonts w:ascii="Arial" w:cs="Arial" w:eastAsia="Arial" w:hAnsi="Arial"/>
          <w:sz w:val="18"/>
          <w:szCs w:val="18"/>
          <w:color w:val="auto"/>
        </w:rPr>
        <w:t xml:space="preserve"> prior to the applicable application deadline for each, Licensee timely shall notify UGARF in writing of the territories in which Licensee elects for patent applications to be filed in the Licensed Territory, including but not limited to national phase filings and registrations in countries from regional filings. UGARF shall file such additional applications as permitted by the patent rules of the applicable jurisdiction, and these applications and resulting patents shall be included in the definition of Licensed Patents and the grant of rights made by this Agreement. UGARF shall update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by notice to Licensee to reflect new patent applications and patents as needed. For any territories not elected by Licensee by the due date indicated above, Licensee may later request that associated patent applications be filed and added to the scope of this Agreement, and in the event those applications are still available and UGARF and Licensee jointly agree to pursue to those applications, then they may be added to the scope of the Licensed Patents under this Agreement. UGARF shall update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by notice to Licensee to reflect new patent applications as needed.</w:t>
      </w:r>
    </w:p>
    <w:p>
      <w:pPr>
        <w:spacing w:after="0" w:line="17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Licensee Election to Remove Licensed Patents.</w:t>
      </w:r>
      <w:r>
        <w:rPr>
          <w:rFonts w:ascii="Arial" w:cs="Arial" w:eastAsia="Arial" w:hAnsi="Arial"/>
          <w:sz w:val="18"/>
          <w:szCs w:val="18"/>
          <w:color w:val="auto"/>
        </w:rPr>
        <w:t xml:space="preserve"> By </w:t>
      </w:r>
      <w:r>
        <w:rPr>
          <w:rFonts w:ascii="Arial" w:cs="Arial" w:eastAsia="Arial" w:hAnsi="Arial"/>
          <w:sz w:val="18"/>
          <w:szCs w:val="18"/>
          <w:b w:val="1"/>
          <w:bCs w:val="1"/>
          <w:color w:val="auto"/>
        </w:rPr>
        <w:t>[***]</w:t>
      </w:r>
      <w:r>
        <w:rPr>
          <w:rFonts w:ascii="Arial" w:cs="Arial" w:eastAsia="Arial" w:hAnsi="Arial"/>
          <w:sz w:val="18"/>
          <w:szCs w:val="18"/>
          <w:color w:val="auto"/>
        </w:rPr>
        <w:t xml:space="preserve"> prior written notice, Licensee may elect to remove any one or more applications and/or patents from the Licensed Patents and grant of rights under this Agreement. After such </w:t>
      </w:r>
      <w:r>
        <w:rPr>
          <w:rFonts w:ascii="Arial" w:cs="Arial" w:eastAsia="Arial" w:hAnsi="Arial"/>
          <w:sz w:val="18"/>
          <w:szCs w:val="18"/>
          <w:b w:val="1"/>
          <w:bCs w:val="1"/>
          <w:color w:val="auto"/>
        </w:rPr>
        <w:t>[***]</w:t>
      </w:r>
      <w:r>
        <w:rPr>
          <w:rFonts w:ascii="Arial" w:cs="Arial" w:eastAsia="Arial" w:hAnsi="Arial"/>
          <w:sz w:val="18"/>
          <w:szCs w:val="18"/>
          <w:color w:val="auto"/>
        </w:rPr>
        <w:t xml:space="preserve"> period, the identified applications and/or patents shall automatically be removed from the definition of Licensed Patents and the grant of rights hereunder. UGARF shall update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by notice to Licensee to reflect the removal of patent applications and/or patents as needed. UGARF may elect to continue prosecution and/or maintenance of these patent applications and/or patents at its own expense or may permit them to be abandoned or lapse or prosecuted/maintained by third-parties.</w:t>
      </w:r>
    </w:p>
    <w:p>
      <w:pPr>
        <w:spacing w:after="0" w:line="16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Patent Extensions.</w:t>
      </w:r>
      <w:r>
        <w:rPr>
          <w:rFonts w:ascii="Arial" w:cs="Arial" w:eastAsia="Arial" w:hAnsi="Arial"/>
          <w:sz w:val="18"/>
          <w:szCs w:val="18"/>
          <w:color w:val="auto"/>
        </w:rPr>
        <w:t xml:space="preserve"> By at least </w:t>
      </w:r>
      <w:r>
        <w:rPr>
          <w:rFonts w:ascii="Arial" w:cs="Arial" w:eastAsia="Arial" w:hAnsi="Arial"/>
          <w:sz w:val="18"/>
          <w:szCs w:val="18"/>
          <w:b w:val="1"/>
          <w:bCs w:val="1"/>
          <w:color w:val="auto"/>
        </w:rPr>
        <w:t>[***]</w:t>
      </w:r>
      <w:r>
        <w:rPr>
          <w:rFonts w:ascii="Arial" w:cs="Arial" w:eastAsia="Arial" w:hAnsi="Arial"/>
          <w:sz w:val="18"/>
          <w:szCs w:val="18"/>
          <w:color w:val="auto"/>
        </w:rPr>
        <w:t xml:space="preserve"> notice to UGARF before the expiration of any particular Licensed Patent, Licensee timely may notify UGARF of the territories in which Licensee elects to apply to have the regular term of any Licensed Patent extended or restored under applicable procedure. Upon timely notice, UGARF shall file such applications for extension or restoration as permitted by applicable procedure, and any resulting patents and/or extended terms shall be included within the definition of Licensed Patents and the grant of rights made by this Agreement. For the avoidance of doubt, Licensee shall be obligated to make all payments due under this Agreement, and otherwise fully comply with this Agreement, through the end of the extended term of any Licensed Patent. UGARF shall update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by notice to Licensee to reflect new applications, patents, and/or extensions as needed.</w:t>
      </w:r>
    </w:p>
    <w:p>
      <w:pPr>
        <w:spacing w:after="0" w:line="17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UGARF Separate Filings.</w:t>
      </w:r>
      <w:r>
        <w:rPr>
          <w:rFonts w:ascii="Arial" w:cs="Arial" w:eastAsia="Arial" w:hAnsi="Arial"/>
          <w:sz w:val="18"/>
          <w:szCs w:val="18"/>
          <w:color w:val="auto"/>
        </w:rPr>
        <w:t xml:space="preserve"> UGARF or third-parties may, at their own expense, file patent applications or applications for extension or restoration of Licensed Patents, in those territories in the Licensed Territory in which Licensee does not elect timely to do so per the terms of this Agreement. In that case, the resulting patents, including restored patents or patent rights during any such extension, shall not be included in the definition of Licensed Patents or the scope of any licenses granted herein.</w:t>
      </w:r>
    </w:p>
    <w:p>
      <w:pPr>
        <w:spacing w:after="0" w:line="16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Licensee Reimbursement of Patent Expenses.</w:t>
      </w:r>
      <w:r>
        <w:rPr>
          <w:rFonts w:ascii="Arial" w:cs="Arial" w:eastAsia="Arial" w:hAnsi="Arial"/>
          <w:sz w:val="18"/>
          <w:szCs w:val="18"/>
          <w:color w:val="auto"/>
        </w:rPr>
        <w:t xml:space="preserve"> As of the Effective Date, current unreimbursed Patent Expenses total approximately </w:t>
      </w:r>
      <w:r>
        <w:rPr>
          <w:rFonts w:ascii="Arial" w:cs="Arial" w:eastAsia="Arial" w:hAnsi="Arial"/>
          <w:sz w:val="18"/>
          <w:szCs w:val="18"/>
          <w:b w:val="1"/>
          <w:bCs w:val="1"/>
          <w:color w:val="auto"/>
        </w:rPr>
        <w:t>[***]</w:t>
      </w:r>
      <w:r>
        <w:rPr>
          <w:rFonts w:ascii="Arial" w:cs="Arial" w:eastAsia="Arial" w:hAnsi="Arial"/>
          <w:sz w:val="18"/>
          <w:szCs w:val="18"/>
          <w:color w:val="auto"/>
        </w:rPr>
        <w:t>. Licensee shall reimburse UGARF for all unreimbursed Patent Expenses as incurred both before and after the Effective Date by</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delivering payments (each, a “</w:t>
      </w:r>
      <w:r>
        <w:rPr>
          <w:rFonts w:ascii="Arial" w:cs="Arial" w:eastAsia="Arial" w:hAnsi="Arial"/>
          <w:sz w:val="18"/>
          <w:szCs w:val="18"/>
          <w:u w:val="single" w:color="auto"/>
          <w:color w:val="auto"/>
        </w:rPr>
        <w:t>Patent Expense Reimbursement Payment</w:t>
      </w:r>
      <w:r>
        <w:rPr>
          <w:rFonts w:ascii="Arial" w:cs="Arial" w:eastAsia="Arial" w:hAnsi="Arial"/>
          <w:sz w:val="18"/>
          <w:szCs w:val="18"/>
          <w:color w:val="auto"/>
        </w:rPr>
        <w:t>”) to UGARF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4" w:name="page135"/>
    <w:bookmarkEnd w:id="134"/>
    <w:p>
      <w:pPr>
        <w:ind w:left="760" w:right="40"/>
        <w:spacing w:after="0" w:line="247" w:lineRule="auto"/>
        <w:rPr>
          <w:sz w:val="20"/>
          <w:szCs w:val="20"/>
          <w:color w:val="auto"/>
        </w:rPr>
      </w:pPr>
      <w:r>
        <w:rPr>
          <w:rFonts w:ascii="Arial" w:cs="Arial" w:eastAsia="Arial" w:hAnsi="Arial"/>
          <w:sz w:val="18"/>
          <w:szCs w:val="18"/>
          <w:color w:val="auto"/>
        </w:rPr>
        <w:t xml:space="preserve">6.6.1For the four-year period beginning </w:t>
      </w:r>
      <w:r>
        <w:rPr>
          <w:rFonts w:ascii="Arial" w:cs="Arial" w:eastAsia="Arial" w:hAnsi="Arial"/>
          <w:sz w:val="18"/>
          <w:szCs w:val="18"/>
          <w:b w:val="1"/>
          <w:bCs w:val="1"/>
          <w:color w:val="auto"/>
        </w:rPr>
        <w:t>[***]</w:t>
      </w:r>
      <w:r>
        <w:rPr>
          <w:rFonts w:ascii="Arial" w:cs="Arial" w:eastAsia="Arial" w:hAnsi="Arial"/>
          <w:sz w:val="18"/>
          <w:szCs w:val="18"/>
          <w:color w:val="auto"/>
        </w:rPr>
        <w:t xml:space="preserve"> and ending </w:t>
      </w:r>
      <w:r>
        <w:rPr>
          <w:rFonts w:ascii="Arial" w:cs="Arial" w:eastAsia="Arial" w:hAnsi="Arial"/>
          <w:sz w:val="18"/>
          <w:szCs w:val="18"/>
          <w:b w:val="1"/>
          <w:bCs w:val="1"/>
          <w:color w:val="auto"/>
        </w:rPr>
        <w:t>[***]</w:t>
      </w:r>
      <w:r>
        <w:rPr>
          <w:rFonts w:ascii="Arial" w:cs="Arial" w:eastAsia="Arial" w:hAnsi="Arial"/>
          <w:sz w:val="18"/>
          <w:szCs w:val="18"/>
          <w:color w:val="auto"/>
        </w:rPr>
        <w:t xml:space="preserve">, no later than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close of each calendar quarter within the period, Licensee shall deliver payment to UGARF in the amount of </w:t>
      </w:r>
      <w:r>
        <w:rPr>
          <w:rFonts w:ascii="Arial" w:cs="Arial" w:eastAsia="Arial" w:hAnsi="Arial"/>
          <w:sz w:val="18"/>
          <w:szCs w:val="18"/>
          <w:b w:val="1"/>
          <w:bCs w:val="1"/>
          <w:color w:val="auto"/>
        </w:rPr>
        <w:t>[***]</w:t>
      </w:r>
      <w:r>
        <w:rPr>
          <w:rFonts w:ascii="Arial" w:cs="Arial" w:eastAsia="Arial" w:hAnsi="Arial"/>
          <w:sz w:val="18"/>
          <w:szCs w:val="18"/>
          <w:color w:val="auto"/>
        </w:rPr>
        <w:t xml:space="preserve"> to be applied toward unreimbursed Patent Expenses. A total of </w:t>
      </w:r>
      <w:r>
        <w:rPr>
          <w:rFonts w:ascii="Arial" w:cs="Arial" w:eastAsia="Arial" w:hAnsi="Arial"/>
          <w:sz w:val="18"/>
          <w:szCs w:val="18"/>
          <w:b w:val="1"/>
          <w:bCs w:val="1"/>
          <w:color w:val="auto"/>
        </w:rPr>
        <w:t>[***]</w:t>
      </w:r>
      <w:r>
        <w:rPr>
          <w:rFonts w:ascii="Arial" w:cs="Arial" w:eastAsia="Arial" w:hAnsi="Arial"/>
          <w:sz w:val="18"/>
          <w:szCs w:val="18"/>
          <w:color w:val="auto"/>
        </w:rPr>
        <w:t xml:space="preserve"> quarterly payments, totaling </w:t>
      </w:r>
      <w:r>
        <w:rPr>
          <w:rFonts w:ascii="Arial" w:cs="Arial" w:eastAsia="Arial" w:hAnsi="Arial"/>
          <w:sz w:val="18"/>
          <w:szCs w:val="18"/>
          <w:b w:val="1"/>
          <w:bCs w:val="1"/>
          <w:color w:val="auto"/>
        </w:rPr>
        <w:t>[***]</w:t>
      </w:r>
      <w:r>
        <w:rPr>
          <w:rFonts w:ascii="Arial" w:cs="Arial" w:eastAsia="Arial" w:hAnsi="Arial"/>
          <w:sz w:val="18"/>
          <w:szCs w:val="18"/>
          <w:color w:val="auto"/>
        </w:rPr>
        <w:t>, are due for this four-year period; these amounts are due by Licensee per the terms of this Agreement, and UGARF will not send an invoice to Licensee for such amounts.</w:t>
      </w:r>
    </w:p>
    <w:p>
      <w:pPr>
        <w:spacing w:after="0" w:line="160" w:lineRule="exact"/>
        <w:rPr>
          <w:sz w:val="20"/>
          <w:szCs w:val="20"/>
          <w:color w:val="auto"/>
        </w:rPr>
      </w:pPr>
    </w:p>
    <w:p>
      <w:pPr>
        <w:ind w:left="760" w:right="160"/>
        <w:spacing w:after="0" w:line="253" w:lineRule="auto"/>
        <w:rPr>
          <w:sz w:val="20"/>
          <w:szCs w:val="20"/>
          <w:color w:val="auto"/>
        </w:rPr>
      </w:pPr>
      <w:r>
        <w:rPr>
          <w:rFonts w:ascii="Arial" w:cs="Arial" w:eastAsia="Arial" w:hAnsi="Arial"/>
          <w:sz w:val="18"/>
          <w:szCs w:val="18"/>
          <w:color w:val="auto"/>
        </w:rPr>
        <w:t xml:space="preserve">6.6.2On or about </w:t>
      </w:r>
      <w:r>
        <w:rPr>
          <w:rFonts w:ascii="Arial" w:cs="Arial" w:eastAsia="Arial" w:hAnsi="Arial"/>
          <w:sz w:val="18"/>
          <w:szCs w:val="18"/>
          <w:b w:val="1"/>
          <w:bCs w:val="1"/>
          <w:color w:val="auto"/>
        </w:rPr>
        <w:t>[***]</w:t>
      </w:r>
      <w:r>
        <w:rPr>
          <w:rFonts w:ascii="Arial" w:cs="Arial" w:eastAsia="Arial" w:hAnsi="Arial"/>
          <w:sz w:val="18"/>
          <w:szCs w:val="18"/>
          <w:color w:val="auto"/>
        </w:rPr>
        <w:t xml:space="preserve">, UGARF shall invoice Licensee of the total of all remaining unreimbursed Patent Expenses as of </w:t>
      </w:r>
      <w:r>
        <w:rPr>
          <w:rFonts w:ascii="Arial" w:cs="Arial" w:eastAsia="Arial" w:hAnsi="Arial"/>
          <w:sz w:val="18"/>
          <w:szCs w:val="18"/>
          <w:b w:val="1"/>
          <w:bCs w:val="1"/>
          <w:color w:val="auto"/>
        </w:rPr>
        <w:t>[***]</w:t>
      </w:r>
      <w:r>
        <w:rPr>
          <w:rFonts w:ascii="Arial" w:cs="Arial" w:eastAsia="Arial" w:hAnsi="Arial"/>
          <w:sz w:val="18"/>
          <w:szCs w:val="18"/>
          <w:color w:val="auto"/>
        </w:rPr>
        <w:t xml:space="preserve">, and Licensee shall deliver payment to UGARF for unreimbursed Patent Expenses in the amount identified on the invoice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of UGARF’s invoice date for such.</w:t>
      </w:r>
    </w:p>
    <w:p>
      <w:pPr>
        <w:spacing w:after="0" w:line="155" w:lineRule="exact"/>
        <w:rPr>
          <w:sz w:val="20"/>
          <w:szCs w:val="20"/>
          <w:color w:val="auto"/>
        </w:rPr>
      </w:pPr>
    </w:p>
    <w:p>
      <w:pPr>
        <w:ind w:left="760" w:right="120"/>
        <w:spacing w:after="0" w:line="257" w:lineRule="auto"/>
        <w:rPr>
          <w:sz w:val="20"/>
          <w:szCs w:val="20"/>
          <w:color w:val="auto"/>
        </w:rPr>
      </w:pPr>
      <w:r>
        <w:rPr>
          <w:rFonts w:ascii="Arial" w:cs="Arial" w:eastAsia="Arial" w:hAnsi="Arial"/>
          <w:sz w:val="18"/>
          <w:szCs w:val="18"/>
          <w:color w:val="auto"/>
        </w:rPr>
        <w:t xml:space="preserve">6.6.3After UGARF’s invoice per Section 6.6.2, UGARF shall thereafter invoice Licensee for reimbursement of any additional unreimbursed Patent Expenses from time to time, and Licensee shall reimburse UGARF by delivering reimbursement payments to UGARF in the amount of each invoice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of UGARF’s invoice date for such.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It is a material breach of this Agreement for Licensee to fail to make any Patent Expense Reimbursement when due.</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color w:val="auto"/>
        </w:rPr>
        <w:t>Removal for Failure to Make Patent Expense Reimbursements</w:t>
      </w:r>
      <w:r>
        <w:rPr>
          <w:rFonts w:ascii="Arial" w:cs="Arial" w:eastAsia="Arial" w:hAnsi="Arial"/>
          <w:sz w:val="18"/>
          <w:szCs w:val="18"/>
          <w:color w:val="auto"/>
        </w:rPr>
        <w:t xml:space="preserve">. If Licensee is more than 180 days overdue in making any Patent Expense Reimbursement when due per Section 6.6 with respect to any Patent Expenses for any one or more particular Licensed Patents, then UGARF, in addition to its other remedies under this Agreement, may by 60 days’ notice to Licensee remove such Licensed Patents identified in the notice from the definition of Licensed Patents and the grant of rights hereunder. UGARF shall update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by notice to Licensee to reflect the removal of patent filings and/or patents as needed.</w:t>
      </w:r>
    </w:p>
    <w:p>
      <w:pPr>
        <w:spacing w:after="0" w:line="163"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color w:val="auto"/>
        </w:rPr>
        <w:t>UGARF Discretion after Removal of Licensed Patents.</w:t>
      </w:r>
      <w:r>
        <w:rPr>
          <w:rFonts w:ascii="Arial" w:cs="Arial" w:eastAsia="Arial" w:hAnsi="Arial"/>
          <w:sz w:val="18"/>
          <w:szCs w:val="18"/>
          <w:color w:val="auto"/>
        </w:rPr>
        <w:t xml:space="preserve"> If for any reason any one or more patents and/or patent applications is removed from the definition of Licensed Patents and the scope of this Agreement, and/or if for any reason Licensee does not timely elect by the due dates set out in this Agreement for UGARF to file any particular patent application, maintain any particular patent, and/or file for any patent extension, then thereafter UGARF shall have no obligation whatsoever to Licensee, any Sublicensee, or any Contractor with respect to such patents, patent applications, and any attendant rights, which UGARF may pursue, abandon, license to one or more other entities, or otherwise commercialize and/or dispose of in UGARF’s sole discretion.</w:t>
      </w:r>
    </w:p>
    <w:p>
      <w:pPr>
        <w:spacing w:after="0" w:line="1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b w:val="1"/>
          <w:bCs w:val="1"/>
          <w:color w:val="auto"/>
        </w:rPr>
        <w:t>Anacor Retained Rights.</w:t>
      </w:r>
      <w:r>
        <w:rPr>
          <w:rFonts w:ascii="Arial" w:cs="Arial" w:eastAsia="Arial" w:hAnsi="Arial"/>
          <w:sz w:val="18"/>
          <w:szCs w:val="18"/>
          <w:color w:val="auto"/>
        </w:rPr>
        <w:t xml:space="preserve"> Notwithstanding anything to the contrary herein, Licensee acknowledges and agrees that: Anacor, as the owner of Licensed Patents, may in its discretion choose not to take any action in connection with the prosecution of the Licensed Patents that Anacor reasonably believes would be likely to materially adversely affect Anacor’s other patent applications or patents or exploitation of the Non-Project Compounds or Background Intellectual Property (as those terms are defined by the Anacor License Agreement) outside of Chagas disease; and UGARF shall have no liability to Licensee or any of its Sublicensees or Contractors in the event Anacor exercises any rights described herein.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7INFRINGEMENT</w:t>
      </w:r>
    </w:p>
    <w:p>
      <w:pPr>
        <w:spacing w:after="0" w:line="198"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Possible Infringement and Enforcement.</w:t>
      </w:r>
      <w:r>
        <w:rPr>
          <w:rFonts w:ascii="Arial" w:cs="Arial" w:eastAsia="Arial" w:hAnsi="Arial"/>
          <w:sz w:val="18"/>
          <w:szCs w:val="18"/>
          <w:color w:val="auto"/>
        </w:rPr>
        <w:t xml:space="preserve"> Each of Licensee and UGARF shall report timely to the other Party all suspected infringement of any one or more Licensed Patents of which UGARF, Licensee, or any Sublicensee or Contractor becomes aware. It is a material breach of this Agreement by Licensee for Licensee or any Sublicensee or Contractor to contact any third-party suspected of infringement of any one or more Licensed Patents without the prior express written permission of UGARF. If either Party desires to file suit against an alleged infringer of one or more Licensed Patents, then such Party promptly shall notify the other, and the Parties shall discuss and coordinate enforcement efforts as provided in this Article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5" w:name="page136"/>
    <w:bookmarkEnd w:id="135"/>
    <w:p>
      <w:pPr>
        <w:ind w:right="20"/>
        <w:spacing w:after="0" w:line="23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Licensee Enforcement.</w:t>
      </w:r>
      <w:r>
        <w:rPr>
          <w:rFonts w:ascii="Arial" w:cs="Arial" w:eastAsia="Arial" w:hAnsi="Arial"/>
          <w:sz w:val="18"/>
          <w:szCs w:val="18"/>
          <w:color w:val="auto"/>
        </w:rPr>
        <w:t xml:space="preserve"> If Licensee desires to assert one or more infringement claims and/or file suit against an alleged infringer of one or more Licensed Patents in its Licensed Patent Territory, then Licensee shall so notify UGARF. If and only if UGARF authorizes, in UGARF’s sole discretion, Licensee to proceed, then Licensee may initiate claims and/or suit following discussion between the Parties. UGARF shall cooperate with Licensee in all reasonable respects regarding the claims in relating to any litigation, and UGARF acknowledges and agrees that it shall give its consent to be added as a party to any authorized suit if UGARF is determined to be a necessary party. Licensee shall have the sole authority to undertake, negotiate, and settle the matter in any manner consistent with the rights granted to Licensee herein and so long as such settlement does not reduce or negatively impact UGARF’s rights in any material manner. Licensee shall employ counsel reasonably satisfactory to UGARF to represent the interests of Licensee. Licensee shall provide UGARF with copies of all material correspondence and pleadings. Licensee’s counsel shall also represent UGARF with respect to all authorized claims, attendant claims asserted by, and any related claims asserted against UGARF. Licensee shall be responsible for all costs of the matter including but not limited to all costs of litigation, including representation of UGARF by Licensee’s counsel. UGARF may also be represented by its own counsel at UGARF’s expense. Recoveries, including but not limited to settlements and any amounts paid on judgments, collected by or on behalf of Licensee and/or UGARF related to any of the foregoing (i) will be paid to Licensee and to UGARF to reimburse their expenses incurred in such matter (and if the recovery is not sufficient to reimburse both Parties for all expenses, then the Parties will be reimbursed proportionately based on their individual expenses incurred), and then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UGARF Enforcement.</w:t>
      </w:r>
      <w:r>
        <w:rPr>
          <w:rFonts w:ascii="Arial" w:cs="Arial" w:eastAsia="Arial" w:hAnsi="Arial"/>
          <w:sz w:val="18"/>
          <w:szCs w:val="18"/>
          <w:color w:val="auto"/>
        </w:rPr>
        <w:t xml:space="preserve"> If Licensee does not desire or is not authorized to assert one or more infringement claims and/or file suit against an alleged infringer of one or more Licensed Patents in its Licensed Patent Territory, then UGARF may do so. Licensee shall cooperate with UGARF in all reasonable respects in the matter, and Licensee acknowledges and agrees that it shall reasonably consent to be added as a party to any related suit if Licensee is determined to be a necessary party. As between UGARF and Licensee, UGARF shall have the sole authority to undertake, negotiate, and settle the matter in any manner without limitation. UGARF has the right to grant and may grant non-exclusive licenses in settlement of any such enforcement claims or action initiated hereunder, thereby reducing the exclusivity of the license granted to Licensee herein, provided that UGARF shall not grant any such sublicense to a direct competitor of Licensee unless at least one other direct competitor is already, or has been, a Sublicensee. UGARF shall employ counsel of its own choosing in the matter, and Licensee if required to be added to the suit may be represented by UGARF’s counsel, or counsel of Licensee’s own choosing, in the latter case at Licensee’s expense. UGARF shall be responsible for all of its own related expenses. Recoveries, including but not limited to settlements and any amounts paid on judgments, collected by or on behalf of UGARF and/or Licensee related to any of the foregoing (i) will be paid to UGARF and to Licensee to reimburse their expenses incurred in such matter (and if the recovery is not sufficient to reimburse both Parties for all expenses, then the Parties will be reimbursed proportionately based on their individual expenses incurred), and then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Abandonment.</w:t>
      </w:r>
      <w:r>
        <w:rPr>
          <w:rFonts w:ascii="Arial" w:cs="Arial" w:eastAsia="Arial" w:hAnsi="Arial"/>
          <w:sz w:val="18"/>
          <w:szCs w:val="18"/>
          <w:color w:val="auto"/>
        </w:rPr>
        <w:t xml:space="preserve"> If either Party commences any claim or suit against an alleged infringer of one or more Licensed Patents in its Licensed Patent Territory and thereafter elects to abandon such claim or suit, the abandoning Party shall give timely notice to the other Party, which may continue prosecution of such claims and/or suit or otherwise manage the matter in its discretion so long as the Parties first reach an agreement for sharing recoveries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2030095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ARTICLE 8CONFIDENTIALITY</w:t>
      </w:r>
    </w:p>
    <w:p>
      <w:pPr>
        <w:spacing w:after="0" w:line="198"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Limited Exchange of Confidential Information.</w:t>
      </w:r>
      <w:r>
        <w:rPr>
          <w:rFonts w:ascii="Arial" w:cs="Arial" w:eastAsia="Arial" w:hAnsi="Arial"/>
          <w:sz w:val="18"/>
          <w:szCs w:val="18"/>
          <w:color w:val="auto"/>
        </w:rPr>
        <w:t xml:space="preserve"> The Parties intend to exchange Confidential Information between them under this Agreement. The “</w:t>
      </w:r>
      <w:r>
        <w:rPr>
          <w:rFonts w:ascii="Arial" w:cs="Arial" w:eastAsia="Arial" w:hAnsi="Arial"/>
          <w:sz w:val="18"/>
          <w:szCs w:val="18"/>
          <w:u w:val="single" w:color="auto"/>
          <w:color w:val="auto"/>
        </w:rPr>
        <w:t>Provider</w:t>
      </w:r>
      <w:r>
        <w:rPr>
          <w:rFonts w:ascii="Arial" w:cs="Arial" w:eastAsia="Arial" w:hAnsi="Arial"/>
          <w:sz w:val="18"/>
          <w:szCs w:val="18"/>
          <w:color w:val="auto"/>
        </w:rPr>
        <w:t>” of Confidential Information is the Party that possesses and then discloses or otherwise provides Confidential Information to the other Party to this Agreement, and the “</w:t>
      </w:r>
      <w:r>
        <w:rPr>
          <w:rFonts w:ascii="Arial" w:cs="Arial" w:eastAsia="Arial" w:hAnsi="Arial"/>
          <w:sz w:val="18"/>
          <w:szCs w:val="18"/>
          <w:u w:val="single" w:color="auto"/>
          <w:color w:val="auto"/>
        </w:rPr>
        <w:t>Recipient</w:t>
      </w:r>
      <w:r>
        <w:rPr>
          <w:rFonts w:ascii="Arial" w:cs="Arial" w:eastAsia="Arial" w:hAnsi="Arial"/>
          <w:sz w:val="18"/>
          <w:szCs w:val="18"/>
          <w:color w:val="auto"/>
        </w:rPr>
        <w:t>” of Confidential Information is the Party receiving it from the Provider. The Parties agree they will only exchange Confidential Information under this Agreement as necessary to fulfill the material purpose of this Agreement and their obligations hereunder.</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Non-Disclosure of Confidential Information.</w:t>
      </w:r>
      <w:r>
        <w:rPr>
          <w:rFonts w:ascii="Arial" w:cs="Arial" w:eastAsia="Arial" w:hAnsi="Arial"/>
          <w:sz w:val="18"/>
          <w:szCs w:val="18"/>
          <w:color w:val="auto"/>
        </w:rPr>
        <w:t xml:space="preserve"> Except to the extent required by law and subject to Sections 8.3 through 8.5 below, beginning on the Effective Date and extending for the later of (a)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termination of the Anacor License Agreement or (b) </w:t>
      </w:r>
      <w:r>
        <w:rPr>
          <w:rFonts w:ascii="Arial" w:cs="Arial" w:eastAsia="Arial" w:hAnsi="Arial"/>
          <w:sz w:val="18"/>
          <w:szCs w:val="18"/>
          <w:b w:val="1"/>
          <w:bCs w:val="1"/>
          <w:color w:val="auto"/>
        </w:rPr>
        <w:t>[***]</w:t>
      </w:r>
      <w:r>
        <w:rPr>
          <w:rFonts w:ascii="Arial" w:cs="Arial" w:eastAsia="Arial" w:hAnsi="Arial"/>
          <w:sz w:val="18"/>
          <w:szCs w:val="18"/>
          <w:color w:val="auto"/>
        </w:rPr>
        <w:t xml:space="preserve"> after all rights in Licensed Patents granted to Licensee hereunder have either expired, been removed from the scope of this Agreement, or have otherwise terminated, a Recipient of the Provider’s Confidential Information shall not disclose and shall take all reasonable security precautions to keep confidential and not disclose such Confidential Information to any person other than to the Recipient’s officers, employees, or professional advisors who need to know such Confidential Information strictly for the purposes of this Agreement, and they shall use such Confidential Information only as necessary for performance of this Agreement. Licensee may receive information under this Agreement that is the Confidential Information (as defined by the Anacor License Agreement) of Trust or Anacor, and in those cases, Licensee shall protect such information and limit its use and disclosure to the full extent required by the Anacor License Agreement, including Article 14 therein, if inconsistent with this Agreement. Licensee agrees that it will abide by all obligations of confidentiality, use, and disclosure of information required of UGARF by the Anacor License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Exception for Disclosure to Third-Party Recipients.</w:t>
      </w:r>
      <w:r>
        <w:rPr>
          <w:rFonts w:ascii="Arial" w:cs="Arial" w:eastAsia="Arial" w:hAnsi="Arial"/>
          <w:sz w:val="18"/>
          <w:szCs w:val="18"/>
          <w:color w:val="auto"/>
        </w:rPr>
        <w:t xml:space="preserve"> Notwithstanding anything to the contrary herein, a Recipient may disclose the Provider’s Confidential Information to those affiliates, agents, sublicensees (including Sublicensees), research collaborators, and financial, legal, and other professional advisors, and in the case of UGARF, to Trust, Anacor, UGA, and Inventor, who reasonably have a need to know such Confidential Information in furtherance of the material purpose of this Agreement (“</w:t>
      </w:r>
      <w:r>
        <w:rPr>
          <w:rFonts w:ascii="Arial" w:cs="Arial" w:eastAsia="Arial" w:hAnsi="Arial"/>
          <w:sz w:val="18"/>
          <w:szCs w:val="18"/>
          <w:u w:val="single" w:color="auto"/>
          <w:color w:val="auto"/>
        </w:rPr>
        <w:t>Third-Party Recipients</w:t>
      </w:r>
      <w:r>
        <w:rPr>
          <w:rFonts w:ascii="Arial" w:cs="Arial" w:eastAsia="Arial" w:hAnsi="Arial"/>
          <w:sz w:val="18"/>
          <w:szCs w:val="18"/>
          <w:color w:val="auto"/>
        </w:rPr>
        <w:t>”), but only after the Third-Party Recipient has signed a written agreement of confidentiality with the Recipient that limits disclosure of, protects, and requires return or destruction of, the Provider’s Confidential Information to the same or a greater extent as the terms of this Agreement and the Anacor License Agreement (as applicable). The Recipient disclosing a Provider’s Confidential Information to a Third-Party Recipient shall be fully responsible to the Provider for the Third-Party Recipient’s full compliance with the terms of this Article 8.</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b w:val="1"/>
          <w:bCs w:val="1"/>
          <w:color w:val="auto"/>
        </w:rPr>
        <w:t xml:space="preserve">Certain Confidential Information Excluded. </w:t>
      </w:r>
      <w:r>
        <w:rPr>
          <w:rFonts w:ascii="Arial" w:cs="Arial" w:eastAsia="Arial" w:hAnsi="Arial"/>
          <w:sz w:val="17"/>
          <w:szCs w:val="17"/>
          <w:color w:val="auto"/>
        </w:rPr>
        <w:t>A Recipient or Third-Party Recipient shall have no obligations of non-disclosure per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Section 8.2 and/or 8.3 with respect to any portion of the Provider’s Confidential Information that:</w:t>
      </w:r>
    </w:p>
    <w:p>
      <w:pPr>
        <w:spacing w:after="0" w:line="180" w:lineRule="exact"/>
        <w:rPr>
          <w:sz w:val="20"/>
          <w:szCs w:val="20"/>
          <w:color w:val="auto"/>
        </w:rPr>
      </w:pPr>
    </w:p>
    <w:p>
      <w:pPr>
        <w:ind w:left="760" w:right="200" w:hanging="3"/>
        <w:spacing w:after="0" w:line="271" w:lineRule="auto"/>
        <w:tabs>
          <w:tab w:leader="none" w:pos="102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or was already known to the Recipient or Third-Party Recipient at the time of disclosure under this Agreement, as shown by the Recipient’s or Third-Party Recipient’s written records, without any obligation to keep it confidential;</w:t>
      </w:r>
    </w:p>
    <w:p>
      <w:pPr>
        <w:spacing w:after="0" w:line="140" w:lineRule="exact"/>
        <w:rPr>
          <w:rFonts w:ascii="Arial" w:cs="Arial" w:eastAsia="Arial" w:hAnsi="Arial"/>
          <w:sz w:val="18"/>
          <w:szCs w:val="18"/>
          <w:color w:val="auto"/>
        </w:rPr>
      </w:pPr>
    </w:p>
    <w:p>
      <w:pPr>
        <w:ind w:left="760" w:right="20" w:hanging="3"/>
        <w:spacing w:after="0" w:line="271" w:lineRule="auto"/>
        <w:tabs>
          <w:tab w:leader="none" w:pos="102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independently developed by employees of the Recipient or Third-Party Recipient who have not had access to the Confidential Information of the Provider; and/or</w:t>
      </w:r>
    </w:p>
    <w:p>
      <w:pPr>
        <w:spacing w:after="0" w:line="140" w:lineRule="exact"/>
        <w:rPr>
          <w:rFonts w:ascii="Arial" w:cs="Arial" w:eastAsia="Arial" w:hAnsi="Arial"/>
          <w:sz w:val="18"/>
          <w:szCs w:val="18"/>
          <w:color w:val="auto"/>
        </w:rPr>
      </w:pPr>
    </w:p>
    <w:p>
      <w:pPr>
        <w:ind w:left="760" w:right="100" w:hanging="3"/>
        <w:spacing w:after="0" w:line="253" w:lineRule="auto"/>
        <w:tabs>
          <w:tab w:leader="none" w:pos="102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the time being disclosed or obtained by the Recipient or Third-Party Recipient under this Agreement or at any time thereafter is published or otherwise generally available to the public other than due to default by the Recipient or Third-Party Recipient of its obligations of confidentiality.</w:t>
      </w:r>
    </w:p>
    <w:p>
      <w:pPr>
        <w:spacing w:after="0" w:line="155"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Notwithstanding anything to the contrary herein, each Party shall have the right to disclose Confidential Information of the other Party to the extent required to be disclosed by a competent Court or regulatory authority or otherwise by applicable law, provided that where Licensee is the Recipient and is free to do so, Licensee shall give notice of such disclosure to UGARF as soon as reasonably practicable and assist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7" w:name="page138"/>
    <w:bookmarkEnd w:id="137"/>
    <w:p>
      <w:pPr>
        <w:ind w:right="320"/>
        <w:spacing w:after="0" w:line="266" w:lineRule="auto"/>
        <w:rPr>
          <w:sz w:val="20"/>
          <w:szCs w:val="20"/>
          <w:color w:val="auto"/>
        </w:rPr>
      </w:pPr>
      <w:r>
        <w:rPr>
          <w:rFonts w:ascii="Arial" w:cs="Arial" w:eastAsia="Arial" w:hAnsi="Arial"/>
          <w:sz w:val="17"/>
          <w:szCs w:val="17"/>
          <w:color w:val="auto"/>
        </w:rPr>
        <w:t xml:space="preserve">UGARF in challenging the order or obtaining confidential treatment of such information. Where such disclosure of information is required under the Freedom of Information Act 2000 and such information relates to Trust, Licensee shall notify UGARF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receiving an information that such request has been made and the details thereof. Licensee shall not make any disclosure during a period of </w:t>
      </w:r>
      <w:r>
        <w:rPr>
          <w:rFonts w:ascii="Arial" w:cs="Arial" w:eastAsia="Arial" w:hAnsi="Arial"/>
          <w:sz w:val="17"/>
          <w:szCs w:val="17"/>
          <w:b w:val="1"/>
          <w:bCs w:val="1"/>
          <w:color w:val="auto"/>
        </w:rPr>
        <w:t>[***]</w:t>
      </w:r>
      <w:r>
        <w:rPr>
          <w:rFonts w:ascii="Arial" w:cs="Arial" w:eastAsia="Arial" w:hAnsi="Arial"/>
          <w:sz w:val="17"/>
          <w:szCs w:val="17"/>
          <w:color w:val="auto"/>
        </w:rPr>
        <w:t xml:space="preserve"> and shall on request provide an update of the status of any response regarding information the Licensee has disclosed or intends to disclose.</w:t>
      </w:r>
    </w:p>
    <w:p>
      <w:pPr>
        <w:spacing w:after="0" w:line="146"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Acknowledgement of Additional Provisions of Anacor License Agreement.</w:t>
      </w:r>
      <w:r>
        <w:rPr>
          <w:rFonts w:ascii="Arial" w:cs="Arial" w:eastAsia="Arial" w:hAnsi="Arial"/>
          <w:sz w:val="18"/>
          <w:szCs w:val="18"/>
          <w:color w:val="auto"/>
        </w:rPr>
        <w:t xml:space="preserve"> Licensee acknowledges it is informed of the provisions of Articles 12 (Publications), 13 (Announcements), and 14 (Confidentiality) of the Anacor License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Use of UGARF Names</w:t>
      </w:r>
      <w:r>
        <w:rPr>
          <w:rFonts w:ascii="Arial" w:cs="Arial" w:eastAsia="Arial" w:hAnsi="Arial"/>
          <w:sz w:val="18"/>
          <w:szCs w:val="18"/>
          <w:color w:val="auto"/>
        </w:rPr>
        <w:t>. None of Licensee and/or any Sublicensee or Contractor shall use the names or marks of UGARF, the University of Georgia, or any of their employees or students in any marketing, advertising, publicity, or other commercial or promotional use without the prior written consent of the owner of the name or mark. Notwithstanding the foregoing, Licensee may use the names of UGARF and the University of Georgia in a true, accurate, and non-misleading fashion in (i) business plans, offering memoranda, and other similar documents for the purpose of raising financing for the operations of Licensee as related to the Licensed Patents and Licensed Products; (ii) as required in Sublicenses and Production Rights Agreements to incorporate UGARF’s required interests and terms; and (iii) in any securities reports required to be filed with the Securities and Exchange Commission or similar foreign agency.</w:t>
      </w:r>
    </w:p>
    <w:p>
      <w:pPr>
        <w:spacing w:after="0" w:line="171"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Use of Trust, Anacor Names.</w:t>
      </w:r>
      <w:r>
        <w:rPr>
          <w:rFonts w:ascii="Arial" w:cs="Arial" w:eastAsia="Arial" w:hAnsi="Arial"/>
          <w:sz w:val="18"/>
          <w:szCs w:val="18"/>
          <w:color w:val="auto"/>
        </w:rPr>
        <w:t xml:space="preserve"> Licensee shall not use, and Licensee shall require that its Affiliates, Sublicensees, Contractors, and agents shall not use, the registered or unregistered trademarks, service marks, trade dress, trade names, logos, insignia, domain names, symbols, or designs of Anacor, Trust, or any of their respective Affiliates in any press release, publication, or other form of promotional disclosure without the prior written consent of the owner of such, in each instance.</w:t>
      </w:r>
    </w:p>
    <w:p>
      <w:pPr>
        <w:spacing w:after="0" w:line="16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color w:val="auto"/>
        </w:rPr>
        <w:t>Press Releases.</w:t>
      </w:r>
      <w:r>
        <w:rPr>
          <w:rFonts w:ascii="Arial" w:cs="Arial" w:eastAsia="Arial" w:hAnsi="Arial"/>
          <w:sz w:val="18"/>
          <w:szCs w:val="18"/>
          <w:color w:val="auto"/>
        </w:rPr>
        <w:t xml:space="preserve"> Licensee shall not, and Licensee shall require that its Affiliates, Sublicensees, Contractors, and agents shall not, issue or authorize any press release or other public statement whether written, electronic, oral, or otherwise, disclosing the existence of the Anacor License Agreement or this Agreement, or any Sublicense or Production Rights Agreement at any tier, the terms of any such agreements, or any confidential information relating to any such agreements without the prior written consent of UGARF, Anacor, and Trust, such consent not to be unreasonably withheld or delayed. Notwithstanding the foregoing, no party shall not be prevented from complying with any duty of disclosure it may have pursuant to applicable law or the rules of any recognized stock exchange so long as the disclosing party provides UGARF, Anacor, and Trust at least </w:t>
      </w:r>
      <w:r>
        <w:rPr>
          <w:rFonts w:ascii="Arial" w:cs="Arial" w:eastAsia="Arial" w:hAnsi="Arial"/>
          <w:sz w:val="18"/>
          <w:szCs w:val="18"/>
          <w:b w:val="1"/>
          <w:bCs w:val="1"/>
          <w:color w:val="auto"/>
        </w:rPr>
        <w:t>[***]</w:t>
      </w:r>
      <w:r>
        <w:rPr>
          <w:rFonts w:ascii="Arial" w:cs="Arial" w:eastAsia="Arial" w:hAnsi="Arial"/>
          <w:sz w:val="18"/>
          <w:szCs w:val="18"/>
          <w:color w:val="auto"/>
        </w:rPr>
        <w:t xml:space="preserve"> prior written notice to the extent practicable and only discloses information to the extent required by applicable law or the rules of any recognized stock exchange.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60" w:firstLine="268"/>
        <w:spacing w:after="0" w:line="469" w:lineRule="auto"/>
        <w:rPr>
          <w:sz w:val="20"/>
          <w:szCs w:val="20"/>
          <w:color w:val="auto"/>
        </w:rPr>
      </w:pPr>
      <w:r>
        <w:rPr>
          <w:rFonts w:ascii="Arial" w:cs="Arial" w:eastAsia="Arial" w:hAnsi="Arial"/>
          <w:sz w:val="18"/>
          <w:szCs w:val="18"/>
          <w:b w:val="1"/>
          <w:bCs w:val="1"/>
          <w:color w:val="auto"/>
        </w:rPr>
        <w:t xml:space="preserve">ARTICLE 9REPRESENTATIONS AND WARRANTIES; DISCLAIMERS; COVENANTS; LIABILITY; INDEMNITY; AND INSURANCE </w:t>
      </w:r>
      <w:r>
        <w:rPr>
          <w:rFonts w:ascii="Arial" w:cs="Arial" w:eastAsia="Arial" w:hAnsi="Arial"/>
          <w:sz w:val="18"/>
          <w:szCs w:val="18"/>
          <w:color w:val="auto"/>
        </w:rPr>
        <w:t>9.1 Representations and Warranties.</w:t>
      </w:r>
    </w:p>
    <w:p>
      <w:pPr>
        <w:spacing w:after="0" w:line="1" w:lineRule="exact"/>
        <w:rPr>
          <w:sz w:val="20"/>
          <w:szCs w:val="20"/>
          <w:color w:val="auto"/>
        </w:rPr>
      </w:pPr>
    </w:p>
    <w:p>
      <w:pPr>
        <w:ind w:left="760" w:hanging="378"/>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Mutual Representations and Warranties. </w:t>
      </w:r>
      <w:r>
        <w:rPr>
          <w:rFonts w:ascii="Arial" w:cs="Arial" w:eastAsia="Arial" w:hAnsi="Arial"/>
          <w:sz w:val="18"/>
          <w:szCs w:val="18"/>
          <w:color w:val="auto"/>
        </w:rPr>
        <w:t>UGARF and Licensee each represent and warrant to the other that:</w:t>
      </w:r>
    </w:p>
    <w:p>
      <w:pPr>
        <w:spacing w:after="0" w:line="13" w:lineRule="exact"/>
        <w:rPr>
          <w:rFonts w:ascii="Arial" w:cs="Arial" w:eastAsia="Arial" w:hAnsi="Arial"/>
          <w:sz w:val="18"/>
          <w:szCs w:val="18"/>
          <w:color w:val="auto"/>
        </w:rPr>
      </w:pPr>
    </w:p>
    <w:p>
      <w:pPr>
        <w:ind w:left="1500" w:hanging="369"/>
        <w:spacing w:after="0" w:line="234" w:lineRule="auto"/>
        <w:tabs>
          <w:tab w:leader="none" w:pos="15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it has the right, power, and authority to enter into and perform its obligations under this Agreement;</w:t>
      </w:r>
    </w:p>
    <w:p>
      <w:pPr>
        <w:ind w:left="1500" w:right="20" w:hanging="369"/>
        <w:spacing w:after="0" w:line="250" w:lineRule="auto"/>
        <w:tabs>
          <w:tab w:leader="none" w:pos="15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it has full corporate power and authority and has taken all actions necessary to authorize the execution and delivery of this Agreement and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8" w:name="page139"/>
    <w:bookmarkEnd w:id="138"/>
    <w:p>
      <w:pPr>
        <w:ind w:left="1500" w:right="660" w:hanging="369"/>
        <w:spacing w:after="0" w:line="245" w:lineRule="auto"/>
        <w:tabs>
          <w:tab w:leader="none" w:pos="15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Agreement constitutes a valid and binding agreement enforceable against it in accordance with its terms and applicable law;</w:t>
      </w:r>
    </w:p>
    <w:p>
      <w:pPr>
        <w:ind w:left="1500" w:right="80" w:hanging="369"/>
        <w:spacing w:after="0" w:line="234" w:lineRule="auto"/>
        <w:tabs>
          <w:tab w:leader="none" w:pos="15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consents, approvals, authorizations, and notifications from or to all governmental authorities and third-parties required by a Party in connection with the Agreement have been obtained or provided; and</w:t>
      </w:r>
    </w:p>
    <w:p>
      <w:pPr>
        <w:spacing w:after="0" w:line="1" w:lineRule="exact"/>
        <w:rPr>
          <w:rFonts w:ascii="Arial" w:cs="Arial" w:eastAsia="Arial" w:hAnsi="Arial"/>
          <w:sz w:val="18"/>
          <w:szCs w:val="18"/>
          <w:color w:val="auto"/>
        </w:rPr>
      </w:pPr>
    </w:p>
    <w:p>
      <w:pPr>
        <w:jc w:val="both"/>
        <w:ind w:left="1500" w:right="140" w:hanging="369"/>
        <w:spacing w:after="0" w:line="234" w:lineRule="auto"/>
        <w:tabs>
          <w:tab w:leader="none" w:pos="15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hereby do not and shall not (A) conflict with or result in any breach of any documents or governmental requirements, (B) result in a breach of any agreement to which it is a party or</w:t>
      </w:r>
    </w:p>
    <w:p>
      <w:pPr>
        <w:spacing w:after="0" w:line="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(C) violate any applicable law, rule, or regulation.</w:t>
      </w:r>
    </w:p>
    <w:p>
      <w:pPr>
        <w:spacing w:after="0" w:line="180" w:lineRule="exact"/>
        <w:rPr>
          <w:rFonts w:ascii="Arial" w:cs="Arial" w:eastAsia="Arial" w:hAnsi="Arial"/>
          <w:sz w:val="18"/>
          <w:szCs w:val="18"/>
          <w:color w:val="auto"/>
        </w:rPr>
      </w:pPr>
    </w:p>
    <w:p>
      <w:pPr>
        <w:ind w:left="760" w:hanging="378"/>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UGARF Representations and Warranties. </w:t>
      </w:r>
      <w:r>
        <w:rPr>
          <w:rFonts w:ascii="Arial" w:cs="Arial" w:eastAsia="Arial" w:hAnsi="Arial"/>
          <w:sz w:val="18"/>
          <w:szCs w:val="18"/>
          <w:color w:val="auto"/>
        </w:rPr>
        <w:t>UGARF further represents and warrants that:</w:t>
      </w:r>
    </w:p>
    <w:p>
      <w:pPr>
        <w:spacing w:after="0" w:line="13" w:lineRule="exact"/>
        <w:rPr>
          <w:rFonts w:ascii="Arial" w:cs="Arial" w:eastAsia="Arial" w:hAnsi="Arial"/>
          <w:sz w:val="18"/>
          <w:szCs w:val="18"/>
          <w:color w:val="auto"/>
        </w:rPr>
      </w:pPr>
    </w:p>
    <w:p>
      <w:pPr>
        <w:ind w:left="1500" w:right="160" w:hanging="369"/>
        <w:spacing w:after="0" w:line="234" w:lineRule="auto"/>
        <w:tabs>
          <w:tab w:leader="none" w:pos="15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it has the full right, power and authority to grant the rights under the Anacor License Agreement granted pursuant to this Agreement;</w:t>
      </w:r>
    </w:p>
    <w:p>
      <w:pPr>
        <w:spacing w:after="0" w:line="1" w:lineRule="exact"/>
        <w:rPr>
          <w:rFonts w:ascii="Arial" w:cs="Arial" w:eastAsia="Arial" w:hAnsi="Arial"/>
          <w:sz w:val="18"/>
          <w:szCs w:val="18"/>
          <w:color w:val="auto"/>
        </w:rPr>
      </w:pPr>
    </w:p>
    <w:p>
      <w:pPr>
        <w:ind w:left="1500" w:hanging="369"/>
        <w:spacing w:after="0" w:line="234" w:lineRule="auto"/>
        <w:tabs>
          <w:tab w:leader="none" w:pos="15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it has provided as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a full and complete copy of the Anacor License Agreement as currently in effect; and</w:t>
      </w:r>
    </w:p>
    <w:p>
      <w:pPr>
        <w:ind w:left="1500" w:right="220" w:hanging="369"/>
        <w:spacing w:after="0" w:line="250" w:lineRule="auto"/>
        <w:tabs>
          <w:tab w:leader="none" w:pos="15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consents or notifications are required under the Anacor License Agreement except as shall have been obtained and given prior to the Effective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DISCLAIMER OF WARRANTIES</w:t>
      </w:r>
      <w:r>
        <w:rPr>
          <w:rFonts w:ascii="Arial" w:cs="Arial" w:eastAsia="Arial" w:hAnsi="Arial"/>
          <w:sz w:val="18"/>
          <w:szCs w:val="18"/>
          <w:color w:val="auto"/>
        </w:rPr>
        <w:t>. EXCEPT AS SET OUT IN SECTION 9.1, LICENSED PATENTS ARE PROVIDED “AS IS.” UGARF MAKES NO REPRESENTATIONS OR WARRANTIES OF ANY KIND, EXPRESS OR IMPLIED, REGARDING ANY LICENSED PATENTS AND/OR LICENSED PRODUCTS, AND UGARF EXPRESSLY DISCLAIMS ANY IMPLIED WARRANTIES OF MERCHANTABILITY OR FITNESS FOR ANY PARTICULAR PURPOSE RELATED THERETO OR THAT SUCH DO NOT INFRINGE THIRD-PARTY RIGHTS. NOTHING CONTAINED IN THIS AGREEMENT SHALL BE CONSTRUED AS EITHER A WARRANTY OR REPRESENTATION BY UGARF AS TO THE VALIDITY OR SCOPE OF ANY LICENSED PATENT OR THAT ANY PATENT OR OTHER INTELLECTUAL PROPERTY WILL ISSUE AMONG LICENSED PATENTS.</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b w:val="1"/>
          <w:bCs w:val="1"/>
          <w:color w:val="auto"/>
        </w:rPr>
        <w:t xml:space="preserve">Covenants. </w:t>
      </w:r>
      <w:r>
        <w:rPr>
          <w:rFonts w:ascii="Arial" w:cs="Arial" w:eastAsia="Arial" w:hAnsi="Arial"/>
          <w:sz w:val="17"/>
          <w:szCs w:val="17"/>
          <w:color w:val="auto"/>
        </w:rPr>
        <w:t>The parties make covenants as follows.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9.3.1</w:t>
      </w:r>
      <w:r>
        <w:rPr>
          <w:rFonts w:ascii="Arial" w:cs="Arial" w:eastAsia="Arial" w:hAnsi="Arial"/>
          <w:sz w:val="18"/>
          <w:szCs w:val="18"/>
          <w:u w:val="single" w:color="auto"/>
          <w:color w:val="auto"/>
        </w:rPr>
        <w:t>UGARF Covenants</w:t>
      </w:r>
      <w:r>
        <w:rPr>
          <w:rFonts w:ascii="Arial" w:cs="Arial" w:eastAsia="Arial" w:hAnsi="Arial"/>
          <w:sz w:val="18"/>
          <w:szCs w:val="18"/>
          <w:color w:val="auto"/>
        </w:rPr>
        <w:t>. UGARF covenants to Licensee that UGARF shall at all times (a) use its reasonable efforts to maintain the Anacor License Agreement in full force and effect, (b) not amend or otherwise modify the Anacor License Agreement in a manner that would negatively affect the rights and interests of Licensee as set forth in this Agreement without the prior written consent of Licensee, (c) notify Licensee if any Project Compound Intellectual Property (each as defined under the Anacor License Agreement) sublicensed pursuant to this Agreement lapses or otherwise becomes part of the public domain, (d) timely make any and all payments due by UGARF to Anacor or any third-party under the Anacor License Agreement, and (e) notify and provide to Licensee a copy of any amendment or modification of the Anacor License Agreement.</w:t>
      </w:r>
    </w:p>
    <w:p>
      <w:pPr>
        <w:spacing w:after="0" w:line="171" w:lineRule="exact"/>
        <w:rPr>
          <w:sz w:val="20"/>
          <w:szCs w:val="20"/>
          <w:color w:val="auto"/>
        </w:rPr>
      </w:pPr>
    </w:p>
    <w:p>
      <w:pPr>
        <w:jc w:val="both"/>
        <w:ind w:left="760" w:right="20"/>
        <w:spacing w:after="0" w:line="247" w:lineRule="auto"/>
        <w:rPr>
          <w:sz w:val="20"/>
          <w:szCs w:val="20"/>
          <w:color w:val="auto"/>
        </w:rPr>
      </w:pPr>
      <w:r>
        <w:rPr>
          <w:rFonts w:ascii="Arial" w:cs="Arial" w:eastAsia="Arial" w:hAnsi="Arial"/>
          <w:sz w:val="18"/>
          <w:szCs w:val="18"/>
          <w:color w:val="auto"/>
        </w:rPr>
        <w:t>9.3.2</w:t>
      </w:r>
      <w:r>
        <w:rPr>
          <w:rFonts w:ascii="Arial" w:cs="Arial" w:eastAsia="Arial" w:hAnsi="Arial"/>
          <w:sz w:val="18"/>
          <w:szCs w:val="18"/>
          <w:u w:val="single" w:color="auto"/>
          <w:color w:val="auto"/>
        </w:rPr>
        <w:t>Licensee Covenants</w:t>
      </w:r>
      <w:r>
        <w:rPr>
          <w:rFonts w:ascii="Arial" w:cs="Arial" w:eastAsia="Arial" w:hAnsi="Arial"/>
          <w:sz w:val="18"/>
          <w:szCs w:val="18"/>
          <w:color w:val="auto"/>
        </w:rPr>
        <w:t>. Licensee covenants that Licensee and its Affiliates, Sublicensees, and Contractors shall not enforce any rights in Licensed Patents that may cover Non-Project Compounds (as defined in the Anacor License Agreement) against Anacor, its Affiliates, collaborators, and licensees who practice such Licensed Patents in making, using, or selling Non-Project Compounds (as defined in the Anacor License Agreement).</w:t>
      </w:r>
    </w:p>
    <w:p>
      <w:pPr>
        <w:spacing w:after="0" w:line="16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LIMITATION OF LIABILITY.</w:t>
      </w:r>
      <w:r>
        <w:rPr>
          <w:rFonts w:ascii="Arial" w:cs="Arial" w:eastAsia="Arial" w:hAnsi="Arial"/>
          <w:sz w:val="18"/>
          <w:szCs w:val="18"/>
          <w:color w:val="auto"/>
        </w:rPr>
        <w:t xml:space="preserve"> EACH OF LICENSEE AND UGARF ASSUMES NO LIABILITY, AND SHALL HAVE NO LIABILITY TO LICENSEE OR TO ANY SUBLICENSEE OR CONTRACTOR WHATSOEVER, FOR ANY DIRECT, INDIRECT, SPECIAL, PUNITIVE, INCIDENTAL, LOST PROFITS, AND/OR CONSEQUENTIAL DAMAGES OF ANY KIND (collectively, “</w:t>
      </w:r>
      <w:r>
        <w:rPr>
          <w:rFonts w:ascii="Arial" w:cs="Arial" w:eastAsia="Arial" w:hAnsi="Arial"/>
          <w:sz w:val="18"/>
          <w:szCs w:val="18"/>
          <w:u w:val="single" w:color="auto"/>
          <w:color w:val="auto"/>
        </w:rPr>
        <w:t>DAMAGES</w:t>
      </w:r>
      <w:r>
        <w:rPr>
          <w:rFonts w:ascii="Arial" w:cs="Arial" w:eastAsia="Arial" w:hAnsi="Arial"/>
          <w:sz w:val="18"/>
          <w:szCs w:val="18"/>
          <w:color w:val="auto"/>
        </w:rPr>
        <w:t>”) ARISING OUT OF OR RELATED TO LICENSEE’S AND/OR ANY SUBLICENSEE’S OR CONTRACTOR’S PRACTICE OF LICENSED PATENTS AND/OR USE, DEVELOPMENT, OFFER FOR SALE, AND/OR SALE OF LICENSED PRODUCTS, OR WITH RESPECT TO LICENSEE’S AND/OR ANY SUBLICENSEE’S OR CONTRACTOR’S PERFORMANCE UNDER THIS AGREEMENT OR COMMERCIALIZATION OF LICENSED PRODUCTS. LICENSEE AND EACH SUBLICENSEE AND CONTRACTOR EACH ASSUME ALL RISK AND LIABILITIES ASSOCIATED WITH ITS USE OF UGARF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39" w:name="page140"/>
    <w:bookmarkEnd w:id="139"/>
    <w:p>
      <w:pPr>
        <w:ind w:right="100" w:firstLine="509"/>
        <w:spacing w:after="0" w:line="244" w:lineRule="auto"/>
        <w:rPr>
          <w:sz w:val="20"/>
          <w:szCs w:val="20"/>
          <w:color w:val="auto"/>
        </w:rPr>
      </w:pPr>
      <w:r>
        <w:rPr>
          <w:rFonts w:ascii="Arial" w:cs="Arial" w:eastAsia="Arial" w:hAnsi="Arial"/>
          <w:sz w:val="18"/>
          <w:szCs w:val="18"/>
          <w:color w:val="auto"/>
        </w:rPr>
        <w:t>INFORMATION, LICENSED PATENTS, AND/OR LICENED PRODUCTS, INCLUDING BUT NOT LIMITED THOSE RISKS AND LIABILITIES ARISING OUT OF OR RELATED TO THE SAFETY, UTILITY, VALUE, AND/OR MARKETABILITY OF LICENSED PATENTS AND/OR LICENSED PRODUCTS. THESE LIMITATIONS OF LIABILITY IN SECTION 9.4 APPLY EVEN THOUGH A PARTY OR ANY ONE OR MORE INDEMNIFIED PARTIES, INCLUDING INDEMNITEES (as defined in Section 9.5 below), MAY HAVE BEEN ADVISED OF THE POSSIBILITY OF SUCH LIABILITY AND/OR RELATED DAMAGES.</w:t>
      </w:r>
    </w:p>
    <w:p>
      <w:pPr>
        <w:spacing w:after="0" w:line="16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INDEMNIFICATION.</w:t>
      </w:r>
      <w:r>
        <w:rPr>
          <w:rFonts w:ascii="Arial" w:cs="Arial" w:eastAsia="Arial" w:hAnsi="Arial"/>
          <w:sz w:val="18"/>
          <w:szCs w:val="18"/>
          <w:color w:val="auto"/>
        </w:rPr>
        <w:t xml:space="preserve"> LICENSEE SHALL INDEMNIFY, HOLD HARMLESS, AND PAY FOR THE DEFENSE OF UGARF, REGENTS, INVENTOR, AND ALL OF THEIR RESPECTIVE TRUSTEES, DIRECTORS, OFFICERS, FACULTY, STUDENTS, EMPLOYEES, CONSULTANTS, AND AGENTS (all collectively “</w:t>
      </w:r>
      <w:r>
        <w:rPr>
          <w:rFonts w:ascii="Arial" w:cs="Arial" w:eastAsia="Arial" w:hAnsi="Arial"/>
          <w:sz w:val="18"/>
          <w:szCs w:val="18"/>
          <w:u w:val="single" w:color="auto"/>
          <w:color w:val="auto"/>
        </w:rPr>
        <w:t>UGARF INDEMNITEES</w:t>
      </w:r>
      <w:r>
        <w:rPr>
          <w:rFonts w:ascii="Arial" w:cs="Arial" w:eastAsia="Arial" w:hAnsi="Arial"/>
          <w:sz w:val="18"/>
          <w:szCs w:val="18"/>
          <w:color w:val="auto"/>
        </w:rPr>
        <w:t>”) FROM AND AGAINST ANY AND ALL CLAIMS, LIABILITIES, AND DAMAGES OF ANY KIND ASSERTED AGAINST ANY ONE OR MORE UGARF INDEMNITEES BY ANY THIRD-PARTY INDIVIDUAL OR ENTITY ARISING OUT OF OR RELATED TO LICENSEE’S OR ANY SUBLICENSEE’S OR CONTRACTOR’S PRACTICE OF LICENSED PATENTS, DEVELOPMENT, OFFER FOR SALE, AND/OR SALE OF LICENSED PRODUCTS OR LICENSEE’S AND/OR ANY SUBLICENSEE’S PREFORMANCE UNDER THIS AGREEMENT OR ANY SUBLICENSE, INCLUDING BUT NOT LIMITED TO CLAIMS AGAINST ANY ONE OR MORE UGARF INDEMNITEES MADE BY A PURCHASER OF LICENSED PRODUCT OR ANACOR FOR BREACH OF THE ANACOR LICENSE AGREEMENT CAUSED IN WHOLE OR IN PARTY BY LICENSEE’S CONDUCT OR FAILURE TO ACT. HOWEVER, LICENSEE SHALL HAVE NO OBLIGATION TO A PARTICULAR UGARF INDEMNITEE UNDER THIS SECTION 9.5 WITH RESPECT TO THAT PORTION OF ANY CLAIMS, LIABILITIES, AND/OR DAMAGES DIRECTLY ARISING OUT OF OR RELATED TO THE NEGLIGENCE OR INTENTIONAL MISCONDUCT, OR BREACH OF THIS AGREEMENT, OF SUCH UGARF INDEMNITEE.</w:t>
      </w:r>
    </w:p>
    <w:p>
      <w:pPr>
        <w:spacing w:after="0" w:line="169" w:lineRule="exact"/>
        <w:rPr>
          <w:sz w:val="20"/>
          <w:szCs w:val="20"/>
          <w:color w:val="auto"/>
        </w:rPr>
      </w:pPr>
    </w:p>
    <w:p>
      <w:pPr>
        <w:ind w:left="760" w:right="20"/>
        <w:spacing w:after="0" w:line="238" w:lineRule="auto"/>
        <w:rPr>
          <w:sz w:val="20"/>
          <w:szCs w:val="20"/>
          <w:color w:val="auto"/>
        </w:rPr>
      </w:pPr>
      <w:r>
        <w:rPr>
          <w:rFonts w:ascii="Arial" w:cs="Arial" w:eastAsia="Arial" w:hAnsi="Arial"/>
          <w:sz w:val="18"/>
          <w:szCs w:val="18"/>
          <w:color w:val="auto"/>
        </w:rPr>
        <w:t xml:space="preserve">9.5.1 </w:t>
      </w:r>
      <w:r>
        <w:rPr>
          <w:rFonts w:ascii="Arial" w:cs="Arial" w:eastAsia="Arial" w:hAnsi="Arial"/>
          <w:sz w:val="18"/>
          <w:szCs w:val="18"/>
          <w:u w:val="single" w:color="auto"/>
          <w:color w:val="auto"/>
        </w:rPr>
        <w:t>Anacor Indemnification</w:t>
      </w:r>
      <w:r>
        <w:rPr>
          <w:rFonts w:ascii="Arial" w:cs="Arial" w:eastAsia="Arial" w:hAnsi="Arial"/>
          <w:sz w:val="18"/>
          <w:szCs w:val="18"/>
          <w:color w:val="auto"/>
        </w:rPr>
        <w:t>. Without limiting the breadth of the foregoing and in addition to the foregoing, Licensee shall indemnify and hold harmless and its Affiliates, and their respective officers, directors, employees, contractors, agents, and assigns (collectively, “</w:t>
      </w:r>
      <w:r>
        <w:rPr>
          <w:rFonts w:ascii="Arial" w:cs="Arial" w:eastAsia="Arial" w:hAnsi="Arial"/>
          <w:sz w:val="18"/>
          <w:szCs w:val="18"/>
          <w:u w:val="single" w:color="auto"/>
          <w:color w:val="auto"/>
        </w:rPr>
        <w:t>Anacor Indemnitees</w:t>
      </w:r>
      <w:r>
        <w:rPr>
          <w:rFonts w:ascii="Arial" w:cs="Arial" w:eastAsia="Arial" w:hAnsi="Arial"/>
          <w:sz w:val="18"/>
          <w:szCs w:val="18"/>
          <w:color w:val="auto"/>
        </w:rPr>
        <w:t>”) from and against any and all demands, claims, actions, and proceedings (whether criminal or civil, in contract, tort, or otherwise) for losses, damages, liabilities, costs, and expenses (“</w:t>
      </w:r>
      <w:r>
        <w:rPr>
          <w:rFonts w:ascii="Arial" w:cs="Arial" w:eastAsia="Arial" w:hAnsi="Arial"/>
          <w:sz w:val="18"/>
          <w:szCs w:val="18"/>
          <w:u w:val="single" w:color="auto"/>
          <w:color w:val="auto"/>
        </w:rPr>
        <w:t>Claims</w:t>
      </w:r>
      <w:r>
        <w:rPr>
          <w:rFonts w:ascii="Arial" w:cs="Arial" w:eastAsia="Arial" w:hAnsi="Arial"/>
          <w:sz w:val="18"/>
          <w:szCs w:val="18"/>
          <w:color w:val="auto"/>
        </w:rPr>
        <w:t>”) arising or resulting from: (a) Development of a Product by Licensee, it Affiliates, subcontractors, or sublicensees, (b) the Commercialization of a Product by Licensee, its Affiliates, subcontractors, or sublicensees, (c) the negligence, willful misconduct, recklessness or wrongful intentional acts or omissions of Licensee, its Affiliates, subcontractors, or sublicensees, (d) breach by Licensee of any representation, warranty, or covenant as set forth in the Anacor License Agreement or this Agreement, (e) Licensee’s use, handling, storage of Licensed Know-How, or (f) Licensee’s use, handling, or storage of Licensed Materials; provided that Licensee shall not be obligated to indemnify any Anacor Indemnitees for any Claims made by Anacor. For the purpose of this Section 9.5.1., all capitalized terms not defined in this Agreement shall have the meaning given to them by the Anacor License Agreement.</w:t>
      </w:r>
    </w:p>
    <w:p>
      <w:pPr>
        <w:spacing w:after="0" w:line="172" w:lineRule="exact"/>
        <w:rPr>
          <w:sz w:val="20"/>
          <w:szCs w:val="20"/>
          <w:color w:val="auto"/>
        </w:rPr>
      </w:pPr>
    </w:p>
    <w:p>
      <w:pPr>
        <w:ind w:left="760"/>
        <w:spacing w:after="0" w:line="239" w:lineRule="auto"/>
        <w:rPr>
          <w:sz w:val="20"/>
          <w:szCs w:val="20"/>
          <w:color w:val="auto"/>
        </w:rPr>
      </w:pPr>
      <w:r>
        <w:rPr>
          <w:rFonts w:ascii="Arial" w:cs="Arial" w:eastAsia="Arial" w:hAnsi="Arial"/>
          <w:sz w:val="18"/>
          <w:szCs w:val="18"/>
          <w:color w:val="auto"/>
        </w:rPr>
        <w:t xml:space="preserve">9.5.2 </w:t>
      </w:r>
      <w:r>
        <w:rPr>
          <w:rFonts w:ascii="Arial" w:cs="Arial" w:eastAsia="Arial" w:hAnsi="Arial"/>
          <w:sz w:val="18"/>
          <w:szCs w:val="18"/>
          <w:u w:val="single" w:color="auto"/>
          <w:color w:val="auto"/>
        </w:rPr>
        <w:t>Anacor Indemnification Procedure</w:t>
      </w:r>
      <w:r>
        <w:rPr>
          <w:rFonts w:ascii="Arial" w:cs="Arial" w:eastAsia="Arial" w:hAnsi="Arial"/>
          <w:sz w:val="18"/>
          <w:szCs w:val="18"/>
          <w:color w:val="auto"/>
        </w:rPr>
        <w:t>. In connection with any Claim for which Anacor seeks indemnification from Licensee pursuant to Section 9.5.1 above, Anacor shall: (a) give UGARF prompt written notice of the Claim; provided, however, that failure to provide such notice shall not relieve the Licensee from its liability or obligation hereunder, except to the extent of any material prejudice as a direct result of such failure; (b) cooperate with Licensee, at Licensee’s expense, in connection with the defense and settlement of the Claim; and (c) permit UGARF or Licensee, as appropriate, to control the defense and settlement of the Claim; provided, however, that neither UGARF nor Licensee may settle the Claim without Anacor’s prior written consent, which shall not be unreasonably withheld or delayed, in the event that such settlement materially adversely impacts Anacor’s rights and obligations. Further, Anacor shall have the right to participate (but not control) and be represented in any suit or action by advisory counsel of Anacor’s selection and at Anacor’s own expense. For the purpose of this Section 9.5.2, all capitalized terms not defined in this Agreement shall have the meaning given to them by the Anacor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0" w:name="page141"/>
    <w:bookmarkEnd w:id="140"/>
    <w:p>
      <w:pPr>
        <w:ind w:right="60"/>
        <w:spacing w:after="0" w:line="238"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Insurance.</w:t>
      </w:r>
      <w:r>
        <w:rPr>
          <w:rFonts w:ascii="Arial" w:cs="Arial" w:eastAsia="Arial" w:hAnsi="Arial"/>
          <w:sz w:val="18"/>
          <w:szCs w:val="18"/>
          <w:color w:val="auto"/>
        </w:rPr>
        <w:t xml:space="preserve"> Licensee shall maintain during the term of this Agreement, and Licensee shall require and ensure that each Sublicensee and Contractor shall maintain during the term of their respective Sublicenses or Production Rights Agreement and until the later of: (a)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termination or expiration of this Agreement (or the Sublicense or Production Rights Agreement, as applicable) or (b) the date that all statutes of limitations covering claims or suits that may be instituted for personal injury based on the sale or use of Licensed Products have expired, commercial general liability insurance from a minimum “A-“ AM Best rated insurance company, including prior to the date of first use of a License Product in humans, contractual liability and product liability or clinical trials, if applicable, with coverage limits of not less than</w:t>
      </w:r>
    </w:p>
    <w:p>
      <w:pPr>
        <w:spacing w:after="0" w:line="1" w:lineRule="exact"/>
        <w:rPr>
          <w:sz w:val="20"/>
          <w:szCs w:val="20"/>
          <w:color w:val="auto"/>
        </w:rPr>
      </w:pPr>
    </w:p>
    <w:p>
      <w:pPr>
        <w:ind w:right="20" w:firstLine="8"/>
        <w:spacing w:after="0" w:line="236" w:lineRule="auto"/>
        <w:tabs>
          <w:tab w:leader="none" w:pos="3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 xml:space="preserve">per occurrence and </w:t>
      </w:r>
      <w:r>
        <w:rPr>
          <w:rFonts w:ascii="Arial" w:cs="Arial" w:eastAsia="Arial" w:hAnsi="Arial"/>
          <w:sz w:val="18"/>
          <w:szCs w:val="18"/>
          <w:b w:val="1"/>
          <w:bCs w:val="1"/>
          <w:color w:val="auto"/>
        </w:rPr>
        <w:t>[***]</w:t>
      </w:r>
      <w:r>
        <w:rPr>
          <w:rFonts w:ascii="Arial" w:cs="Arial" w:eastAsia="Arial" w:hAnsi="Arial"/>
          <w:sz w:val="18"/>
          <w:szCs w:val="18"/>
          <w:color w:val="auto"/>
        </w:rPr>
        <w:t xml:space="preserve"> in the aggregate. Total limits may be provided by any combination of primary and umbrella/excess coverage. The minimum level of insurance set forth herein shall not be construed to create a limit on Licensee’s or any third-party’s liability hereunder. All such policies shall name UGARF, Regents, UGA, Anacor, and Anacor Affiliates as additional insured (usually for U.S., Canada, and Puerto Rico exposures) or indemnify UGARF, Regents, UGA, Anacor, and Anacor Affiliates as principal (usually for rest of world exposures) and provide a waiver of subrogation in favor of UGARF, Regents, UGA, Anacor, and Anacor Affiliates. Such insurance policies shall be primary and non-contributing with respect to any other similar insurance policies available to Anacor or its Affiliates, or to UGARF, Regents, or UGA. Any deductibles for such insurance shall be assumed by Licensee (or by the Sublicensee or Contractor, as applicable). Upon receipt by the Licensee (or Sublicensee or Contractor, as applicable), Licensee shall provide UGARF and Anacor with certified copies of the insurance policies required under this Section 9.6 or original certificates of insurance evidencing such insurance prior to first use of a Project Compound (as defined by the Anacor License Agreement) or Licensed Product in humans. Licensee shall provide notification, and subsequently notify UGARF and Anacor at least thirty days prior to cancellation, termination, or any material change to restrict coverage or reduce limits afforded in any such insurance policies.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10TERM AND TERMINATION</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Term.</w:t>
      </w:r>
      <w:r>
        <w:rPr>
          <w:rFonts w:ascii="Arial" w:cs="Arial" w:eastAsia="Arial" w:hAnsi="Arial"/>
          <w:sz w:val="18"/>
          <w:szCs w:val="18"/>
          <w:color w:val="auto"/>
        </w:rPr>
        <w:t xml:space="preserve"> Unless sooner removed or terminated by this terms of this Agreement or the mutual consent of the Parties, the rights granted to Licensee by this Agreement in each Licensed Patent and sublicensed to Licensee under the Anacor License Agreement shall survive and extend through and including the last day there remains in effect at least one Valid Claim of such Licensed Patent, at which time it is no longer included among Licensed Patents or sublicensed under the Anacor License Agreement.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Termination by Licensee.</w:t>
      </w:r>
      <w:r>
        <w:rPr>
          <w:rFonts w:ascii="Arial" w:cs="Arial" w:eastAsia="Arial" w:hAnsi="Arial"/>
          <w:sz w:val="18"/>
          <w:szCs w:val="18"/>
          <w:color w:val="auto"/>
        </w:rPr>
        <w:t xml:space="preserve"> Licensee may terminate this Agreement by delivering notice of termination to UGARF, and in that event the effective date of termination will be the later of either (a) 30 days from the date of receipt of the notice of termination; or (b) a later termination date identified in the notice.</w:t>
      </w:r>
    </w:p>
    <w:p>
      <w:pPr>
        <w:spacing w:after="0" w:line="15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Termination by UGARF</w:t>
      </w:r>
      <w:r>
        <w:rPr>
          <w:rFonts w:ascii="Arial" w:cs="Arial" w:eastAsia="Arial" w:hAnsi="Arial"/>
          <w:sz w:val="18"/>
          <w:szCs w:val="18"/>
          <w:color w:val="auto"/>
        </w:rPr>
        <w:t>. If Licensee or a Sublicensee or Contractor materially breaches any term of this Agreement and fails to cure such breach within 60 days after Licensee’s receipt of written notice of such breach by UGARF, then UGARF may thereafter deliver, at any time during the term of this Agreement while the noticed breach remains uncured, a notice of termination to Licensee, in which case all of Licensee’s rights under this Agreement automatically shall terminate as of the date of Licensee’s receipt of such notice of termination or on a later termination date identified in the notice. Notwithstanding the foregoing, if Licensee files any action that challenges UGARF’s rights in any one or more Licensed Patents, then UGARF may send notice of termination to Licensee, in which case termination is effective immediately upon Licensee’s receipt of such notice.</w:t>
      </w:r>
    </w:p>
    <w:p>
      <w:pPr>
        <w:spacing w:after="0" w:line="17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Effect of Termination on Licensed Patent Rights.</w:t>
      </w:r>
      <w:r>
        <w:rPr>
          <w:rFonts w:ascii="Arial" w:cs="Arial" w:eastAsia="Arial" w:hAnsi="Arial"/>
          <w:sz w:val="18"/>
          <w:szCs w:val="18"/>
          <w:color w:val="auto"/>
        </w:rPr>
        <w:t xml:space="preserve"> Upon termination or removal from the scope of this Agreement of Licensee’s rights in and to any particular Licensed Patent prior to its natural termination, then Licensee and all Sublicensees and Contractors shall immediately cease practicing such Licensed Patent and, without limiting the foregoing, they all shall immediately cease making use of such Licensed Patent rights to make, have made, offer to sell, and/or sell any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1" w:name="page142"/>
    <w:bookmarkEnd w:id="141"/>
    <w:p>
      <w:pPr>
        <w:ind w:right="60"/>
        <w:spacing w:after="0" w:line="23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Effects of Termination on Confidential Information.</w:t>
      </w:r>
      <w:r>
        <w:rPr>
          <w:rFonts w:ascii="Arial" w:cs="Arial" w:eastAsia="Arial" w:hAnsi="Arial"/>
          <w:sz w:val="18"/>
          <w:szCs w:val="18"/>
          <w:color w:val="auto"/>
        </w:rPr>
        <w:t xml:space="preserve"> Once all rights in Licensed Patents granted to Licensee hereunder have either expired, been removed from the scope of this Agreement, or have otherwise terminated, then each Recipient and Third-Party Recipient of the Provider’s Confidential Information shall destroy all such Confidential Information in such Recipient’s and/or Third-Party Recipient’s possession or control; or upon timely notice from the Provider, the Recipient and each Third-Party Recipient shall return such Confidential Information to the Provider at the Provider’s expense. However, each Recipient and Third-Party Recipient may keep archival copies of the Provider’s Confidential Information to the extent required by applicable records retention policies, law, or regulation, but with the requirement that except to the extent required by law the Recipient and/or Third-Party Recipient may not use or access any such retained Confidential Information of the Provider for any purpose whatsoever unless or until such retained Confidential Information meets one of the exceptions at Sections 8.5(a)-(e).</w:t>
      </w:r>
    </w:p>
    <w:p>
      <w:pPr>
        <w:spacing w:after="0" w:line="17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b w:val="1"/>
          <w:bCs w:val="1"/>
          <w:color w:val="auto"/>
        </w:rPr>
        <w:t xml:space="preserve">Survival. </w:t>
      </w:r>
      <w:r>
        <w:rPr>
          <w:rFonts w:ascii="Arial" w:cs="Arial" w:eastAsia="Arial" w:hAnsi="Arial"/>
          <w:sz w:val="17"/>
          <w:szCs w:val="17"/>
          <w:color w:val="auto"/>
        </w:rPr>
        <w:t>Notwithstanding termination or expiration of this Agreement for any reason, the following provisions shall survive: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Licensee’s payment obligations that are accrued and remaining unpaid or unperformed prior to such termination;</w:t>
      </w:r>
    </w:p>
    <w:p>
      <w:pPr>
        <w:ind w:left="380"/>
        <w:spacing w:after="0" w:line="234" w:lineRule="auto"/>
        <w:rPr>
          <w:sz w:val="20"/>
          <w:szCs w:val="20"/>
          <w:color w:val="auto"/>
        </w:rPr>
      </w:pPr>
      <w:r>
        <w:rPr>
          <w:rFonts w:ascii="Arial" w:cs="Arial" w:eastAsia="Arial" w:hAnsi="Arial"/>
          <w:sz w:val="18"/>
          <w:szCs w:val="18"/>
          <w:color w:val="auto"/>
        </w:rPr>
        <w:t>(b). Licensee’s reporting obligations that are accrued but remaining unmet or unperformed prior to termination;</w:t>
      </w:r>
    </w:p>
    <w:p>
      <w:pPr>
        <w:ind w:left="380"/>
        <w:spacing w:after="0" w:line="235" w:lineRule="auto"/>
        <w:rPr>
          <w:sz w:val="20"/>
          <w:szCs w:val="20"/>
          <w:color w:val="auto"/>
        </w:rPr>
      </w:pPr>
      <w:r>
        <w:rPr>
          <w:rFonts w:ascii="Arial" w:cs="Arial" w:eastAsia="Arial" w:hAnsi="Arial"/>
          <w:sz w:val="18"/>
          <w:szCs w:val="18"/>
          <w:color w:val="auto"/>
        </w:rPr>
        <w:t>(c). Sections 2.3.3, 2.3.4 2.3.5,2.3,6, 4.8, 4.9, 4.10, 4.11, 4.12, 5.4, 5.5, and 6.8 and Articles 7, 8, 9, 10, and 11;</w:t>
      </w:r>
    </w:p>
    <w:p>
      <w:pPr>
        <w:spacing w:after="0" w:line="1" w:lineRule="exact"/>
        <w:rPr>
          <w:sz w:val="20"/>
          <w:szCs w:val="20"/>
          <w:color w:val="auto"/>
        </w:rPr>
      </w:pPr>
    </w:p>
    <w:p>
      <w:pPr>
        <w:ind w:left="760" w:right="80" w:hanging="373"/>
        <w:spacing w:after="0" w:line="250" w:lineRule="auto"/>
        <w:rPr>
          <w:sz w:val="20"/>
          <w:szCs w:val="20"/>
          <w:color w:val="auto"/>
        </w:rPr>
      </w:pPr>
      <w:r>
        <w:rPr>
          <w:rFonts w:ascii="Arial" w:cs="Arial" w:eastAsia="Arial" w:hAnsi="Arial"/>
          <w:sz w:val="18"/>
          <w:szCs w:val="18"/>
          <w:color w:val="auto"/>
        </w:rPr>
        <w:t>(d). Any cause of action or claim of a party, accrued or to accrue, as a result of any breach or default of this Agreement or performance of this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11MISCELLANEOUS</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Integration</w:t>
      </w:r>
      <w:r>
        <w:rPr>
          <w:rFonts w:ascii="Arial" w:cs="Arial" w:eastAsia="Arial" w:hAnsi="Arial"/>
          <w:sz w:val="18"/>
          <w:szCs w:val="18"/>
          <w:color w:val="auto"/>
        </w:rPr>
        <w:t>. This Agreement, including its Appendices, contains the entire understanding of the Parties with respect to the subject matter of this Agreement and supersedes any and all prior written or oral discussions, arrangements, courses of conduct, or agreements with respect to the same subject matter; provided that any contemporaneous agreements executed by the Parties for research or other funding shall be read independently of this Agreement.</w:t>
      </w:r>
    </w:p>
    <w:p>
      <w:pPr>
        <w:spacing w:after="0" w:line="1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Amendment and Waiver.</w:t>
      </w:r>
      <w:r>
        <w:rPr>
          <w:rFonts w:ascii="Arial" w:cs="Arial" w:eastAsia="Arial" w:hAnsi="Arial"/>
          <w:sz w:val="18"/>
          <w:szCs w:val="18"/>
          <w:color w:val="auto"/>
        </w:rPr>
        <w:t xml:space="preserve"> Except as expressly permitted herein, this Agreement may be amended only by a written instrument executed by both Parties. The waiver of an obligation hereunder by a Party shall not constitute a waiver of any other obligation, and shall not constitute a permanent waiver of that obligation.</w:t>
      </w:r>
    </w:p>
    <w:p>
      <w:pPr>
        <w:spacing w:after="0" w:line="15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Assignment.</w:t>
      </w:r>
      <w:r>
        <w:rPr>
          <w:rFonts w:ascii="Arial" w:cs="Arial" w:eastAsia="Arial" w:hAnsi="Arial"/>
          <w:sz w:val="18"/>
          <w:szCs w:val="18"/>
          <w:color w:val="auto"/>
        </w:rPr>
        <w:t xml:space="preserve"> This Agreement shall not be assigned by Licensee without the prior written consent of UGARF at UGARF’s sole discretion, except that no consent shall be required in the case of assignment or transfer to a party that succeeds to all or substantially all of Licensee’s business or assets relating to this Agreement, whether by sale, merger, operation of law, or otherwise, provided that such assignee or transferee promptly agrees to be bound by the terms and conditions of this Agreement. Any purported assignment not in accordance with this Section 11.3 is void. Licensee shall provide UGARF with a copy of assignment within 5 days of execution.</w:t>
      </w:r>
    </w:p>
    <w:p>
      <w:pPr>
        <w:spacing w:after="0" w:line="16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Severability</w:t>
      </w:r>
      <w:r>
        <w:rPr>
          <w:rFonts w:ascii="Arial" w:cs="Arial" w:eastAsia="Arial" w:hAnsi="Arial"/>
          <w:sz w:val="18"/>
          <w:szCs w:val="18"/>
          <w:color w:val="auto"/>
        </w:rPr>
        <w:t>. If any one or more of the provisions of this Agreement is held by any court of competent jurisdiction to be invalid, illegal, or unenforceable, then such provisions shall be reformed to approximate as nearly as possible the intent of the Parties, and the validity of the remaining provisions shall not be affected. If it is not possible to reform the Agreement while maintaining the material intent of the Parties, then this Agreement shall automatically terminate.</w:t>
      </w:r>
    </w:p>
    <w:p>
      <w:pPr>
        <w:spacing w:after="0" w:line="160"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Relationship of Parties.</w:t>
      </w:r>
      <w:r>
        <w:rPr>
          <w:rFonts w:ascii="Arial" w:cs="Arial" w:eastAsia="Arial" w:hAnsi="Arial"/>
          <w:sz w:val="18"/>
          <w:szCs w:val="18"/>
          <w:color w:val="auto"/>
        </w:rPr>
        <w:t xml:space="preserve"> The Parties are independent contractors. There is no relationship of principal to agent, master to servant, employer to employee, or franchiser to franchisee between the Parties. Neither Party has the authority to bind the other or incur any obligation on its behalf except as may be expressly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2" w:name="page143"/>
    <w:bookmarkEnd w:id="142"/>
    <w:p>
      <w:pPr>
        <w:ind w:right="100"/>
        <w:spacing w:after="0" w:line="25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Governing Law; Jurisdiction</w:t>
      </w:r>
      <w:r>
        <w:rPr>
          <w:rFonts w:ascii="Arial" w:cs="Arial" w:eastAsia="Arial" w:hAnsi="Arial"/>
          <w:sz w:val="18"/>
          <w:szCs w:val="18"/>
          <w:color w:val="auto"/>
        </w:rPr>
        <w:t>. This Agreement is governed and interpreted under the laws of the State of Georgia applicable to contracts made and to be performed entirely within Georgia by Georgia residents without regard to the conflicts of laws rules of any jurisdiction. All actions or proceedings related to this Agreement shall be litigated in the U.S. District Court for the Middle District of Georgia.</w:t>
      </w:r>
    </w:p>
    <w:p>
      <w:pPr>
        <w:spacing w:after="0" w:line="155"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Export Controls</w:t>
      </w:r>
      <w:r>
        <w:rPr>
          <w:rFonts w:ascii="Arial" w:cs="Arial" w:eastAsia="Arial" w:hAnsi="Arial"/>
          <w:sz w:val="18"/>
          <w:szCs w:val="18"/>
          <w:color w:val="auto"/>
        </w:rPr>
        <w:t>. Licensee acknowledges that the practice of Licensed Patents, and/or the development, manufacture, transport, and/or sale of Licensed Products, may require a license or other prior permission or approval from an agency or other unit of the U.S. government, and that certain financial transactions with foreign individuals or entities may be barred. UGARF neither represents that any such license or other prior permission or approval will not be required nor that, if required, such shall issue. Licensee shall comply, and Licensee shall ensure that its Sublicensees and Contractors shall comply, with any and all such requirements acknowledged herein.</w:t>
      </w:r>
    </w:p>
    <w:p>
      <w:pPr>
        <w:spacing w:after="0" w:line="1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Force Majeure.</w:t>
      </w:r>
      <w:r>
        <w:rPr>
          <w:rFonts w:ascii="Arial" w:cs="Arial" w:eastAsia="Arial" w:hAnsi="Arial"/>
          <w:sz w:val="18"/>
          <w:szCs w:val="18"/>
          <w:color w:val="auto"/>
        </w:rPr>
        <w:t xml:space="preserve"> Delays in, or failure of, performance by any Party will not constitute default, or trigger any claim for damages, if and to the extent such damages are caused by acts of God, strikes, work stoppages, civil disturbances, fires, floods, explosions, riots, war, rebellion, and/or sabotage.</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Notices</w:t>
      </w:r>
      <w:r>
        <w:rPr>
          <w:rFonts w:ascii="Arial" w:cs="Arial" w:eastAsia="Arial" w:hAnsi="Arial"/>
          <w:sz w:val="18"/>
          <w:szCs w:val="18"/>
          <w:color w:val="auto"/>
        </w:rPr>
        <w:t>. Notices required under this Agreement shall be delivered to a Party at its address set forth below. Notice may be given by hand or by commercial carrier, or by email where indicated. Such notice is effective upon receipt by an employee, agent, or representative of the receiving Party authorized to receive notices or other communications sent or delivered in a manner set forth above.</w:t>
      </w:r>
    </w:p>
    <w:p>
      <w:pPr>
        <w:spacing w:after="0" w:line="155" w:lineRule="exact"/>
        <w:rPr>
          <w:sz w:val="20"/>
          <w:szCs w:val="20"/>
          <w:color w:val="auto"/>
        </w:rPr>
      </w:pPr>
    </w:p>
    <w:p>
      <w:pPr>
        <w:ind w:left="760"/>
        <w:spacing w:after="0"/>
        <w:tabs>
          <w:tab w:leader="none" w:pos="1940" w:val="left"/>
        </w:tabs>
        <w:rPr>
          <w:sz w:val="20"/>
          <w:szCs w:val="20"/>
          <w:color w:val="auto"/>
        </w:rPr>
      </w:pPr>
      <w:r>
        <w:rPr>
          <w:rFonts w:ascii="Arial" w:cs="Arial" w:eastAsia="Arial" w:hAnsi="Arial"/>
          <w:sz w:val="18"/>
          <w:szCs w:val="18"/>
          <w:color w:val="auto"/>
        </w:rPr>
        <w:t>If to UGARF:</w:t>
      </w:r>
      <w:r>
        <w:rPr>
          <w:sz w:val="20"/>
          <w:szCs w:val="20"/>
          <w:color w:val="auto"/>
        </w:rPr>
        <w:tab/>
      </w:r>
      <w:r>
        <w:rPr>
          <w:rFonts w:ascii="Arial" w:cs="Arial" w:eastAsia="Arial" w:hAnsi="Arial"/>
          <w:sz w:val="17"/>
          <w:szCs w:val="17"/>
          <w:color w:val="auto"/>
        </w:rPr>
        <w:t>Director, Innovation Gateway</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University of Georgia Research Foundation, Inc.</w:t>
      </w:r>
    </w:p>
    <w:p>
      <w:pPr>
        <w:ind w:left="2260"/>
        <w:spacing w:after="0" w:line="234" w:lineRule="auto"/>
        <w:rPr>
          <w:sz w:val="20"/>
          <w:szCs w:val="20"/>
          <w:color w:val="auto"/>
        </w:rPr>
      </w:pPr>
      <w:r>
        <w:rPr>
          <w:rFonts w:ascii="Arial" w:cs="Arial" w:eastAsia="Arial" w:hAnsi="Arial"/>
          <w:sz w:val="18"/>
          <w:szCs w:val="18"/>
          <w:color w:val="auto"/>
        </w:rPr>
        <w:t>110 Terrell Hall</w:t>
      </w:r>
    </w:p>
    <w:p>
      <w:pPr>
        <w:ind w:left="2260"/>
        <w:spacing w:after="0" w:line="235" w:lineRule="auto"/>
        <w:rPr>
          <w:sz w:val="20"/>
          <w:szCs w:val="20"/>
          <w:color w:val="auto"/>
        </w:rPr>
      </w:pPr>
      <w:r>
        <w:rPr>
          <w:rFonts w:ascii="Arial" w:cs="Arial" w:eastAsia="Arial" w:hAnsi="Arial"/>
          <w:sz w:val="18"/>
          <w:szCs w:val="18"/>
          <w:color w:val="auto"/>
        </w:rPr>
        <w:t>210 S. Jackson Street</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Athens, Georgia 30602</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to Licensee: Chief Legal Officer</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AN2 Therapeutics, Inc.</w:t>
      </w:r>
    </w:p>
    <w:p>
      <w:pPr>
        <w:ind w:left="2260"/>
        <w:spacing w:after="0" w:line="234" w:lineRule="auto"/>
        <w:rPr>
          <w:sz w:val="20"/>
          <w:szCs w:val="20"/>
          <w:color w:val="auto"/>
        </w:rPr>
      </w:pPr>
      <w:r>
        <w:rPr>
          <w:rFonts w:ascii="Arial" w:cs="Arial" w:eastAsia="Arial" w:hAnsi="Arial"/>
          <w:sz w:val="18"/>
          <w:szCs w:val="18"/>
          <w:color w:val="auto"/>
        </w:rPr>
        <w:t>1800 El Camino Real, Suite D</w:t>
      </w:r>
    </w:p>
    <w:p>
      <w:pPr>
        <w:ind w:left="2260"/>
        <w:spacing w:after="0" w:line="235" w:lineRule="auto"/>
        <w:rPr>
          <w:sz w:val="20"/>
          <w:szCs w:val="20"/>
          <w:color w:val="auto"/>
        </w:rPr>
      </w:pPr>
      <w:r>
        <w:rPr>
          <w:rFonts w:ascii="Arial" w:cs="Arial" w:eastAsia="Arial" w:hAnsi="Arial"/>
          <w:sz w:val="18"/>
          <w:szCs w:val="18"/>
          <w:color w:val="auto"/>
        </w:rPr>
        <w:t>Menlo Park, CA 94027</w:t>
      </w:r>
    </w:p>
    <w:p>
      <w:pPr>
        <w:ind w:left="2260"/>
        <w:spacing w:after="0" w:line="235" w:lineRule="auto"/>
        <w:rPr>
          <w:sz w:val="20"/>
          <w:szCs w:val="20"/>
          <w:color w:val="auto"/>
        </w:rPr>
      </w:pPr>
      <w:r>
        <w:rPr>
          <w:rFonts w:ascii="Arial" w:cs="Arial" w:eastAsia="Arial" w:hAnsi="Arial"/>
          <w:sz w:val="18"/>
          <w:szCs w:val="18"/>
          <w:b w:val="1"/>
          <w:bCs w:val="1"/>
          <w:color w:val="auto"/>
        </w:rPr>
        <w:t>[***]</w:t>
      </w:r>
    </w:p>
    <w:p>
      <w:pPr>
        <w:ind w:left="2260"/>
        <w:spacing w:after="0"/>
        <w:rPr>
          <w:sz w:val="20"/>
          <w:szCs w:val="20"/>
          <w:color w:val="auto"/>
        </w:rPr>
      </w:pPr>
      <w:r>
        <w:rPr>
          <w:rFonts w:ascii="Arial" w:cs="Arial" w:eastAsia="Arial" w:hAnsi="Arial"/>
          <w:sz w:val="18"/>
          <w:szCs w:val="18"/>
          <w:b w:val="1"/>
          <w:bCs w:val="1"/>
          <w:color w:val="auto"/>
        </w:rPr>
        <w:t>[***]</w:t>
      </w:r>
    </w:p>
    <w:p>
      <w:pPr>
        <w:spacing w:after="0" w:line="18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b w:val="1"/>
          <w:bCs w:val="1"/>
          <w:color w:val="auto"/>
        </w:rPr>
        <w:t>Implementation</w:t>
      </w:r>
      <w:r>
        <w:rPr>
          <w:rFonts w:ascii="Arial" w:cs="Arial" w:eastAsia="Arial" w:hAnsi="Arial"/>
          <w:sz w:val="18"/>
          <w:szCs w:val="18"/>
          <w:color w:val="auto"/>
        </w:rPr>
        <w:t>. Each Party shall, at the request of the other Party, execute any documents reasonably necessary to implement the provisions of this Agreement.</w:t>
      </w:r>
    </w:p>
    <w:p>
      <w:pPr>
        <w:spacing w:after="0" w:line="140"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color w:val="auto"/>
        </w:rPr>
        <w:t>Remedies.</w:t>
      </w:r>
      <w:r>
        <w:rPr>
          <w:rFonts w:ascii="Arial" w:cs="Arial" w:eastAsia="Arial" w:hAnsi="Arial"/>
          <w:sz w:val="18"/>
          <w:szCs w:val="18"/>
          <w:color w:val="auto"/>
        </w:rPr>
        <w:t xml:space="preserve"> Due to the proprietary nature of the subject matter, the Parties agree that their respective rights and obligations under this Agreement may be enforced by injunction, specific performance, or other equitable relief, without prejudice to any other rights and remedies the Parties may have at law or equity.</w:t>
      </w:r>
    </w:p>
    <w:p>
      <w:pPr>
        <w:spacing w:after="0" w:line="15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b w:val="1"/>
          <w:bCs w:val="1"/>
          <w:color w:val="auto"/>
        </w:rPr>
        <w:t>Not Binding until Executed and Delivered.</w:t>
      </w:r>
      <w:r>
        <w:rPr>
          <w:rFonts w:ascii="Arial" w:cs="Arial" w:eastAsia="Arial" w:hAnsi="Arial"/>
          <w:sz w:val="18"/>
          <w:szCs w:val="18"/>
          <w:color w:val="auto"/>
        </w:rPr>
        <w:t xml:space="preserve"> Unless and until all Parties hereto have executed and delivered this Agreement, this Agreement shall be of no force or effect.</w:t>
      </w:r>
    </w:p>
    <w:p>
      <w:pPr>
        <w:spacing w:after="0" w:line="14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color w:val="auto"/>
        </w:rPr>
        <w:t>Third-Party Beneficiary.</w:t>
      </w:r>
      <w:r>
        <w:rPr>
          <w:rFonts w:ascii="Arial" w:cs="Arial" w:eastAsia="Arial" w:hAnsi="Arial"/>
          <w:sz w:val="18"/>
          <w:szCs w:val="18"/>
          <w:color w:val="auto"/>
        </w:rPr>
        <w:t xml:space="preserve"> Anacor is a third-party beneficiary of this Agreement with the right to enforce Licensee’s obligations to Anacor herein, including but not limited to those obligations to Anacor in Section 2.5. (Anacor Retained Rights); Sections 9.5.1. and 9.5.2. (Indemnification); Section 11.6.1 (Use of Names); Section11.6.2 (Press Release); and Section 9.6 (Insurance). Licensee shall also require that Anacor be included as a third-party beneficiary of any Sublicense or Production Rights Contract with the right to enforce such Sublicensee’s or Contractor’s obligations to Anacor that are required by this Agreement, including but not limited those obligations to Anacor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43" w:name="page144"/>
    <w:bookmarkEnd w:id="143"/>
    <w:p>
      <w:pPr>
        <w:ind w:right="1100"/>
        <w:spacing w:after="0" w:line="271" w:lineRule="auto"/>
        <w:rPr>
          <w:sz w:val="20"/>
          <w:szCs w:val="20"/>
          <w:color w:val="auto"/>
        </w:rPr>
      </w:pPr>
      <w:r>
        <w:rPr>
          <w:rFonts w:ascii="Arial" w:cs="Arial" w:eastAsia="Arial" w:hAnsi="Arial"/>
          <w:sz w:val="18"/>
          <w:szCs w:val="18"/>
          <w:color w:val="auto"/>
        </w:rPr>
        <w:t>IN WITNESS WHEREOF, the Parties hereto have caused this License Agreement to be executed by their authorized officers or representatives on the date indicated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5"/>
          </w:tcPr>
          <w:p>
            <w:pPr>
              <w:spacing w:after="0"/>
              <w:rPr>
                <w:sz w:val="20"/>
                <w:szCs w:val="20"/>
                <w:color w:val="auto"/>
              </w:rPr>
            </w:pPr>
            <w:r>
              <w:rPr>
                <w:rFonts w:ascii="Arial" w:cs="Arial" w:eastAsia="Arial" w:hAnsi="Arial"/>
                <w:sz w:val="18"/>
                <w:szCs w:val="18"/>
                <w:b w:val="1"/>
                <w:bCs w:val="1"/>
                <w:color w:val="auto"/>
              </w:rPr>
              <w:t>University of Georgia Research</w:t>
            </w:r>
          </w:p>
        </w:tc>
        <w:tc>
          <w:tcPr>
            <w:tcW w:w="800" w:type="dxa"/>
            <w:vAlign w:val="bottom"/>
          </w:tcPr>
          <w:p>
            <w:pPr>
              <w:spacing w:after="0"/>
              <w:rPr>
                <w:sz w:val="17"/>
                <w:szCs w:val="17"/>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AN2 Therapeutics, Inc.</w:t>
            </w:r>
          </w:p>
        </w:tc>
      </w:tr>
      <w:tr>
        <w:trPr>
          <w:trHeight w:val="247"/>
        </w:trPr>
        <w:tc>
          <w:tcPr>
            <w:tcW w:w="2800" w:type="dxa"/>
            <w:vAlign w:val="bottom"/>
            <w:gridSpan w:val="5"/>
          </w:tcPr>
          <w:p>
            <w:pPr>
              <w:spacing w:after="0"/>
              <w:rPr>
                <w:sz w:val="20"/>
                <w:szCs w:val="20"/>
                <w:color w:val="auto"/>
              </w:rPr>
            </w:pPr>
            <w:r>
              <w:rPr>
                <w:rFonts w:ascii="Arial" w:cs="Arial" w:eastAsia="Arial" w:hAnsi="Arial"/>
                <w:sz w:val="18"/>
                <w:szCs w:val="18"/>
                <w:b w:val="1"/>
                <w:bCs w:val="1"/>
                <w:color w:val="auto"/>
              </w:rPr>
              <w:t>Foundation, Inc.</w:t>
            </w: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353"/>
        </w:trPr>
        <w:tc>
          <w:tcPr>
            <w:tcW w:w="2800" w:type="dxa"/>
            <w:vAlign w:val="bottom"/>
            <w:gridSpan w:val="5"/>
          </w:tcPr>
          <w:p>
            <w:pPr>
              <w:spacing w:after="0"/>
              <w:rPr>
                <w:sz w:val="20"/>
                <w:szCs w:val="20"/>
                <w:color w:val="auto"/>
              </w:rPr>
            </w:pPr>
            <w:r>
              <w:rPr>
                <w:rFonts w:ascii="Arial" w:cs="Arial" w:eastAsia="Arial" w:hAnsi="Arial"/>
                <w:sz w:val="18"/>
                <w:szCs w:val="18"/>
                <w:color w:val="auto"/>
              </w:rPr>
              <w:t>By:  _/s/ Derek E. Eberhart_</w:t>
            </w:r>
          </w:p>
        </w:tc>
        <w:tc>
          <w:tcPr>
            <w:tcW w:w="1480" w:type="dxa"/>
            <w:vAlign w:val="bottom"/>
            <w:gridSpan w:val="2"/>
          </w:tcPr>
          <w:p>
            <w:pPr>
              <w:ind w:left="40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85"/>
        </w:trPr>
        <w:tc>
          <w:tcPr>
            <w:tcW w:w="800" w:type="dxa"/>
            <w:vAlign w:val="bottom"/>
            <w:gridSpan w:val="2"/>
          </w:tcPr>
          <w:p>
            <w:pPr>
              <w:spacing w:after="0"/>
              <w:rPr>
                <w:sz w:val="20"/>
                <w:szCs w:val="20"/>
                <w:color w:val="auto"/>
              </w:rPr>
            </w:pPr>
            <w:r>
              <w:rPr>
                <w:rFonts w:ascii="Arial" w:cs="Arial" w:eastAsia="Arial" w:hAnsi="Arial"/>
                <w:sz w:val="18"/>
                <w:szCs w:val="18"/>
                <w:color w:val="auto"/>
              </w:rPr>
              <w:t>Name:</w:t>
            </w: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Dr. Derek E. Eberhart</w:t>
            </w:r>
          </w:p>
        </w:tc>
        <w:tc>
          <w:tcPr>
            <w:tcW w:w="8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4"/>
                <w:szCs w:val="24"/>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Eric Easom</w:t>
            </w:r>
          </w:p>
        </w:tc>
        <w:tc>
          <w:tcPr>
            <w:tcW w:w="5240" w:type="dxa"/>
            <w:vAlign w:val="bottom"/>
          </w:tcPr>
          <w:p>
            <w:pPr>
              <w:spacing w:after="0"/>
              <w:rPr>
                <w:sz w:val="24"/>
                <w:szCs w:val="24"/>
                <w:color w:val="auto"/>
              </w:rPr>
            </w:pPr>
          </w:p>
        </w:tc>
      </w:tr>
      <w:tr>
        <w:trPr>
          <w:trHeight w:val="385"/>
        </w:trPr>
        <w:tc>
          <w:tcPr>
            <w:tcW w:w="800" w:type="dxa"/>
            <w:vAlign w:val="bottom"/>
            <w:gridSpan w:val="2"/>
          </w:tcPr>
          <w:p>
            <w:pPr>
              <w:spacing w:after="0"/>
              <w:rPr>
                <w:sz w:val="20"/>
                <w:szCs w:val="20"/>
                <w:color w:val="auto"/>
              </w:rPr>
            </w:pPr>
            <w:r>
              <w:rPr>
                <w:rFonts w:ascii="Arial" w:cs="Arial" w:eastAsia="Arial" w:hAnsi="Arial"/>
                <w:sz w:val="18"/>
                <w:szCs w:val="18"/>
                <w:color w:val="auto"/>
              </w:rPr>
              <w:t>Title:</w:t>
            </w:r>
          </w:p>
        </w:tc>
        <w:tc>
          <w:tcPr>
            <w:tcW w:w="2000" w:type="dxa"/>
            <w:vAlign w:val="bottom"/>
            <w:gridSpan w:val="3"/>
          </w:tcPr>
          <w:p>
            <w:pPr>
              <w:spacing w:after="0"/>
              <w:rPr>
                <w:sz w:val="20"/>
                <w:szCs w:val="20"/>
                <w:color w:val="auto"/>
              </w:rPr>
            </w:pPr>
            <w:r>
              <w:rPr>
                <w:rFonts w:ascii="Arial" w:cs="Arial" w:eastAsia="Arial" w:hAnsi="Arial"/>
                <w:sz w:val="18"/>
                <w:szCs w:val="18"/>
                <w:color w:val="auto"/>
              </w:rPr>
              <w:t>Chief Licensing Officer</w:t>
            </w:r>
          </w:p>
        </w:tc>
        <w:tc>
          <w:tcPr>
            <w:tcW w:w="8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6960" w:type="dxa"/>
            <w:vAlign w:val="bottom"/>
            <w:gridSpan w:val="4"/>
          </w:tcPr>
          <w:p>
            <w:pPr>
              <w:ind w:left="120"/>
              <w:spacing w:after="0"/>
              <w:rPr>
                <w:sz w:val="20"/>
                <w:szCs w:val="20"/>
                <w:color w:val="auto"/>
              </w:rPr>
            </w:pPr>
            <w:r>
              <w:rPr>
                <w:rFonts w:ascii="Arial" w:cs="Arial" w:eastAsia="Arial" w:hAnsi="Arial"/>
                <w:sz w:val="18"/>
                <w:szCs w:val="18"/>
                <w:color w:val="auto"/>
              </w:rPr>
              <w:t>President &amp; CEO</w:t>
            </w:r>
          </w:p>
        </w:tc>
      </w:tr>
      <w:tr>
        <w:trPr>
          <w:trHeight w:val="385"/>
        </w:trPr>
        <w:tc>
          <w:tcPr>
            <w:tcW w:w="800" w:type="dxa"/>
            <w:vAlign w:val="bottom"/>
            <w:gridSpan w:val="2"/>
          </w:tcPr>
          <w:p>
            <w:pPr>
              <w:spacing w:after="0"/>
              <w:rPr>
                <w:sz w:val="20"/>
                <w:szCs w:val="20"/>
                <w:color w:val="auto"/>
              </w:rPr>
            </w:pPr>
            <w:r>
              <w:rPr>
                <w:rFonts w:ascii="Arial" w:cs="Arial" w:eastAsia="Arial" w:hAnsi="Arial"/>
                <w:sz w:val="18"/>
                <w:szCs w:val="18"/>
                <w:color w:val="auto"/>
              </w:rPr>
              <w:t>Date:</w:t>
            </w: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Date:</w:t>
            </w: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r>
      <w:tr>
        <w:trPr>
          <w:trHeight w:val="1634"/>
        </w:trPr>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-1705610</wp:posOffset>
            </wp:positionV>
            <wp:extent cx="317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317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317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7"/>
          <w:szCs w:val="17"/>
          <w:b w:val="1"/>
          <w:bCs w:val="1"/>
          <w:u w:val="single" w:color="auto"/>
          <w:color w:val="auto"/>
        </w:rPr>
        <w:t>APPENDIX 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1013460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17"/>
          <w:szCs w:val="17"/>
          <w:b w:val="1"/>
          <w:bCs w:val="1"/>
          <w:u w:val="single" w:color="auto"/>
          <w:color w:val="auto"/>
        </w:rPr>
        <w:t>APPENDIX B</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46" w:name="page147"/>
    <w:bookmarkEnd w:id="146"/>
    <w:p>
      <w:pPr>
        <w:jc w:val="center"/>
        <w:spacing w:after="0"/>
        <w:rPr>
          <w:sz w:val="20"/>
          <w:szCs w:val="20"/>
          <w:color w:val="auto"/>
        </w:rPr>
      </w:pPr>
      <w:r>
        <w:rPr>
          <w:rFonts w:ascii="Arial" w:cs="Arial" w:eastAsia="Arial" w:hAnsi="Arial"/>
          <w:sz w:val="17"/>
          <w:szCs w:val="17"/>
          <w:b w:val="1"/>
          <w:bCs w:val="1"/>
          <w:u w:val="single" w:color="auto"/>
          <w:color w:val="auto"/>
        </w:rPr>
        <w:t>APPENDIX 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1142365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17"/>
          <w:szCs w:val="17"/>
          <w:b w:val="1"/>
          <w:bCs w:val="1"/>
          <w:u w:val="single" w:color="auto"/>
          <w:color w:val="auto"/>
        </w:rPr>
        <w:t>APPENDIX 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1142365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48" w:name="page149"/>
    <w:bookmarkEnd w:id="148"/>
    <w:p>
      <w:pPr>
        <w:ind w:left="3880"/>
        <w:spacing w:after="0"/>
        <w:rPr>
          <w:sz w:val="20"/>
          <w:szCs w:val="20"/>
          <w:color w:val="auto"/>
        </w:rPr>
      </w:pPr>
      <w:r>
        <w:rPr>
          <w:rFonts w:ascii="Arial" w:cs="Arial" w:eastAsia="Arial" w:hAnsi="Arial"/>
          <w:sz w:val="17"/>
          <w:szCs w:val="17"/>
          <w:b w:val="1"/>
          <w:bCs w:val="1"/>
          <w:u w:val="single" w:color="auto"/>
          <w:color w:val="auto"/>
        </w:rPr>
        <w:t>APPENDIX D-1</w:t>
      </w:r>
    </w:p>
    <w:p>
      <w:pPr>
        <w:spacing w:after="0" w:line="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1013460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7"/>
          <w:szCs w:val="17"/>
          <w:b w:val="1"/>
          <w:bCs w:val="1"/>
          <w:u w:val="single" w:color="auto"/>
          <w:color w:val="auto"/>
        </w:rPr>
        <w:t>APPENDIX E</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1013460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color w:val="auto"/>
        </w:rPr>
        <w:t>SCHEDULE 1.1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Copy of Anacor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1295400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51" w:name="page152"/>
    <w:bookmarkEnd w:id="151"/>
    <w:p>
      <w:pPr>
        <w:ind w:left="10240"/>
        <w:spacing w:after="0"/>
        <w:rPr>
          <w:sz w:val="20"/>
          <w:szCs w:val="20"/>
          <w:color w:val="auto"/>
        </w:rPr>
      </w:pPr>
      <w:r>
        <w:rPr>
          <w:rFonts w:ascii="Arial" w:cs="Arial" w:eastAsia="Arial" w:hAnsi="Arial"/>
          <w:sz w:val="17"/>
          <w:szCs w:val="17"/>
          <w:b w:val="1"/>
          <w:bCs w:val="1"/>
          <w:color w:val="auto"/>
        </w:rPr>
        <w:t>Exhibit 19.1</w:t>
      </w: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AN2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nsider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rading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Approved by the Board of Directors: February 18,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March 24, 2022</w:t>
      </w:r>
    </w:p>
    <w:p>
      <w:pPr>
        <w:spacing w:after="0"/>
        <w:rPr>
          <w:sz w:val="20"/>
          <w:szCs w:val="20"/>
          <w:color w:val="auto"/>
        </w:rPr>
      </w:pPr>
      <w:r>
        <w:rPr>
          <w:rFonts w:ascii="Arial" w:cs="Arial" w:eastAsia="Arial" w:hAnsi="Arial"/>
          <w:sz w:val="18"/>
          <w:szCs w:val="18"/>
          <w:b w:val="1"/>
          <w:bCs w:val="1"/>
          <w:u w:val="single" w:color="auto"/>
          <w:color w:val="auto"/>
        </w:rPr>
        <w:t>____________________________________________________________________________________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ntroduction</w:t>
      </w:r>
    </w:p>
    <w:p>
      <w:pPr>
        <w:spacing w:after="0" w:line="21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During the course of your relationship with AN2 Therapeutics, Inc. (“</w:t>
      </w:r>
      <w:r>
        <w:rPr>
          <w:rFonts w:ascii="Arial" w:cs="Arial" w:eastAsia="Arial" w:hAnsi="Arial"/>
          <w:sz w:val="18"/>
          <w:szCs w:val="18"/>
          <w:b w:val="1"/>
          <w:bCs w:val="1"/>
          <w:i w:val="1"/>
          <w:iCs w:val="1"/>
          <w:color w:val="auto"/>
        </w:rPr>
        <w:t>AN2</w:t>
      </w:r>
      <w:r>
        <w:rPr>
          <w:rFonts w:ascii="Arial" w:cs="Arial" w:eastAsia="Arial" w:hAnsi="Arial"/>
          <w:sz w:val="18"/>
          <w:szCs w:val="18"/>
          <w:color w:val="auto"/>
        </w:rPr>
        <w:t>”), you may receive material information that is not yet publicly available (“</w:t>
      </w:r>
      <w:r>
        <w:rPr>
          <w:rFonts w:ascii="Arial" w:cs="Arial" w:eastAsia="Arial" w:hAnsi="Arial"/>
          <w:sz w:val="18"/>
          <w:szCs w:val="18"/>
          <w:b w:val="1"/>
          <w:bCs w:val="1"/>
          <w:i w:val="1"/>
          <w:iCs w:val="1"/>
          <w:color w:val="auto"/>
        </w:rPr>
        <w:t>material nonpublic information</w:t>
      </w:r>
      <w:r>
        <w:rPr>
          <w:rFonts w:ascii="Arial" w:cs="Arial" w:eastAsia="Arial" w:hAnsi="Arial"/>
          <w:sz w:val="18"/>
          <w:szCs w:val="18"/>
          <w:color w:val="auto"/>
        </w:rPr>
        <w:t>”) about AN2 or other publicly traded companies that AN2 has business relationships with. Material nonpublic information may give you, or someone you pass that information on to, a leg up over others when deciding whether to buy, sell or otherwise transact in AN2’s securities or the securities of another publicly traded company. This policy sets forth guidelines with respect to transactions in AN2 securities and in the securities of other applicable publicly traded companies, in each case by our employees, directors and consultants who may become aware of material non-public information and the other persons subject to this policy as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tatement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spacing w:after="0" w:line="212" w:lineRule="exact"/>
        <w:rPr>
          <w:sz w:val="20"/>
          <w:szCs w:val="20"/>
          <w:color w:val="auto"/>
        </w:rPr>
      </w:pPr>
    </w:p>
    <w:p>
      <w:pPr>
        <w:jc w:val="both"/>
        <w:ind w:firstLine="374"/>
        <w:spacing w:after="0" w:line="281" w:lineRule="auto"/>
        <w:rPr>
          <w:sz w:val="20"/>
          <w:szCs w:val="20"/>
          <w:color w:val="auto"/>
        </w:rPr>
      </w:pPr>
      <w:r>
        <w:rPr>
          <w:rFonts w:ascii="Arial" w:cs="Arial" w:eastAsia="Arial" w:hAnsi="Arial"/>
          <w:sz w:val="18"/>
          <w:szCs w:val="18"/>
          <w:color w:val="auto"/>
        </w:rPr>
        <w:t xml:space="preserve">It is the policy of AN2 that an employee, director or consultant of AN2 (or any other person subject to this policy) who is aware of material nonpublic information relating to AN2 </w:t>
      </w:r>
      <w:r>
        <w:rPr>
          <w:rFonts w:ascii="Arial" w:cs="Arial" w:eastAsia="Arial" w:hAnsi="Arial"/>
          <w:sz w:val="18"/>
          <w:szCs w:val="18"/>
          <w:b w:val="1"/>
          <w:bCs w:val="1"/>
          <w:color w:val="auto"/>
        </w:rPr>
        <w:t>may not</w:t>
      </w:r>
      <w:r>
        <w:rPr>
          <w:rFonts w:ascii="Arial" w:cs="Arial" w:eastAsia="Arial" w:hAnsi="Arial"/>
          <w:sz w:val="18"/>
          <w:szCs w:val="18"/>
          <w:color w:val="auto"/>
        </w:rPr>
        <w:t>, directly or indirectly:</w:t>
      </w:r>
    </w:p>
    <w:p>
      <w:pPr>
        <w:spacing w:after="0" w:line="136" w:lineRule="exact"/>
        <w:rPr>
          <w:sz w:val="20"/>
          <w:szCs w:val="20"/>
          <w:color w:val="auto"/>
        </w:rPr>
      </w:pPr>
    </w:p>
    <w:p>
      <w:pPr>
        <w:ind w:left="1220" w:hanging="374"/>
        <w:spacing w:after="0" w:line="271" w:lineRule="auto"/>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engage in any transactions in AN2’s securities, except as otherwise specified under the heading “Exceptions to this Policy” below;</w:t>
      </w:r>
    </w:p>
    <w:p>
      <w:pPr>
        <w:spacing w:after="0" w:line="45" w:lineRule="exact"/>
        <w:rPr>
          <w:rFonts w:ascii="Arial" w:cs="Arial" w:eastAsia="Arial" w:hAnsi="Arial"/>
          <w:sz w:val="18"/>
          <w:szCs w:val="18"/>
          <w:color w:val="auto"/>
        </w:rPr>
      </w:pPr>
    </w:p>
    <w:p>
      <w:pPr>
        <w:ind w:left="1220" w:hanging="374"/>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recommend the purchase or sale of any AN2’s securities;</w:t>
      </w:r>
    </w:p>
    <w:p>
      <w:pPr>
        <w:spacing w:after="0" w:line="103" w:lineRule="exact"/>
        <w:rPr>
          <w:rFonts w:ascii="Arial" w:cs="Arial" w:eastAsia="Arial" w:hAnsi="Arial"/>
          <w:sz w:val="18"/>
          <w:szCs w:val="18"/>
          <w:color w:val="auto"/>
        </w:rPr>
      </w:pPr>
    </w:p>
    <w:p>
      <w:pPr>
        <w:jc w:val="both"/>
        <w:ind w:left="1220" w:hanging="374"/>
        <w:spacing w:after="0" w:line="253" w:lineRule="auto"/>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disclose material nonpublic information to persons within AN2 whose jobs do not require them to have that information, or outside of AN2 to other persons, such as family, friends, business associates and investors, unless the disclosure is made in accordance with AN2’s policies regarding the protection or authorized external disclosure of information regarding AN2; or</w:t>
      </w:r>
    </w:p>
    <w:p>
      <w:pPr>
        <w:spacing w:after="0" w:line="60" w:lineRule="exact"/>
        <w:rPr>
          <w:rFonts w:ascii="Arial" w:cs="Arial" w:eastAsia="Arial" w:hAnsi="Arial"/>
          <w:sz w:val="18"/>
          <w:szCs w:val="18"/>
          <w:color w:val="auto"/>
        </w:rPr>
      </w:pPr>
    </w:p>
    <w:p>
      <w:pPr>
        <w:ind w:left="1220" w:hanging="374"/>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assist anyone engaged in the above activities.</w:t>
      </w:r>
    </w:p>
    <w:p>
      <w:pPr>
        <w:spacing w:after="0" w:line="212"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 xml:space="preserve">The prohibition against insider trading is absolute. It applies </w:t>
      </w:r>
      <w:r>
        <w:rPr>
          <w:rFonts w:ascii="Arial" w:cs="Arial" w:eastAsia="Arial" w:hAnsi="Arial"/>
          <w:sz w:val="18"/>
          <w:szCs w:val="18"/>
          <w:b w:val="1"/>
          <w:bCs w:val="1"/>
          <w:i w:val="1"/>
          <w:iCs w:val="1"/>
          <w:color w:val="auto"/>
        </w:rPr>
        <w:t>even if</w:t>
      </w:r>
      <w:r>
        <w:rPr>
          <w:rFonts w:ascii="Arial" w:cs="Arial" w:eastAsia="Arial" w:hAnsi="Arial"/>
          <w:sz w:val="18"/>
          <w:szCs w:val="18"/>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Arial" w:cs="Arial" w:eastAsia="Arial" w:hAnsi="Arial"/>
          <w:sz w:val="18"/>
          <w:szCs w:val="18"/>
          <w:b w:val="1"/>
          <w:bCs w:val="1"/>
          <w:color w:val="auto"/>
        </w:rPr>
        <w:t>any</w:t>
      </w:r>
      <w:r>
        <w:rPr>
          <w:rFonts w:ascii="Arial" w:cs="Arial" w:eastAsia="Arial" w:hAnsi="Arial"/>
          <w:sz w:val="18"/>
          <w:szCs w:val="18"/>
          <w:color w:val="auto"/>
        </w:rPr>
        <w:t xml:space="preserve"> material nonpublic information relating to AN2 at the time of the transaction.</w:t>
      </w:r>
    </w:p>
    <w:p>
      <w:pPr>
        <w:spacing w:after="0" w:line="174"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The U.S. federal securities laws do not recognize any mitigating circumstances to insider trading. In addition, even the appearance of an improper transaction must be avoided to preserve AN2’s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74"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AN2 that no employee, director or consultant of AN2 (or any other person subject to this policy) may either (a) recommend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2" w:name="page153"/>
    <w:bookmarkEnd w:id="152"/>
    <w:p>
      <w:pPr>
        <w:jc w:val="both"/>
        <w:spacing w:after="0" w:line="253" w:lineRule="auto"/>
        <w:rPr>
          <w:sz w:val="20"/>
          <w:szCs w:val="20"/>
          <w:color w:val="auto"/>
        </w:rPr>
      </w:pPr>
      <w:r>
        <w:rPr>
          <w:rFonts w:ascii="Arial" w:cs="Arial" w:eastAsia="Arial" w:hAnsi="Arial"/>
          <w:sz w:val="18"/>
          <w:szCs w:val="18"/>
          <w:color w:val="auto"/>
        </w:rPr>
        <w:t xml:space="preserve">another person that they buy, hold or sell AN2’s securities </w:t>
      </w:r>
      <w:r>
        <w:rPr>
          <w:rFonts w:ascii="Arial" w:cs="Arial" w:eastAsia="Arial" w:hAnsi="Arial"/>
          <w:sz w:val="18"/>
          <w:szCs w:val="18"/>
          <w:b w:val="1"/>
          <w:bCs w:val="1"/>
          <w:color w:val="auto"/>
        </w:rPr>
        <w:t>at any time</w:t>
      </w:r>
      <w:r>
        <w:rPr>
          <w:rFonts w:ascii="Arial" w:cs="Arial" w:eastAsia="Arial" w:hAnsi="Arial"/>
          <w:sz w:val="18"/>
          <w:szCs w:val="18"/>
          <w:color w:val="auto"/>
        </w:rPr>
        <w:t xml:space="preserve"> or (b) disclose material nonpublic information to persons within AN2 whose jobs do not require them to have that information, or outside of AN2 to other persons (unless the disclosure is made in accordance with AN2’s policies regarding the protection or authorized external disclosure of information regarding AN2).</w:t>
      </w:r>
    </w:p>
    <w:p>
      <w:pPr>
        <w:spacing w:after="0" w:line="169" w:lineRule="exact"/>
        <w:rPr>
          <w:sz w:val="20"/>
          <w:szCs w:val="20"/>
          <w:color w:val="auto"/>
        </w:rPr>
      </w:pPr>
    </w:p>
    <w:p>
      <w:pPr>
        <w:jc w:val="both"/>
        <w:ind w:firstLine="469"/>
        <w:spacing w:after="0" w:line="247" w:lineRule="auto"/>
        <w:rPr>
          <w:sz w:val="20"/>
          <w:szCs w:val="20"/>
          <w:color w:val="auto"/>
        </w:rPr>
      </w:pPr>
      <w:r>
        <w:rPr>
          <w:rFonts w:ascii="Arial" w:cs="Arial" w:eastAsia="Arial" w:hAnsi="Arial"/>
          <w:sz w:val="18"/>
          <w:szCs w:val="18"/>
          <w:color w:val="auto"/>
        </w:rPr>
        <w:t>In addition, it is the policy of AN2 that no person subject to this policy who, in the course of his or her relationship with AN2, learns of any confidential information that is material to another publicly traded company, including but not limited to a customer, supplier, partner or collaborator of AN2 or an economically-linked company such as a competitor of AN2, may trade in that other company’s securities until the information becomes public or is no longer material to that other company.</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are no exceptions to this policy, except as specifically noted above or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ransactions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this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spacing w:after="0" w:line="212"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This policy applies to all transactions in securities issued by AN2, as well as derivative securities that are not issued by AN2, such as exchange-traded put or call options or swaps relating to AN2’s securities. Accordingly, for purposes of this policy, the terms “</w:t>
      </w:r>
      <w:r>
        <w:rPr>
          <w:rFonts w:ascii="Arial" w:cs="Arial" w:eastAsia="Arial" w:hAnsi="Arial"/>
          <w:sz w:val="18"/>
          <w:szCs w:val="18"/>
          <w:b w:val="1"/>
          <w:bCs w:val="1"/>
          <w:i w:val="1"/>
          <w:iCs w:val="1"/>
          <w:color w:val="auto"/>
        </w:rPr>
        <w:t>trade</w:t>
      </w:r>
      <w:r>
        <w:rPr>
          <w:rFonts w:ascii="Arial" w:cs="Arial" w:eastAsia="Arial" w:hAnsi="Arial"/>
          <w:sz w:val="18"/>
          <w:szCs w:val="18"/>
          <w:color w:val="auto"/>
        </w:rPr>
        <w:t>,” “</w:t>
      </w:r>
      <w:r>
        <w:rPr>
          <w:rFonts w:ascii="Arial" w:cs="Arial" w:eastAsia="Arial" w:hAnsi="Arial"/>
          <w:sz w:val="18"/>
          <w:szCs w:val="18"/>
          <w:b w:val="1"/>
          <w:bCs w:val="1"/>
          <w:i w:val="1"/>
          <w:iCs w:val="1"/>
          <w:color w:val="auto"/>
        </w:rPr>
        <w:t>trading</w:t>
      </w:r>
      <w:r>
        <w:rPr>
          <w:rFonts w:ascii="Arial" w:cs="Arial" w:eastAsia="Arial" w:hAnsi="Arial"/>
          <w:sz w:val="18"/>
          <w:szCs w:val="18"/>
          <w:color w:val="auto"/>
        </w:rPr>
        <w:t>” and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include not only purchases and sales of AN2’s common stock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this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spacing w:after="0" w:line="212" w:lineRule="exact"/>
        <w:rPr>
          <w:sz w:val="20"/>
          <w:szCs w:val="20"/>
          <w:color w:val="auto"/>
        </w:rPr>
      </w:pPr>
    </w:p>
    <w:p>
      <w:pPr>
        <w:jc w:val="both"/>
        <w:ind w:firstLine="374"/>
        <w:spacing w:after="0" w:line="246" w:lineRule="auto"/>
        <w:rPr>
          <w:sz w:val="20"/>
          <w:szCs w:val="20"/>
          <w:color w:val="auto"/>
        </w:rPr>
      </w:pPr>
      <w:r>
        <w:rPr>
          <w:rFonts w:ascii="Arial" w:cs="Arial" w:eastAsia="Arial" w:hAnsi="Arial"/>
          <w:sz w:val="18"/>
          <w:szCs w:val="18"/>
          <w:color w:val="auto"/>
        </w:rPr>
        <w:t xml:space="preserve">This policy applies to you and all other employees, directors and consultants of AN2 and its subsidiaries. This policy also applies to members of your immediate family, persons with whom you share a household, persons who are your economic dependents and any other individuals or entities whose transactions in securities you influence, direct or control (including, e.g., a venture or other investment fund,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you influence, direct or control transactions by the fund). The foregoing persons who are deemed subject to this policy are referred to in this policy as “</w:t>
      </w:r>
      <w:r>
        <w:rPr>
          <w:rFonts w:ascii="Arial" w:cs="Arial" w:eastAsia="Arial" w:hAnsi="Arial"/>
          <w:sz w:val="18"/>
          <w:szCs w:val="18"/>
          <w:b w:val="1"/>
          <w:bCs w:val="1"/>
          <w:i w:val="1"/>
          <w:iCs w:val="1"/>
          <w:color w:val="auto"/>
        </w:rPr>
        <w:t>Related Persons</w:t>
      </w:r>
      <w:r>
        <w:rPr>
          <w:rFonts w:ascii="Arial" w:cs="Arial" w:eastAsia="Arial" w:hAnsi="Arial"/>
          <w:sz w:val="18"/>
          <w:szCs w:val="18"/>
          <w:color w:val="auto"/>
        </w:rPr>
        <w:t>.” You are responsible for making sure that your Related Persons comply with this policy.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aterial</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onpublic</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information</w:t>
      </w:r>
    </w:p>
    <w:p>
      <w:pPr>
        <w:spacing w:after="0" w:line="210"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76"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74" w:lineRule="exact"/>
        <w:rPr>
          <w:sz w:val="20"/>
          <w:szCs w:val="20"/>
          <w:color w:val="auto"/>
        </w:rPr>
      </w:pPr>
    </w:p>
    <w:p>
      <w:pPr>
        <w:ind w:left="1140" w:hanging="383"/>
        <w:spacing w:after="0"/>
        <w:tabs>
          <w:tab w:leader="none" w:pos="114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results or forecasts;</w:t>
      </w:r>
    </w:p>
    <w:p>
      <w:pPr>
        <w:spacing w:after="0" w:line="2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status of product or product candidate development or regulatory approvals;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or pre-clinical data relating to products or product candidates;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timelines for pre-clinical studies or clinical trials;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dispositions of assets, divisions or companies;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3" w:name="page154"/>
    <w:bookmarkEnd w:id="153"/>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public or private sales of debt or equity securities;</w:t>
      </w:r>
    </w:p>
    <w:p>
      <w:pPr>
        <w:spacing w:after="0" w:line="2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stock splits, dividends or changes in dividend policy;</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the establishment of a repurchase program for AN2’s securities;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gain or loss of a significant licensor, licensee or supplier; and</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changes or new corporate partner relationships or collaborations.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notice of issuance or denial of patents;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management or control changes;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employee layoffs;</w:t>
      </w:r>
    </w:p>
    <w:p>
      <w:pPr>
        <w:spacing w:after="0" w:line="8" w:lineRule="exact"/>
        <w:rPr>
          <w:rFonts w:ascii="Times New Roman" w:cs="Times New Roman" w:eastAsia="Times New Roman" w:hAnsi="Times New Roman"/>
          <w:sz w:val="18"/>
          <w:szCs w:val="18"/>
          <w:color w:val="auto"/>
        </w:rPr>
      </w:pPr>
    </w:p>
    <w:p>
      <w:pPr>
        <w:ind w:left="1140" w:right="20" w:hanging="383"/>
        <w:spacing w:after="0" w:line="234" w:lineRule="auto"/>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a disruption in AN2’s operations or breach or unauthorized access of its property or assets, including its facilities and information technology infrastructure;</w:t>
      </w: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tender offers or proxy fights;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accounting restatements;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settlements; and</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impending bankruptcy.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information is considered public</w:t>
      </w:r>
    </w:p>
    <w:p>
      <w:pPr>
        <w:spacing w:after="0" w:line="210"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Depending on the particular circumstances, AN2 may determine that a longer or shorter waiting period should apply to the release of specific material nonpublic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lackout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eriods</w:t>
      </w:r>
    </w:p>
    <w:p>
      <w:pPr>
        <w:spacing w:after="0" w:line="21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Generally, except as set forth in this policy, AN2 directors, employees and designated consultants may buy or sell securities of the Company at any time other than during a blackout period (as defined below). From time to time, the Chief Executive Officer or Chief Legal Officer may require that directors, employees and designated consultants suspend trading in the Company’s securities because there exists undisclosed information that would make trades by them inappropriate. The period during which trading is suspended is referred to in this policy as a “</w:t>
      </w:r>
      <w:r>
        <w:rPr>
          <w:rFonts w:ascii="Arial" w:cs="Arial" w:eastAsia="Arial" w:hAnsi="Arial"/>
          <w:sz w:val="18"/>
          <w:szCs w:val="18"/>
          <w:b w:val="1"/>
          <w:bCs w:val="1"/>
          <w:i w:val="1"/>
          <w:iCs w:val="1"/>
          <w:color w:val="auto"/>
        </w:rPr>
        <w:t>blackout period</w:t>
      </w:r>
      <w:r>
        <w:rPr>
          <w:rFonts w:ascii="Arial" w:cs="Arial" w:eastAsia="Arial" w:hAnsi="Arial"/>
          <w:sz w:val="18"/>
          <w:szCs w:val="18"/>
          <w:color w:val="auto"/>
        </w:rPr>
        <w:t>.” In that situation, AN2 will notify the designated individuals that neither they nor their Related Persons may trade in the AN2’s securities. It is important to note that the fact that the Company is in a blackout period should be considered material nonpublic information that should not be communicated to any other person. Even if you have not been designated as a person who should not trade due to an event-specific trading blackout, you should not trade while aware of material nonpublic information.</w:t>
      </w:r>
    </w:p>
    <w:p>
      <w:pPr>
        <w:spacing w:after="0" w:line="180"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An AN2 employee, director or consultant who believes that special circumstances require him or her to trade during a blackout period should consult the Chief Legal Officer. Permission to trade during a blackout period will be granted only where the circumstances are extenuating, the Chief Legal Officer concludes that the person is not in fact aware of any material nonpublic information relating to AN2 or its securities, and there appears to be no significant risk that the trade may subsequently be questioned.</w:t>
      </w:r>
    </w:p>
    <w:p>
      <w:pPr>
        <w:spacing w:after="0" w:line="174"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The blackout period restrictions do not apply to those transactions to which this policy does not apply, as described under the heading “Exceptions to this Policy”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xceptions to this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4" w:name="page155"/>
    <w:bookmarkEnd w:id="154"/>
    <w:p>
      <w:pPr>
        <w:ind w:left="380"/>
        <w:spacing w:after="0"/>
        <w:rPr>
          <w:sz w:val="20"/>
          <w:szCs w:val="20"/>
          <w:color w:val="auto"/>
        </w:rPr>
      </w:pPr>
      <w:r>
        <w:rPr>
          <w:rFonts w:ascii="Arial" w:cs="Arial" w:eastAsia="Arial" w:hAnsi="Arial"/>
          <w:sz w:val="18"/>
          <w:szCs w:val="18"/>
          <w:color w:val="auto"/>
        </w:rPr>
        <w:t>This policy does not apply in the case of the following transactions, except as specifically noted:</w:t>
      </w:r>
    </w:p>
    <w:p>
      <w:pPr>
        <w:spacing w:after="0" w:line="198"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i w:val="1"/>
          <w:iCs w:val="1"/>
          <w:color w:val="auto"/>
        </w:rPr>
        <w:t>Option Exercises</w:t>
      </w:r>
      <w:r>
        <w:rPr>
          <w:rFonts w:ascii="Arial" w:cs="Arial" w:eastAsia="Arial" w:hAnsi="Arial"/>
          <w:sz w:val="18"/>
          <w:szCs w:val="18"/>
          <w:color w:val="auto"/>
        </w:rPr>
        <w:t>. This policy does not apply to the exercise of options granted under AN2’s equity compensation plans for cash or,</w:t>
      </w:r>
      <w:r>
        <w:rPr>
          <w:rFonts w:ascii="Arial" w:cs="Arial" w:eastAsia="Arial" w:hAnsi="Arial"/>
          <w:sz w:val="18"/>
          <w:szCs w:val="18"/>
          <w:b w:val="1"/>
          <w:bCs w:val="1"/>
          <w:color w:val="auto"/>
        </w:rPr>
        <w:t xml:space="preserve"> </w:t>
      </w:r>
      <w:r>
        <w:rPr>
          <w:rFonts w:ascii="Arial" w:cs="Arial" w:eastAsia="Arial" w:hAnsi="Arial"/>
          <w:sz w:val="18"/>
          <w:szCs w:val="18"/>
          <w:color w:val="auto"/>
        </w:rPr>
        <w:t>where permitted under the option, by a net exercise transaction with the Company. This policy does, however, apply to any sale of stock as part of a broker-assisted cashless exercise or any other market sale, whether or not for the purpose of generating the cash needed to pay the exercise price or pay taxes.</w:t>
      </w:r>
    </w:p>
    <w:p>
      <w:pPr>
        <w:spacing w:after="0" w:line="174"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Tax Withholding Transactions</w:t>
      </w:r>
      <w:r>
        <w:rPr>
          <w:rFonts w:ascii="Arial" w:cs="Arial" w:eastAsia="Arial" w:hAnsi="Arial"/>
          <w:sz w:val="18"/>
          <w:szCs w:val="18"/>
          <w:color w:val="auto"/>
        </w:rPr>
        <w:t>. This policy does not apply to the surrender of shares directly to AN2 to satisfy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as a result of the issuance of shares upon vesting or exercise of restricted stock units, options or other equity awards granted under AN2’s equity compensation plans. Of course, any market sale of the stock received upon exercise or vesting of any such equity awards remains subject to all provisions of this policy whether or not for the purpose of generating the cash needed to pay the exercise price or pay taxes.</w:t>
      </w:r>
    </w:p>
    <w:p>
      <w:pPr>
        <w:spacing w:after="0" w:line="17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i w:val="1"/>
          <w:iCs w:val="1"/>
          <w:color w:val="auto"/>
        </w:rPr>
        <w:t>ESPP</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policy does not apply to the purchase of stock by employees under AN2’s Employee Stock Purchase Plan (“</w:t>
      </w:r>
      <w:r>
        <w:rPr>
          <w:rFonts w:ascii="Arial" w:cs="Arial" w:eastAsia="Arial" w:hAnsi="Arial"/>
          <w:sz w:val="18"/>
          <w:szCs w:val="18"/>
          <w:b w:val="1"/>
          <w:bCs w:val="1"/>
          <w:i w:val="1"/>
          <w:iCs w:val="1"/>
          <w:color w:val="auto"/>
        </w:rPr>
        <w:t>ESPP</w:t>
      </w:r>
      <w:r>
        <w:rPr>
          <w:rFonts w:ascii="Arial" w:cs="Arial" w:eastAsia="Arial" w:hAnsi="Arial"/>
          <w:sz w:val="18"/>
          <w:szCs w:val="18"/>
          <w:color w:val="auto"/>
        </w:rPr>
        <w:t>”) on</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designated dates in accordance with the ESPP. This policy does, however, apply to any sale of stock acquired pursuant to the ESPP.</w:t>
      </w:r>
      <w:r>
        <w:rPr>
          <w:rFonts w:ascii="Arial" w:cs="Arial" w:eastAsia="Arial" w:hAnsi="Arial"/>
          <w:sz w:val="12"/>
          <w:szCs w:val="12"/>
          <w:color w:val="auto"/>
        </w:rPr>
        <w:t>1</w:t>
      </w:r>
    </w:p>
    <w:p>
      <w:pPr>
        <w:spacing w:after="0" w:line="169" w:lineRule="exact"/>
        <w:rPr>
          <w:sz w:val="20"/>
          <w:szCs w:val="20"/>
          <w:color w:val="auto"/>
        </w:rPr>
      </w:pPr>
    </w:p>
    <w:p>
      <w:pPr>
        <w:jc w:val="both"/>
        <w:ind w:firstLine="374"/>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i w:val="1"/>
          <w:iCs w:val="1"/>
          <w:color w:val="auto"/>
        </w:rPr>
        <w:t>10b5-1 Automatic Trading Programs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Under Rule 10b5-1 of the Securities Exchange Act of 1934, as amended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as permitted by AN2, employees, directors and consultants may establish a trading plan under which a broker is instructed to buy and sell AN2 securities based on pre-determined criteria (a “</w:t>
      </w:r>
      <w:r>
        <w:rPr>
          <w:rFonts w:ascii="Arial" w:cs="Arial" w:eastAsia="Arial" w:hAnsi="Arial"/>
          <w:sz w:val="18"/>
          <w:szCs w:val="18"/>
          <w:b w:val="1"/>
          <w:bCs w:val="1"/>
          <w:i w:val="1"/>
          <w:iCs w:val="1"/>
          <w:color w:val="auto"/>
        </w:rPr>
        <w:t>Trading Plan</w:t>
      </w:r>
      <w:r>
        <w:rPr>
          <w:rFonts w:ascii="Arial" w:cs="Arial" w:eastAsia="Arial" w:hAnsi="Arial"/>
          <w:sz w:val="18"/>
          <w:szCs w:val="18"/>
          <w:color w:val="auto"/>
        </w:rPr>
        <w:t>”). So long as a Trading Plan is properly established, purchases and sales of AN2 securities pursuant to that Trading Plan are not subject to this policy. To be properly established, an eligible person’s Trading Plan must be established in compliance with the requirements of Rule 10b5-1 of the Exchange Act and any applicable 10b5-1 trading plan guidelines of AN2 at a time when they were unaware of any material nonpublic information relating AN2 and when AN2 was not otherwise in a trading blackout period. Moreover, all Trading Plans must be reviewed and approved by AN2 before being established to confirm that the Trading Plan complies with all pertinent company policies and applicable securities laws.</w:t>
      </w:r>
    </w:p>
    <w:p>
      <w:pPr>
        <w:spacing w:after="0" w:line="180"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i w:val="1"/>
          <w:iCs w:val="1"/>
          <w:color w:val="auto"/>
        </w:rPr>
        <w:t>Gifts.</w:t>
      </w:r>
      <w:r>
        <w:rPr>
          <w:rFonts w:ascii="Arial" w:cs="Arial" w:eastAsia="Arial" w:hAnsi="Arial"/>
          <w:sz w:val="18"/>
          <w:szCs w:val="18"/>
          <w:b w:val="1"/>
          <w:bCs w:val="1"/>
          <w:color w:val="auto"/>
        </w:rPr>
        <w:t xml:space="preserve"> </w:t>
      </w:r>
      <w:r>
        <w:rPr>
          <w:rFonts w:ascii="Arial" w:cs="Arial" w:eastAsia="Arial" w:hAnsi="Arial"/>
          <w:sz w:val="18"/>
          <w:szCs w:val="18"/>
          <w:color w:val="auto"/>
        </w:rPr>
        <w:t>This policy does not apply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gifts of AN2 securities that have been pre-cleared by AN2’s Chief Legal Officer or his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 designee. Whether a gift is truly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will depend on the facts and circumstances surrounding each gift. Pre-clearance must be obtained at least two business days in advance of the proposed gift, and pre-cleared gifts not completed within five business days will require new pre-clearance. AN2 may choose to shorten this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pecial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rohibited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212"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i w:val="1"/>
          <w:iCs w:val="1"/>
          <w:color w:val="auto"/>
        </w:rPr>
        <w:t>Inherently Speculative Transactions</w:t>
      </w:r>
      <w:r>
        <w:rPr>
          <w:rFonts w:ascii="Arial" w:cs="Arial" w:eastAsia="Arial" w:hAnsi="Arial"/>
          <w:sz w:val="18"/>
          <w:szCs w:val="18"/>
          <w:b w:val="1"/>
          <w:bCs w:val="1"/>
          <w:color w:val="auto"/>
        </w:rPr>
        <w:t>.</w:t>
      </w:r>
      <w:r>
        <w:rPr>
          <w:rFonts w:ascii="Arial" w:cs="Arial" w:eastAsia="Arial" w:hAnsi="Arial"/>
          <w:sz w:val="18"/>
          <w:szCs w:val="18"/>
          <w:color w:val="auto"/>
        </w:rPr>
        <w:t xml:space="preserve"> No AN2 employee, director or consultant may engage in short sales, transactions in put options, call options or other derivative securities on an exchange or in any other organized market, or in any other inherently speculative transactions with respect to AN2’s stock.</w:t>
      </w:r>
    </w:p>
    <w:p>
      <w:pPr>
        <w:spacing w:after="0" w:line="169"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i w:val="1"/>
          <w:iCs w:val="1"/>
          <w:color w:val="auto"/>
        </w:rPr>
        <w:t>Hedging Transactions.</w:t>
      </w:r>
      <w:r>
        <w:rPr>
          <w:rFonts w:ascii="Arial" w:cs="Arial" w:eastAsia="Arial" w:hAnsi="Arial"/>
          <w:sz w:val="18"/>
          <w:szCs w:val="18"/>
          <w:color w:val="auto"/>
        </w:rPr>
        <w:t xml:space="preserve"> Hedging or monetization transactions can be accomplished through a number of possible mechanisms, including through the use of financial instruments such as prepaid variable forwards, equity swaps, collars and exchange funds. Such hedging transactions may permit an AN2 employee, director or consultant to continue to own AN2’s securities obtained through employee benefit plans or otherwise, but without the full risks and rewards of ownership. When that occurs, the AN2 employee, director or consultant may no longer have the same objectives as AN2’s other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1688465" cy="50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48" w:lineRule="exact"/>
        <w:rPr>
          <w:sz w:val="20"/>
          <w:szCs w:val="20"/>
          <w:color w:val="auto"/>
        </w:rPr>
      </w:pPr>
    </w:p>
    <w:p>
      <w:pPr>
        <w:ind w:left="120" w:hanging="112"/>
        <w:spacing w:after="0"/>
        <w:tabs>
          <w:tab w:leader="none" w:pos="120" w:val="left"/>
        </w:tabs>
        <w:numPr>
          <w:ilvl w:val="0"/>
          <w:numId w:val="72"/>
        </w:numPr>
        <w:rPr>
          <w:rFonts w:ascii="Arial" w:cs="Arial" w:eastAsia="Arial" w:hAnsi="Arial"/>
          <w:sz w:val="27"/>
          <w:szCs w:val="27"/>
          <w:color w:val="auto"/>
          <w:vertAlign w:val="superscript"/>
        </w:rPr>
      </w:pPr>
      <w:r>
        <w:rPr>
          <w:rFonts w:ascii="Arial" w:cs="Arial" w:eastAsia="Arial" w:hAnsi="Arial"/>
          <w:sz w:val="14"/>
          <w:szCs w:val="14"/>
          <w:color w:val="auto"/>
        </w:rPr>
        <w:t>If an ESPP election or change is in any manner tied to a market transaction, the optional language below should replace the final sentence:</w:t>
      </w:r>
    </w:p>
    <w:p>
      <w:pPr>
        <w:spacing w:after="0" w:line="13" w:lineRule="exact"/>
        <w:rPr>
          <w:sz w:val="20"/>
          <w:szCs w:val="20"/>
          <w:color w:val="auto"/>
        </w:rPr>
      </w:pPr>
    </w:p>
    <w:p>
      <w:pPr>
        <w:spacing w:after="0" w:line="264" w:lineRule="auto"/>
        <w:rPr>
          <w:sz w:val="20"/>
          <w:szCs w:val="20"/>
          <w:color w:val="auto"/>
        </w:rPr>
      </w:pPr>
      <w:r>
        <w:rPr>
          <w:rFonts w:ascii="Arial" w:cs="Arial" w:eastAsia="Arial" w:hAnsi="Arial"/>
          <w:sz w:val="14"/>
          <w:szCs w:val="14"/>
          <w:i w:val="1"/>
          <w:iCs w:val="1"/>
          <w:color w:val="auto"/>
        </w:rPr>
        <w:t>“This policy does however apply to an employee’s initial election to participate in the ESPP, changes to an employee’s election to participate in the ESPP for any enrollment period, or to the subsequent sale of the stock acquired pursuant to the ESPP.”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Therefore, AN2 employees, directors and consultants are prohibited from engaging in any such transactions.]</w:t>
      </w:r>
      <w:r>
        <w:rPr>
          <w:rFonts w:ascii="Arial" w:cs="Arial" w:eastAsia="Arial" w:hAnsi="Arial"/>
          <w:sz w:val="12"/>
          <w:szCs w:val="12"/>
          <w:color w:val="auto"/>
        </w:rPr>
        <w:t>2</w:t>
      </w:r>
    </w:p>
    <w:p>
      <w:pPr>
        <w:spacing w:after="0" w:line="212"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i w:val="1"/>
          <w:iCs w:val="1"/>
          <w:color w:val="auto"/>
        </w:rPr>
        <w:t>Margin Accounts and Pledged Securities</w:t>
      </w:r>
      <w:r>
        <w:rPr>
          <w:rFonts w:ascii="Arial" w:cs="Arial" w:eastAsia="Arial" w:hAnsi="Arial"/>
          <w:sz w:val="18"/>
          <w:szCs w:val="18"/>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AN2’s securities, AN2 employee, director and consultants are prohibited from holding AN2’s securities in a margin account or otherwise pledging AN2’s securities as collateral for a loan.</w:t>
      </w:r>
    </w:p>
    <w:p>
      <w:pPr>
        <w:spacing w:after="0" w:line="179"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i w:val="1"/>
          <w:iCs w:val="1"/>
          <w:color w:val="auto"/>
        </w:rPr>
        <w:t>Standing and Limit Orders</w:t>
      </w:r>
      <w:r>
        <w:rPr>
          <w:rFonts w:ascii="Arial" w:cs="Arial" w:eastAsia="Arial" w:hAnsi="Arial"/>
          <w:sz w:val="18"/>
          <w:szCs w:val="18"/>
          <w:color w:val="auto"/>
        </w:rPr>
        <w:t>.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an AN2 employee, director or consultant is in possession of material nonpublic information. AN2 therefore discourages placing standing or limit orders on AN2’s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“Blackout Periods” provision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w:t>
      </w:r>
      <w:r>
        <w:rPr>
          <w:rFonts w:ascii="Arial" w:cs="Arial" w:eastAsia="Arial" w:hAnsi="Arial"/>
          <w:sz w:val="18"/>
          <w:szCs w:val="18"/>
          <w:b w:val="1"/>
          <w:bCs w:val="1"/>
          <w:color w:val="auto"/>
        </w:rPr>
        <w:t>-C</w:t>
      </w:r>
      <w:r>
        <w:rPr>
          <w:rFonts w:ascii="Arial" w:cs="Arial" w:eastAsia="Arial" w:hAnsi="Arial"/>
          <w:sz w:val="12"/>
          <w:szCs w:val="12"/>
          <w:b w:val="1"/>
          <w:bCs w:val="1"/>
          <w:color w:val="auto"/>
        </w:rPr>
        <w:t>learance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dvance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21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In addition to the requirements above, officers, directors and other applicable members of management who have been notified that they are subject to pre-clearance requirements face a further restriction: They may not engage in any transaction in AN2’s securities without first obtaining pre-clearance of the transaction from AN2’s Chief Legal Officer or his or her designee at least two business days in advance of the proposed transaction. The Chief Legal Officer or his or her designee will then determine whether the transaction may proceed and, if so, will direct the Compliance Coordinator (as identified in AN2’s Section 16 Compliance Program) to help comply with any required reporting requirements under Section 16(a) of the Exchange Act. Pre-cleared transactions not completed within five business days will require new pre-clearance. AN2 may choose to shorten this period.</w:t>
      </w:r>
    </w:p>
    <w:p>
      <w:pPr>
        <w:spacing w:after="0" w:line="185"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Persons subject to pre-clearance must also give advance notice of their plans to exercise an outstanding stock option to the Chief Legal Officer. Once any transaction takes place, the officer, director or applicable member of management must immediately notify the Compliance Coordinator and any other individuals identified under the heading “Notification of Execution of Transaction” in AN2’s Section 16 Compliance Program so that AN2 may assist in any Section 16 reporting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hort</w:t>
      </w:r>
      <w:r>
        <w:rPr>
          <w:rFonts w:ascii="Arial" w:cs="Arial" w:eastAsia="Arial" w:hAnsi="Arial"/>
          <w:sz w:val="18"/>
          <w:szCs w:val="18"/>
          <w:b w:val="1"/>
          <w:bCs w:val="1"/>
          <w:color w:val="auto"/>
        </w:rPr>
        <w:t>-S</w:t>
      </w:r>
      <w:r>
        <w:rPr>
          <w:rFonts w:ascii="Arial" w:cs="Arial" w:eastAsia="Arial" w:hAnsi="Arial"/>
          <w:sz w:val="12"/>
          <w:szCs w:val="12"/>
          <w:b w:val="1"/>
          <w:bCs w:val="1"/>
          <w:color w:val="auto"/>
        </w:rPr>
        <w:t>wing</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rading</w:t>
      </w:r>
      <w:r>
        <w:rPr>
          <w:rFonts w:ascii="Arial" w:cs="Arial" w:eastAsia="Arial" w:hAnsi="Arial"/>
          <w:sz w:val="18"/>
          <w:szCs w:val="18"/>
          <w:b w:val="1"/>
          <w:bCs w:val="1"/>
          <w:color w:val="auto"/>
        </w:rPr>
        <w:t>,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16 R</w:t>
      </w:r>
      <w:r>
        <w:rPr>
          <w:rFonts w:ascii="Arial" w:cs="Arial" w:eastAsia="Arial" w:hAnsi="Arial"/>
          <w:sz w:val="12"/>
          <w:szCs w:val="12"/>
          <w:b w:val="1"/>
          <w:bCs w:val="1"/>
          <w:color w:val="auto"/>
        </w:rPr>
        <w:t>eports</w:t>
      </w:r>
    </w:p>
    <w:p>
      <w:pPr>
        <w:spacing w:after="0" w:line="212"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AN2’s Section 16 Compliance Program, and any notices of sale required by Rule 144.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olicy</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1688465" cy="508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6" w:name="page157"/>
    <w:bookmarkEnd w:id="156"/>
    <w:p>
      <w:pPr>
        <w:jc w:val="both"/>
        <w:ind w:firstLine="374"/>
        <w:spacing w:after="0" w:line="244" w:lineRule="auto"/>
        <w:rPr>
          <w:sz w:val="20"/>
          <w:szCs w:val="20"/>
          <w:color w:val="auto"/>
        </w:rPr>
      </w:pPr>
      <w:r>
        <w:rPr>
          <w:rFonts w:ascii="Arial" w:cs="Arial" w:eastAsia="Arial" w:hAnsi="Arial"/>
          <w:sz w:val="18"/>
          <w:szCs w:val="18"/>
          <w:color w:val="auto"/>
        </w:rPr>
        <w:t>This policy continues to apply to your transactions in AN2’s securities and the securities of other applicable public companies as more specifically set forth in this policy, even after your relationship with AN2 has ended. If you are aware of material nonpublic information when your relationship with AN2 ends, you may not trade AN2’s securities or the securities of other applicable publicly traded companies until the material nonpublic information has been publicly disseminated or is no longer material. Further, if you leave AN2 during a trading blackout period, then you may not trade AN2’s securities or the securities of other applicable companies until the trading blackout period has ended.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ndividual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esponsibility</w:t>
      </w:r>
    </w:p>
    <w:p>
      <w:pPr>
        <w:spacing w:after="0" w:line="212" w:lineRule="exact"/>
        <w:rPr>
          <w:sz w:val="20"/>
          <w:szCs w:val="20"/>
          <w:color w:val="auto"/>
        </w:rPr>
      </w:pPr>
    </w:p>
    <w:p>
      <w:pPr>
        <w:jc w:val="both"/>
        <w:ind w:firstLine="469"/>
        <w:spacing w:after="0" w:line="239" w:lineRule="auto"/>
        <w:rPr>
          <w:sz w:val="20"/>
          <w:szCs w:val="20"/>
          <w:color w:val="auto"/>
        </w:rPr>
      </w:pPr>
      <w:r>
        <w:rPr>
          <w:rFonts w:ascii="Arial" w:cs="Arial" w:eastAsia="Arial" w:hAnsi="Arial"/>
          <w:sz w:val="18"/>
          <w:szCs w:val="18"/>
          <w:color w:val="auto"/>
        </w:rPr>
        <w:t>Persons subject to this policy have ethical and legal obligations to maintain the confidentiality of information about AN2 and to not engage in transactions in AN2’s securities or the securities of other applicable public companies while aware of material nonpublic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AN2 or any employee or director of AN2 pursuant to this policy (or otherwise) does not in any way constitute legal advice or insulate an individual from liability under applicable securities laws. You could be subject to severe legal penalties and disciplinary action by AN2 for any conduct prohibited by this policy or applicable securities laws. See “Penalties”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enalties</w:t>
      </w:r>
    </w:p>
    <w:p>
      <w:pPr>
        <w:spacing w:after="0" w:line="212"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 xml:space="preserve">Anyone who engages in insider trading or otherwise violates this policy may be subject to both civil liability and criminal penalties. Violators also risk disciplinary action by AN2, including termination of employment. Anyone who has questions about this policy should contact their own attorney or AN2’s Chief Legal Officer. Please also see Frequently Asked Questions, which are attached as </w:t>
      </w: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mendments</w:t>
      </w:r>
    </w:p>
    <w:p>
      <w:pPr>
        <w:spacing w:after="0" w:line="212"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AN2 is committed to continuously reviewing and updating its policies and procedures. AN2 therefore reserves the right to amend, alter or terminate this policy at any time and for any reason. A current copy of the AN2’s policies regarding insider trading may be obtained by contacting the Chief Legal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nsider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rading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requently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sked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uestions</w:t>
      </w:r>
    </w:p>
    <w:p>
      <w:pPr>
        <w:spacing w:after="0" w:line="182"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is insider trading?</w:t>
      </w:r>
    </w:p>
    <w:p>
      <w:pPr>
        <w:spacing w:after="0" w:line="209" w:lineRule="exact"/>
        <w:rPr>
          <w:rFonts w:ascii="Arial" w:cs="Arial" w:eastAsia="Arial" w:hAnsi="Arial"/>
          <w:sz w:val="18"/>
          <w:szCs w:val="18"/>
          <w:b w:val="1"/>
          <w:bCs w:val="1"/>
          <w:color w:val="auto"/>
        </w:rPr>
      </w:pPr>
    </w:p>
    <w:p>
      <w:pPr>
        <w:jc w:val="both"/>
        <w:ind w:firstLine="382"/>
        <w:spacing w:after="0" w:line="238" w:lineRule="auto"/>
        <w:tabs>
          <w:tab w:leader="none" w:pos="678"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during the course of your relationship with AN2, you become aware of material nonpublic information about AN2 and you trade in AN2’s securities, you have broken the law and violated our insider trading policy. In addition, our insider trading policy provides that if in the course of your relationship with AN2, you learn of any confidential information that is material to another publicly traded company, including but not limited to a customer, supplier, partner or collaborator of AN2 or an economically-linked company such as a competitor of AN2, you may not trade in that other company’s securities until the information becomes public or is no longer material to that other company. For example, if you learn of nonpublic information during the course of your relationship with AN2 that could affect the stock price of an AN2 competitor, you may not trade in that competitor’s stock until the information becomes public or is no longer material.</w:t>
      </w:r>
    </w:p>
    <w:p>
      <w:pPr>
        <w:spacing w:after="0" w:line="184" w:lineRule="exact"/>
        <w:rPr>
          <w:rFonts w:ascii="Arial" w:cs="Arial" w:eastAsia="Arial" w:hAnsi="Arial"/>
          <w:sz w:val="18"/>
          <w:szCs w:val="18"/>
          <w:b w:val="1"/>
          <w:bCs w:val="1"/>
          <w:color w:val="auto"/>
        </w:rPr>
      </w:pPr>
    </w:p>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Why is insider trading illegal?</w:t>
      </w:r>
    </w:p>
    <w:p>
      <w:pPr>
        <w:spacing w:after="0" w:line="209" w:lineRule="exact"/>
        <w:rPr>
          <w:rFonts w:ascii="Arial" w:cs="Arial" w:eastAsia="Arial" w:hAnsi="Arial"/>
          <w:sz w:val="18"/>
          <w:szCs w:val="18"/>
          <w:b w:val="1"/>
          <w:bCs w:val="1"/>
          <w:color w:val="auto"/>
        </w:rPr>
      </w:pPr>
    </w:p>
    <w:p>
      <w:pPr>
        <w:jc w:val="both"/>
        <w:ind w:firstLine="757"/>
        <w:spacing w:after="0" w:line="253" w:lineRule="auto"/>
        <w:tabs>
          <w:tab w:leader="none" w:pos="1066" w:val="left"/>
        </w:tabs>
        <w:numPr>
          <w:ilvl w:val="2"/>
          <w:numId w:val="73"/>
        </w:numPr>
        <w:rPr>
          <w:rFonts w:ascii="Arial" w:cs="Arial" w:eastAsia="Arial" w:hAnsi="Arial"/>
          <w:sz w:val="18"/>
          <w:szCs w:val="18"/>
          <w:b w:val="1"/>
          <w:bCs w:val="1"/>
          <w:color w:val="auto"/>
        </w:rPr>
      </w:pPr>
      <w:r>
        <w:rPr>
          <w:rFonts w:ascii="Arial" w:cs="Arial" w:eastAsia="Arial" w:hAnsi="Arial"/>
          <w:sz w:val="18"/>
          <w:szCs w:val="18"/>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70" w:lineRule="exact"/>
        <w:rPr>
          <w:rFonts w:ascii="Arial" w:cs="Arial" w:eastAsia="Arial" w:hAnsi="Arial"/>
          <w:sz w:val="18"/>
          <w:szCs w:val="18"/>
          <w:b w:val="1"/>
          <w:bCs w:val="1"/>
          <w:color w:val="auto"/>
        </w:rPr>
      </w:pPr>
    </w:p>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is material nonpublic information?</w:t>
      </w:r>
    </w:p>
    <w:p>
      <w:pPr>
        <w:spacing w:after="0" w:line="209" w:lineRule="exact"/>
        <w:rPr>
          <w:rFonts w:ascii="Arial" w:cs="Arial" w:eastAsia="Arial" w:hAnsi="Arial"/>
          <w:sz w:val="18"/>
          <w:szCs w:val="18"/>
          <w:b w:val="1"/>
          <w:bCs w:val="1"/>
          <w:color w:val="auto"/>
        </w:rPr>
      </w:pPr>
    </w:p>
    <w:p>
      <w:pPr>
        <w:jc w:val="both"/>
        <w:ind w:firstLine="757"/>
        <w:spacing w:after="0" w:line="253" w:lineRule="auto"/>
        <w:tabs>
          <w:tab w:leader="none" w:pos="1039" w:val="left"/>
        </w:tabs>
        <w:numPr>
          <w:ilvl w:val="2"/>
          <w:numId w:val="73"/>
        </w:numPr>
        <w:rPr>
          <w:rFonts w:ascii="Arial" w:cs="Arial" w:eastAsia="Arial" w:hAnsi="Arial"/>
          <w:sz w:val="18"/>
          <w:szCs w:val="18"/>
          <w:b w:val="1"/>
          <w:bCs w:val="1"/>
          <w:color w:val="auto"/>
        </w:rPr>
      </w:pPr>
      <w:r>
        <w:rPr>
          <w:rFonts w:ascii="Arial" w:cs="Arial" w:eastAsia="Arial" w:hAnsi="Arial"/>
          <w:sz w:val="18"/>
          <w:szCs w:val="18"/>
          <w:color w:val="auto"/>
        </w:rPr>
        <w:t>Information is material if it would influence a reasonable investor to buy or sell a stock, bond future or other security. This could mean many things: financial results, clinical or regulatory results, potential acquisitions or major contracts to name just a few. Information is nonpublic if it has not yet been publicly disseminated within the meaning of our insider trading policy.</w:t>
      </w:r>
    </w:p>
    <w:p>
      <w:pPr>
        <w:spacing w:after="0" w:line="170" w:lineRule="exact"/>
        <w:rPr>
          <w:rFonts w:ascii="Arial" w:cs="Arial" w:eastAsia="Arial" w:hAnsi="Arial"/>
          <w:sz w:val="18"/>
          <w:szCs w:val="18"/>
          <w:b w:val="1"/>
          <w:bCs w:val="1"/>
          <w:color w:val="auto"/>
        </w:rPr>
      </w:pPr>
    </w:p>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can be guilty of insider trading?</w:t>
      </w:r>
    </w:p>
    <w:p>
      <w:pPr>
        <w:spacing w:after="0" w:line="209" w:lineRule="exact"/>
        <w:rPr>
          <w:rFonts w:ascii="Arial" w:cs="Arial" w:eastAsia="Arial" w:hAnsi="Arial"/>
          <w:sz w:val="18"/>
          <w:szCs w:val="18"/>
          <w:b w:val="1"/>
          <w:bCs w:val="1"/>
          <w:color w:val="auto"/>
        </w:rPr>
      </w:pPr>
    </w:p>
    <w:p>
      <w:pPr>
        <w:jc w:val="both"/>
        <w:ind w:firstLine="757"/>
        <w:spacing w:after="0" w:line="247" w:lineRule="auto"/>
        <w:tabs>
          <w:tab w:leader="none" w:pos="1052" w:val="left"/>
        </w:tabs>
        <w:numPr>
          <w:ilvl w:val="2"/>
          <w:numId w:val="73"/>
        </w:numPr>
        <w:rPr>
          <w:rFonts w:ascii="Arial" w:cs="Arial" w:eastAsia="Arial" w:hAnsi="Arial"/>
          <w:sz w:val="18"/>
          <w:szCs w:val="18"/>
          <w:b w:val="1"/>
          <w:bCs w:val="1"/>
          <w:color w:val="auto"/>
        </w:rPr>
      </w:pPr>
      <w:r>
        <w:rPr>
          <w:rFonts w:ascii="Arial" w:cs="Arial" w:eastAsia="Arial" w:hAnsi="Arial"/>
          <w:sz w:val="18"/>
          <w:szCs w:val="18"/>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AN2. Regardless of who you are, if you know something material about the value of a security that not everyone knows and you trade (or convince someone else to trade) in that security, you may be found guilty of insider trading.</w:t>
      </w:r>
    </w:p>
    <w:p>
      <w:pPr>
        <w:spacing w:after="0" w:line="175" w:lineRule="exact"/>
        <w:rPr>
          <w:rFonts w:ascii="Arial" w:cs="Arial" w:eastAsia="Arial" w:hAnsi="Arial"/>
          <w:sz w:val="18"/>
          <w:szCs w:val="18"/>
          <w:b w:val="1"/>
          <w:bCs w:val="1"/>
          <w:color w:val="auto"/>
        </w:rPr>
      </w:pPr>
    </w:p>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Does AN2 have an insider trading policy?</w:t>
      </w:r>
    </w:p>
    <w:p>
      <w:pPr>
        <w:spacing w:after="0" w:line="209" w:lineRule="exact"/>
        <w:rPr>
          <w:rFonts w:ascii="Arial" w:cs="Arial" w:eastAsia="Arial" w:hAnsi="Arial"/>
          <w:sz w:val="18"/>
          <w:szCs w:val="18"/>
          <w:b w:val="1"/>
          <w:bCs w:val="1"/>
          <w:color w:val="auto"/>
        </w:rPr>
      </w:pPr>
    </w:p>
    <w:p>
      <w:pPr>
        <w:ind w:left="1040" w:hanging="283"/>
        <w:spacing w:after="0"/>
        <w:tabs>
          <w:tab w:leader="none" w:pos="1040" w:val="left"/>
        </w:tabs>
        <w:numPr>
          <w:ilvl w:val="2"/>
          <w:numId w:val="73"/>
        </w:numPr>
        <w:rPr>
          <w:rFonts w:ascii="Arial" w:cs="Arial" w:eastAsia="Arial" w:hAnsi="Arial"/>
          <w:sz w:val="18"/>
          <w:szCs w:val="18"/>
          <w:b w:val="1"/>
          <w:bCs w:val="1"/>
          <w:color w:val="auto"/>
        </w:rPr>
      </w:pPr>
      <w:r>
        <w:rPr>
          <w:rFonts w:ascii="Arial" w:cs="Arial" w:eastAsia="Arial" w:hAnsi="Arial"/>
          <w:sz w:val="18"/>
          <w:szCs w:val="18"/>
          <w:color w:val="auto"/>
        </w:rPr>
        <w:t>Yes, the insider trading policy is available to read on our website at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8" w:name="page159"/>
    <w:bookmarkEnd w:id="158"/>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if I work in a foreign office?</w:t>
      </w:r>
    </w:p>
    <w:p>
      <w:pPr>
        <w:spacing w:after="0" w:line="209" w:lineRule="exact"/>
        <w:rPr>
          <w:rFonts w:ascii="Arial" w:cs="Arial" w:eastAsia="Arial" w:hAnsi="Arial"/>
          <w:sz w:val="18"/>
          <w:szCs w:val="18"/>
          <w:b w:val="1"/>
          <w:bCs w:val="1"/>
          <w:color w:val="auto"/>
        </w:rPr>
      </w:pPr>
    </w:p>
    <w:p>
      <w:pPr>
        <w:jc w:val="both"/>
        <w:ind w:firstLine="757"/>
        <w:spacing w:after="0" w:line="247" w:lineRule="auto"/>
        <w:tabs>
          <w:tab w:leader="none" w:pos="1079"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The same rules apply to U.S. and foreign employees and consultants. The Securities and Exchange Commission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an AN2 director, employee or consultant, our policies apply to you no matter where you work.</w:t>
      </w:r>
    </w:p>
    <w:p>
      <w:pPr>
        <w:spacing w:after="0" w:line="175" w:lineRule="exact"/>
        <w:rPr>
          <w:rFonts w:ascii="Arial" w:cs="Arial" w:eastAsia="Arial" w:hAnsi="Arial"/>
          <w:sz w:val="18"/>
          <w:szCs w:val="18"/>
          <w:b w:val="1"/>
          <w:bCs w:val="1"/>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if I don’t buy or sell anything, but I tell someone else material nonpublic information and they buy or sell?</w:t>
      </w:r>
    </w:p>
    <w:p>
      <w:pPr>
        <w:spacing w:after="0" w:line="209" w:lineRule="exact"/>
        <w:rPr>
          <w:rFonts w:ascii="Arial" w:cs="Arial" w:eastAsia="Arial" w:hAnsi="Arial"/>
          <w:sz w:val="18"/>
          <w:szCs w:val="18"/>
          <w:b w:val="1"/>
          <w:bCs w:val="1"/>
          <w:color w:val="auto"/>
        </w:rPr>
      </w:pPr>
    </w:p>
    <w:p>
      <w:pPr>
        <w:jc w:val="both"/>
        <w:ind w:firstLine="757"/>
        <w:spacing w:after="0"/>
        <w:tabs>
          <w:tab w:leader="none" w:pos="1052"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AN2, including spouses, family members, friends or business associates (unless the disclosure is made in accordance with AN2’s policies regarding the protection or authorized external disclosure of information regarding AN2). This includes anonymous discussions on the internet about AN2or companies with which AN2 does business.</w:t>
      </w:r>
    </w:p>
    <w:p>
      <w:pPr>
        <w:spacing w:after="0" w:line="186" w:lineRule="exact"/>
        <w:rPr>
          <w:rFonts w:ascii="Arial" w:cs="Arial" w:eastAsia="Arial" w:hAnsi="Arial"/>
          <w:sz w:val="18"/>
          <w:szCs w:val="18"/>
          <w:b w:val="1"/>
          <w:bCs w:val="1"/>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if I don’t tell them the information itself; I just tell them whether they should buy or sell?</w:t>
      </w:r>
    </w:p>
    <w:p>
      <w:pPr>
        <w:spacing w:after="0" w:line="209" w:lineRule="exact"/>
        <w:rPr>
          <w:rFonts w:ascii="Arial" w:cs="Arial" w:eastAsia="Arial" w:hAnsi="Arial"/>
          <w:sz w:val="18"/>
          <w:szCs w:val="18"/>
          <w:b w:val="1"/>
          <w:bCs w:val="1"/>
          <w:color w:val="auto"/>
        </w:rPr>
      </w:pPr>
    </w:p>
    <w:p>
      <w:pPr>
        <w:ind w:right="20" w:firstLine="757"/>
        <w:spacing w:after="0" w:line="271" w:lineRule="auto"/>
        <w:tabs>
          <w:tab w:leader="none" w:pos="1052"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That is still tipping, and you can still be responsible for insider trading. You may never recommend to another person that they buy, hold or sell AN2’s common stock or any derivative security related to AN2’s common stock, since that could be a form of tipping.</w:t>
      </w:r>
    </w:p>
    <w:p>
      <w:pPr>
        <w:spacing w:after="0" w:line="155" w:lineRule="exact"/>
        <w:rPr>
          <w:rFonts w:ascii="Arial" w:cs="Arial" w:eastAsia="Arial" w:hAnsi="Arial"/>
          <w:sz w:val="18"/>
          <w:szCs w:val="18"/>
          <w:b w:val="1"/>
          <w:bCs w:val="1"/>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are the sanctions if I trade on material nonpublic information or tip off someone else?</w:t>
      </w:r>
    </w:p>
    <w:p>
      <w:pPr>
        <w:spacing w:after="0" w:line="209" w:lineRule="exact"/>
        <w:rPr>
          <w:rFonts w:ascii="Arial" w:cs="Arial" w:eastAsia="Arial" w:hAnsi="Arial"/>
          <w:sz w:val="18"/>
          <w:szCs w:val="18"/>
          <w:b w:val="1"/>
          <w:bCs w:val="1"/>
          <w:color w:val="auto"/>
        </w:rPr>
      </w:pPr>
    </w:p>
    <w:p>
      <w:pPr>
        <w:jc w:val="both"/>
        <w:ind w:firstLine="757"/>
        <w:spacing w:after="0" w:line="244" w:lineRule="auto"/>
        <w:tabs>
          <w:tab w:leader="none" w:pos="1052"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In addition to disciplinary action by AN2—which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78" w:lineRule="exact"/>
        <w:rPr>
          <w:rFonts w:ascii="Arial" w:cs="Arial" w:eastAsia="Arial" w:hAnsi="Arial"/>
          <w:sz w:val="18"/>
          <w:szCs w:val="18"/>
          <w:b w:val="1"/>
          <w:bCs w:val="1"/>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is “loss avoided”?</w:t>
      </w:r>
    </w:p>
    <w:p>
      <w:pPr>
        <w:spacing w:after="0" w:line="209" w:lineRule="exact"/>
        <w:rPr>
          <w:rFonts w:ascii="Arial" w:cs="Arial" w:eastAsia="Arial" w:hAnsi="Arial"/>
          <w:sz w:val="18"/>
          <w:szCs w:val="18"/>
          <w:b w:val="1"/>
          <w:bCs w:val="1"/>
          <w:color w:val="auto"/>
        </w:rPr>
      </w:pPr>
    </w:p>
    <w:p>
      <w:pPr>
        <w:ind w:firstLine="757"/>
        <w:spacing w:after="0" w:line="271" w:lineRule="auto"/>
        <w:tabs>
          <w:tab w:leader="none" w:pos="1066"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If you sell common stock or a related derivative security before negative news is publicly announced, and as a result of the announcement the stock price declines, you have avoided the loss caused by the negative news.</w:t>
      </w:r>
    </w:p>
    <w:p>
      <w:pPr>
        <w:spacing w:after="0" w:line="155" w:lineRule="exact"/>
        <w:rPr>
          <w:rFonts w:ascii="Arial" w:cs="Arial" w:eastAsia="Arial" w:hAnsi="Arial"/>
          <w:sz w:val="18"/>
          <w:szCs w:val="18"/>
          <w:b w:val="1"/>
          <w:bCs w:val="1"/>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 I restricted from trading securities of any companies other than AN2, for example a partner or competitor of AN2?</w:t>
      </w:r>
    </w:p>
    <w:p>
      <w:pPr>
        <w:spacing w:after="0" w:line="209" w:lineRule="exact"/>
        <w:rPr>
          <w:rFonts w:ascii="Arial" w:cs="Arial" w:eastAsia="Arial" w:hAnsi="Arial"/>
          <w:sz w:val="18"/>
          <w:szCs w:val="18"/>
          <w:b w:val="1"/>
          <w:bCs w:val="1"/>
          <w:color w:val="auto"/>
        </w:rPr>
      </w:pPr>
    </w:p>
    <w:p>
      <w:pPr>
        <w:jc w:val="both"/>
        <w:ind w:firstLine="757"/>
        <w:spacing w:after="0" w:line="242" w:lineRule="auto"/>
        <w:tabs>
          <w:tab w:leader="none" w:pos="1066"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Yes, you may be restricted from doing so due to your awareness of material nonpublic information. U.S. insider trading laws generally restrict everyone aware of material nonpublic information about a company from trading in that company’s securities, regardless of whether the person is directly connected with that company, except in limited circumstances. You should be particularly conscious of this restriction if, through your position at AN2, you sometimes obtain sensitive, material information about other companies and their business dealings with AN2. Please also refer to Question 1 above and our insider trading policy with respect to restrictions on trading in the securities of other public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59" w:name="page160"/>
    <w:bookmarkEnd w:id="159"/>
    <w:p>
      <w:pPr>
        <w:ind w:firstLine="8"/>
        <w:spacing w:after="0" w:line="278" w:lineRule="auto"/>
        <w:tabs>
          <w:tab w:leader="none" w:pos="509"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So if I do not trade AN2 securities when I have material nonpublic information, and I don’t “tip” other people, I am in the clear, right?</w:t>
      </w:r>
    </w:p>
    <w:p>
      <w:pPr>
        <w:spacing w:after="0" w:line="139" w:lineRule="exact"/>
        <w:rPr>
          <w:rFonts w:ascii="Arial" w:cs="Arial" w:eastAsia="Arial" w:hAnsi="Arial"/>
          <w:sz w:val="18"/>
          <w:szCs w:val="18"/>
          <w:b w:val="1"/>
          <w:bCs w:val="1"/>
          <w:color w:val="auto"/>
        </w:rPr>
      </w:pPr>
    </w:p>
    <w:p>
      <w:pPr>
        <w:jc w:val="both"/>
        <w:ind w:firstLine="757"/>
        <w:spacing w:after="0" w:line="247" w:lineRule="auto"/>
        <w:tabs>
          <w:tab w:leader="none" w:pos="1039"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Not necessarily. Even if you do not violate U.S. law, you may still violate our policies. For example, employees and consultants may violate our policies by breaching their confidentiality obligations or by recommending AN2 stock as an investment, even if these actions do not violate securities laws. Our policies are stricter than the law requires so that we and our employees and consultants can avoid even the appearance of wrongdoing. Therefore, please review the entire policy carefully.</w:t>
      </w:r>
    </w:p>
    <w:p>
      <w:pPr>
        <w:spacing w:after="0" w:line="175" w:lineRule="exact"/>
        <w:rPr>
          <w:rFonts w:ascii="Arial" w:cs="Arial" w:eastAsia="Arial" w:hAnsi="Arial"/>
          <w:sz w:val="18"/>
          <w:szCs w:val="18"/>
          <w:b w:val="1"/>
          <w:bCs w:val="1"/>
          <w:color w:val="auto"/>
        </w:rPr>
      </w:pPr>
    </w:p>
    <w:p>
      <w:pPr>
        <w:ind w:left="520" w:hanging="512"/>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So when can I buy or sell my AN2 securities?</w:t>
      </w:r>
    </w:p>
    <w:p>
      <w:pPr>
        <w:spacing w:after="0" w:line="209" w:lineRule="exact"/>
        <w:rPr>
          <w:rFonts w:ascii="Arial" w:cs="Arial" w:eastAsia="Arial" w:hAnsi="Arial"/>
          <w:sz w:val="18"/>
          <w:szCs w:val="18"/>
          <w:b w:val="1"/>
          <w:bCs w:val="1"/>
          <w:color w:val="auto"/>
        </w:rPr>
      </w:pPr>
    </w:p>
    <w:p>
      <w:pPr>
        <w:jc w:val="both"/>
        <w:ind w:firstLine="757"/>
        <w:spacing w:after="0"/>
        <w:tabs>
          <w:tab w:leader="none" w:pos="1052"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 xml:space="preserve">If you are aware of material nonpublic information, you may not buy or sell our common stock until two full trading days have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w:t>
      </w:r>
      <w:r>
        <w:rPr>
          <w:rFonts w:ascii="Arial" w:cs="Arial" w:eastAsia="Arial" w:hAnsi="Arial"/>
          <w:sz w:val="18"/>
          <w:szCs w:val="18"/>
          <w:b w:val="1"/>
          <w:bCs w:val="1"/>
          <w:color w:val="auto"/>
        </w:rPr>
        <w:t>Even if you are not aware of any material nonpublic information, you may not</w:t>
      </w:r>
      <w:r>
        <w:rPr>
          <w:rFonts w:ascii="Arial" w:cs="Arial" w:eastAsia="Arial" w:hAnsi="Arial"/>
          <w:sz w:val="18"/>
          <w:szCs w:val="18"/>
          <w:color w:val="auto"/>
        </w:rPr>
        <w:t xml:space="preserve"> </w:t>
      </w:r>
      <w:r>
        <w:rPr>
          <w:rFonts w:ascii="Arial" w:cs="Arial" w:eastAsia="Arial" w:hAnsi="Arial"/>
          <w:sz w:val="18"/>
          <w:szCs w:val="18"/>
          <w:b w:val="1"/>
          <w:bCs w:val="1"/>
          <w:color w:val="auto"/>
        </w:rPr>
        <w:t>trade our common stock during any trading “blackout” period</w:t>
      </w:r>
      <w:r>
        <w:rPr>
          <w:rFonts w:ascii="Arial" w:cs="Arial" w:eastAsia="Arial" w:hAnsi="Arial"/>
          <w:sz w:val="18"/>
          <w:szCs w:val="18"/>
          <w:color w:val="auto"/>
        </w:rPr>
        <w:t>. Our insider trading policy describes the blackout periods, which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by email.</w:t>
      </w:r>
    </w:p>
    <w:p>
      <w:pPr>
        <w:spacing w:after="0" w:line="186" w:lineRule="exact"/>
        <w:rPr>
          <w:rFonts w:ascii="Arial" w:cs="Arial" w:eastAsia="Arial" w:hAnsi="Arial"/>
          <w:sz w:val="18"/>
          <w:szCs w:val="18"/>
          <w:b w:val="1"/>
          <w:bCs w:val="1"/>
          <w:color w:val="auto"/>
        </w:rPr>
      </w:pPr>
    </w:p>
    <w:p>
      <w:pPr>
        <w:ind w:firstLine="8"/>
        <w:spacing w:after="0" w:line="278" w:lineRule="auto"/>
        <w:tabs>
          <w:tab w:leader="none" w:pos="509"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If I have an open order to buy or sell AN2 securities on the date a blackout period commences, can I leave it to my broker to cancel the open order and avoid executing the trade?</w:t>
      </w:r>
    </w:p>
    <w:p>
      <w:pPr>
        <w:spacing w:after="0" w:line="139" w:lineRule="exact"/>
        <w:rPr>
          <w:rFonts w:ascii="Arial" w:cs="Arial" w:eastAsia="Arial" w:hAnsi="Arial"/>
          <w:sz w:val="18"/>
          <w:szCs w:val="18"/>
          <w:b w:val="1"/>
          <w:bCs w:val="1"/>
          <w:color w:val="auto"/>
        </w:rPr>
      </w:pPr>
    </w:p>
    <w:p>
      <w:pPr>
        <w:jc w:val="both"/>
        <w:ind w:firstLine="757"/>
        <w:spacing w:after="0" w:line="247" w:lineRule="auto"/>
        <w:tabs>
          <w:tab w:leader="none" w:pos="1039"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No, unless it is in connection with a 10b5-1 trading plan (see Question 27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spacing w:after="0" w:line="175" w:lineRule="exact"/>
        <w:rPr>
          <w:rFonts w:ascii="Arial" w:cs="Arial" w:eastAsia="Arial" w:hAnsi="Arial"/>
          <w:sz w:val="18"/>
          <w:szCs w:val="18"/>
          <w:b w:val="1"/>
          <w:bCs w:val="1"/>
          <w:color w:val="auto"/>
        </w:rPr>
      </w:pPr>
    </w:p>
    <w:p>
      <w:pPr>
        <w:ind w:left="520" w:hanging="512"/>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 I allowed to trade derivative securities of AN2’s common stock?</w:t>
      </w:r>
    </w:p>
    <w:p>
      <w:pPr>
        <w:spacing w:after="0" w:line="209" w:lineRule="exact"/>
        <w:rPr>
          <w:rFonts w:ascii="Arial" w:cs="Arial" w:eastAsia="Arial" w:hAnsi="Arial"/>
          <w:sz w:val="18"/>
          <w:szCs w:val="18"/>
          <w:b w:val="1"/>
          <w:bCs w:val="1"/>
          <w:color w:val="auto"/>
        </w:rPr>
      </w:pPr>
    </w:p>
    <w:p>
      <w:pPr>
        <w:ind w:firstLine="757"/>
        <w:spacing w:after="0" w:line="271" w:lineRule="auto"/>
        <w:tabs>
          <w:tab w:leader="none" w:pos="1039"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No. Under our policies, you may not trade in derivative securities related to our common stock, which include publicly traded call and put options. In addition, under our policies, you may not engage in short selling of our common stock at any time.</w:t>
      </w:r>
    </w:p>
    <w:p>
      <w:pPr>
        <w:spacing w:after="0" w:line="15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71"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Why does AN2 prohibit trading in derivative securities and short selling?</w:t>
      </w:r>
    </w:p>
    <w:p>
      <w:pPr>
        <w:spacing w:after="0" w:line="209" w:lineRule="exact"/>
        <w:rPr>
          <w:rFonts w:ascii="Arial" w:cs="Arial" w:eastAsia="Arial" w:hAnsi="Arial"/>
          <w:sz w:val="18"/>
          <w:szCs w:val="18"/>
          <w:b w:val="1"/>
          <w:bCs w:val="1"/>
          <w:color w:val="auto"/>
        </w:rPr>
      </w:pPr>
    </w:p>
    <w:p>
      <w:pPr>
        <w:jc w:val="both"/>
        <w:ind w:firstLine="757"/>
        <w:spacing w:after="0" w:line="247" w:lineRule="auto"/>
        <w:tabs>
          <w:tab w:leader="none" w:pos="1039"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60" w:name="page161"/>
    <w:bookmarkEnd w:id="160"/>
    <w:p>
      <w:pPr>
        <w:ind w:left="520" w:hanging="512"/>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Can I purchase AN2 securities on margin or hold them in a margin account?</w:t>
      </w:r>
    </w:p>
    <w:p>
      <w:pPr>
        <w:spacing w:after="0" w:line="209" w:lineRule="exact"/>
        <w:rPr>
          <w:rFonts w:ascii="Arial" w:cs="Arial" w:eastAsia="Arial" w:hAnsi="Arial"/>
          <w:sz w:val="18"/>
          <w:szCs w:val="18"/>
          <w:b w:val="1"/>
          <w:bCs w:val="1"/>
          <w:color w:val="auto"/>
        </w:rPr>
      </w:pPr>
    </w:p>
    <w:p>
      <w:pPr>
        <w:ind w:left="1040" w:hanging="283"/>
        <w:spacing w:after="0"/>
        <w:tabs>
          <w:tab w:leader="none" w:pos="104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Under our policies, you may not purchase our common stock on margin or hold it in a margin account at any time.</w:t>
      </w:r>
    </w:p>
    <w:p>
      <w:pPr>
        <w:spacing w:after="0" w:line="212"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56"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Why does AN2 prohibit me from purchasing AN2 securities on margin or holding them in a margin account?</w:t>
      </w:r>
    </w:p>
    <w:p>
      <w:pPr>
        <w:spacing w:after="0" w:line="209" w:lineRule="exact"/>
        <w:rPr>
          <w:rFonts w:ascii="Arial" w:cs="Arial" w:eastAsia="Arial" w:hAnsi="Arial"/>
          <w:sz w:val="18"/>
          <w:szCs w:val="18"/>
          <w:b w:val="1"/>
          <w:bCs w:val="1"/>
          <w:color w:val="auto"/>
        </w:rPr>
      </w:pPr>
    </w:p>
    <w:p>
      <w:pPr>
        <w:jc w:val="both"/>
        <w:ind w:firstLine="757"/>
        <w:spacing w:after="0" w:line="244" w:lineRule="auto"/>
        <w:tabs>
          <w:tab w:leader="none" w:pos="1052" w:val="left"/>
        </w:tabs>
        <w:numPr>
          <w:ilvl w:val="2"/>
          <w:numId w:val="78"/>
        </w:numPr>
        <w:rPr>
          <w:rFonts w:ascii="Arial" w:cs="Arial" w:eastAsia="Arial" w:hAnsi="Arial"/>
          <w:sz w:val="18"/>
          <w:szCs w:val="18"/>
          <w:b w:val="1"/>
          <w:bCs w:val="1"/>
          <w:color w:val="auto"/>
        </w:rPr>
      </w:pPr>
      <w:r>
        <w:rPr>
          <w:rFonts w:ascii="Arial" w:cs="Arial" w:eastAsia="Arial" w:hAnsi="Arial"/>
          <w:sz w:val="18"/>
          <w:szCs w:val="18"/>
          <w:color w:val="auto"/>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spacing w:after="0" w:line="178" w:lineRule="exact"/>
        <w:rPr>
          <w:rFonts w:ascii="Arial" w:cs="Arial" w:eastAsia="Arial" w:hAnsi="Arial"/>
          <w:sz w:val="18"/>
          <w:szCs w:val="18"/>
          <w:b w:val="1"/>
          <w:bCs w:val="1"/>
          <w:color w:val="auto"/>
        </w:rPr>
      </w:pPr>
    </w:p>
    <w:p>
      <w:pPr>
        <w:ind w:left="520" w:hanging="512"/>
        <w:spacing w:after="0"/>
        <w:tabs>
          <w:tab w:leader="none" w:pos="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Can I pledge my AN2 shares as collateral for a personal loan?</w:t>
      </w:r>
    </w:p>
    <w:p>
      <w:pPr>
        <w:spacing w:after="0" w:line="209" w:lineRule="exact"/>
        <w:rPr>
          <w:rFonts w:ascii="Arial" w:cs="Arial" w:eastAsia="Arial" w:hAnsi="Arial"/>
          <w:sz w:val="18"/>
          <w:szCs w:val="18"/>
          <w:b w:val="1"/>
          <w:bCs w:val="1"/>
          <w:color w:val="auto"/>
        </w:rPr>
      </w:pPr>
    </w:p>
    <w:p>
      <w:pPr>
        <w:jc w:val="both"/>
        <w:ind w:firstLine="408"/>
        <w:spacing w:after="0" w:line="253" w:lineRule="auto"/>
        <w:tabs>
          <w:tab w:leader="none" w:pos="646"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No. Pledging your shares as collateral for a personal loan could cause the pledgee to transfer your shares during a trading blackout period or when you are otherwise aware of material nonpublic information. As a result, you may not pledge your shares as collateral for a loan.</w:t>
      </w:r>
    </w:p>
    <w:p>
      <w:pPr>
        <w:spacing w:after="0" w:line="157" w:lineRule="exact"/>
        <w:rPr>
          <w:rFonts w:ascii="Arial" w:cs="Arial" w:eastAsia="Arial" w:hAnsi="Arial"/>
          <w:sz w:val="18"/>
          <w:szCs w:val="18"/>
          <w:b w:val="1"/>
          <w:bCs w:val="1"/>
          <w:color w:val="auto"/>
        </w:rPr>
      </w:pPr>
    </w:p>
    <w:p>
      <w:pPr>
        <w:ind w:left="760" w:hanging="752"/>
        <w:spacing w:after="0"/>
        <w:tabs>
          <w:tab w:leader="none" w:pos="7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Can I hedge my ownership position in AN2?</w:t>
      </w:r>
    </w:p>
    <w:p>
      <w:pPr>
        <w:spacing w:after="0" w:line="209" w:lineRule="exact"/>
        <w:rPr>
          <w:rFonts w:ascii="Arial" w:cs="Arial" w:eastAsia="Arial" w:hAnsi="Arial"/>
          <w:sz w:val="18"/>
          <w:szCs w:val="18"/>
          <w:b w:val="1"/>
          <w:bCs w:val="1"/>
          <w:color w:val="auto"/>
        </w:rPr>
      </w:pPr>
    </w:p>
    <w:p>
      <w:pPr>
        <w:jc w:val="both"/>
        <w:ind w:firstLine="757"/>
        <w:spacing w:after="0" w:line="244" w:lineRule="auto"/>
        <w:tabs>
          <w:tab w:leader="none" w:pos="1088" w:val="left"/>
        </w:tabs>
        <w:numPr>
          <w:ilvl w:val="2"/>
          <w:numId w:val="78"/>
        </w:numPr>
        <w:rPr>
          <w:rFonts w:ascii="Arial" w:cs="Arial" w:eastAsia="Arial" w:hAnsi="Arial"/>
          <w:sz w:val="18"/>
          <w:szCs w:val="18"/>
          <w:b w:val="1"/>
          <w:bCs w:val="1"/>
          <w:color w:val="auto"/>
        </w:rPr>
      </w:pPr>
      <w:r>
        <w:rPr>
          <w:rFonts w:ascii="Arial" w:cs="Arial" w:eastAsia="Arial" w:hAnsi="Arial"/>
          <w:sz w:val="18"/>
          <w:szCs w:val="18"/>
          <w:color w:val="auto"/>
        </w:rPr>
        <w:t>Hedging or monetization transactions, including through the use of financial instruments such as prepaid variable forwards, equity swaps, collars and exchange funds are prohibited by our insider trading policy. Since such hedging transactions allow you to continue to own AN2’s securities obtained through employee benefit plans or otherwise, but without the full risks and rewards of ownership, you may no longer have the same objectives as AN2’s other stockholders. Therefore, our insider trading policy prohibits you from engaging in any such transactions.</w:t>
      </w:r>
    </w:p>
    <w:p>
      <w:pPr>
        <w:spacing w:after="0" w:line="178" w:lineRule="exact"/>
        <w:rPr>
          <w:rFonts w:ascii="Arial" w:cs="Arial" w:eastAsia="Arial" w:hAnsi="Arial"/>
          <w:sz w:val="18"/>
          <w:szCs w:val="18"/>
          <w:b w:val="1"/>
          <w:bCs w:val="1"/>
          <w:color w:val="auto"/>
        </w:rPr>
      </w:pPr>
    </w:p>
    <w:p>
      <w:pPr>
        <w:ind w:firstLine="8"/>
        <w:spacing w:after="0" w:line="278" w:lineRule="auto"/>
        <w:tabs>
          <w:tab w:leader="none" w:pos="509"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Can I exercise options granted to me under AN2’s equity compensation plans during a trading blackout period or when I possess material nonpublic information?</w:t>
      </w:r>
    </w:p>
    <w:p>
      <w:pPr>
        <w:spacing w:after="0" w:line="139" w:lineRule="exact"/>
        <w:rPr>
          <w:rFonts w:ascii="Arial" w:cs="Arial" w:eastAsia="Arial" w:hAnsi="Arial"/>
          <w:sz w:val="18"/>
          <w:szCs w:val="18"/>
          <w:b w:val="1"/>
          <w:bCs w:val="1"/>
          <w:color w:val="auto"/>
        </w:rPr>
      </w:pPr>
    </w:p>
    <w:p>
      <w:pPr>
        <w:jc w:val="both"/>
        <w:ind w:firstLine="757"/>
        <w:spacing w:after="0" w:line="247" w:lineRule="auto"/>
        <w:tabs>
          <w:tab w:leader="none" w:pos="1039" w:val="left"/>
        </w:tabs>
        <w:numPr>
          <w:ilvl w:val="2"/>
          <w:numId w:val="78"/>
        </w:numPr>
        <w:rPr>
          <w:rFonts w:ascii="Arial" w:cs="Arial" w:eastAsia="Arial" w:hAnsi="Arial"/>
          <w:sz w:val="18"/>
          <w:szCs w:val="18"/>
          <w:b w:val="1"/>
          <w:bCs w:val="1"/>
          <w:color w:val="auto"/>
        </w:rPr>
      </w:pPr>
      <w:r>
        <w:rPr>
          <w:rFonts w:ascii="Arial" w:cs="Arial" w:eastAsia="Arial" w:hAnsi="Arial"/>
          <w:sz w:val="18"/>
          <w:szCs w:val="18"/>
          <w:color w:val="auto"/>
        </w:rPr>
        <w:t xml:space="preserve">Yes. You may exercise the options for cash (or via net exercise transaction with the company) and receive shares, but you may not sell the shares (even to pay the exercise price or any taxes due) during a trading blackout period or any time that you are aware of material nonpublic information. To be clear, you may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effect a broker-assisted cashless exercise (these cashless exercise transactions include a market sale) during a trading blackout period or any time that you are aware of material nonpublic information</w:t>
      </w:r>
    </w:p>
    <w:p>
      <w:pPr>
        <w:spacing w:after="0" w:line="175" w:lineRule="exact"/>
        <w:rPr>
          <w:rFonts w:ascii="Arial" w:cs="Arial" w:eastAsia="Arial" w:hAnsi="Arial"/>
          <w:sz w:val="18"/>
          <w:szCs w:val="18"/>
          <w:b w:val="1"/>
          <w:bCs w:val="1"/>
          <w:color w:val="auto"/>
        </w:rPr>
      </w:pPr>
    </w:p>
    <w:p>
      <w:pPr>
        <w:ind w:left="520" w:hanging="512"/>
        <w:spacing w:after="0"/>
        <w:tabs>
          <w:tab w:leader="none" w:pos="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 I subject to trading blackout periods if I am no longer an employee or consultant of AN2?</w:t>
      </w:r>
    </w:p>
    <w:p>
      <w:pPr>
        <w:spacing w:after="0" w:line="209" w:lineRule="exact"/>
        <w:rPr>
          <w:rFonts w:ascii="Arial" w:cs="Arial" w:eastAsia="Arial" w:hAnsi="Arial"/>
          <w:sz w:val="18"/>
          <w:szCs w:val="18"/>
          <w:b w:val="1"/>
          <w:bCs w:val="1"/>
          <w:color w:val="auto"/>
        </w:rPr>
      </w:pPr>
    </w:p>
    <w:p>
      <w:pPr>
        <w:jc w:val="both"/>
        <w:ind w:firstLine="757"/>
        <w:spacing w:after="0" w:line="247" w:lineRule="auto"/>
        <w:tabs>
          <w:tab w:leader="none" w:pos="1079" w:val="left"/>
        </w:tabs>
        <w:numPr>
          <w:ilvl w:val="2"/>
          <w:numId w:val="78"/>
        </w:numPr>
        <w:rPr>
          <w:rFonts w:ascii="Arial" w:cs="Arial" w:eastAsia="Arial" w:hAnsi="Arial"/>
          <w:sz w:val="18"/>
          <w:szCs w:val="18"/>
          <w:b w:val="1"/>
          <w:bCs w:val="1"/>
          <w:color w:val="auto"/>
        </w:rPr>
      </w:pPr>
      <w:r>
        <w:rPr>
          <w:rFonts w:ascii="Arial" w:cs="Arial" w:eastAsia="Arial" w:hAnsi="Arial"/>
          <w:sz w:val="18"/>
          <w:szCs w:val="18"/>
          <w:color w:val="auto"/>
        </w:rPr>
        <w:t>It depends. If your employment with AN2 ends during a trading blackout period, you will be subject to the remainder of that trading blackout period. However, even if you are not subject to our trading blackout period after you leave AN2, you should not trade in AN2 securities if you are aware of material nonpublic information. That restriction stays with you as long as the information you possess is material and not publicly disseminated within the meaning of our insider trading policy.</w:t>
      </w:r>
    </w:p>
    <w:p>
      <w:pPr>
        <w:spacing w:after="0" w:line="175" w:lineRule="exact"/>
        <w:rPr>
          <w:rFonts w:ascii="Arial" w:cs="Arial" w:eastAsia="Arial" w:hAnsi="Arial"/>
          <w:sz w:val="18"/>
          <w:szCs w:val="18"/>
          <w:b w:val="1"/>
          <w:bCs w:val="1"/>
          <w:color w:val="auto"/>
        </w:rPr>
      </w:pPr>
    </w:p>
    <w:p>
      <w:pPr>
        <w:ind w:left="520" w:hanging="512"/>
        <w:spacing w:after="0"/>
        <w:tabs>
          <w:tab w:leader="none" w:pos="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Can I gift stock while I possess material nonpublic information or during a trading blackout period?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61" w:name="page162"/>
    <w:bookmarkEnd w:id="161"/>
    <w:p>
      <w:pPr>
        <w:jc w:val="both"/>
        <w:ind w:firstLine="757"/>
        <w:spacing w:after="0" w:line="247" w:lineRule="auto"/>
        <w:tabs>
          <w:tab w:leader="none" w:pos="1039"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 xml:space="preserve">It depends. Because of the potential for the appearance of impropriety, you may only make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gifts of our common stock when you are aware of material nonpublic information or during a trading blackout period if (and only if) the gift has been pre-cleared by AN2’s Chief Legal Officer or his or her designee. Whether a gift is truly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will depend on the facts and circumstances surrounding each gift.</w:t>
      </w:r>
    </w:p>
    <w:p>
      <w:pPr>
        <w:spacing w:after="0" w:line="175" w:lineRule="exact"/>
        <w:rPr>
          <w:rFonts w:ascii="Arial" w:cs="Arial" w:eastAsia="Arial" w:hAnsi="Arial"/>
          <w:sz w:val="18"/>
          <w:szCs w:val="18"/>
          <w:b w:val="1"/>
          <w:bCs w:val="1"/>
          <w:color w:val="auto"/>
        </w:rPr>
      </w:pPr>
    </w:p>
    <w:p>
      <w:pPr>
        <w:ind w:left="520" w:hanging="512"/>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if I purchased publicly traded options or other derivative securities before I became an AN2 employee or consultant?</w:t>
      </w:r>
    </w:p>
    <w:p>
      <w:pPr>
        <w:spacing w:after="0" w:line="209" w:lineRule="exact"/>
        <w:rPr>
          <w:rFonts w:ascii="Arial" w:cs="Arial" w:eastAsia="Arial" w:hAnsi="Arial"/>
          <w:sz w:val="18"/>
          <w:szCs w:val="18"/>
          <w:b w:val="1"/>
          <w:bCs w:val="1"/>
          <w:color w:val="auto"/>
        </w:rPr>
      </w:pPr>
    </w:p>
    <w:p>
      <w:pPr>
        <w:ind w:firstLine="757"/>
        <w:spacing w:after="0" w:line="271" w:lineRule="auto"/>
        <w:tabs>
          <w:tab w:leader="none" w:pos="1039"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55" w:lineRule="exact"/>
        <w:rPr>
          <w:rFonts w:ascii="Arial" w:cs="Arial" w:eastAsia="Arial" w:hAnsi="Arial"/>
          <w:sz w:val="18"/>
          <w:szCs w:val="18"/>
          <w:b w:val="1"/>
          <w:bCs w:val="1"/>
          <w:color w:val="auto"/>
        </w:rPr>
      </w:pPr>
    </w:p>
    <w:p>
      <w:pPr>
        <w:ind w:left="520" w:hanging="512"/>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May I own shares of a mutual fund that invests in AN2?</w:t>
      </w:r>
    </w:p>
    <w:p>
      <w:pPr>
        <w:spacing w:after="0" w:line="209" w:lineRule="exact"/>
        <w:rPr>
          <w:rFonts w:ascii="Arial" w:cs="Arial" w:eastAsia="Arial" w:hAnsi="Arial"/>
          <w:sz w:val="18"/>
          <w:szCs w:val="18"/>
          <w:b w:val="1"/>
          <w:bCs w:val="1"/>
          <w:color w:val="auto"/>
        </w:rPr>
      </w:pPr>
    </w:p>
    <w:p>
      <w:pPr>
        <w:ind w:left="1040" w:hanging="283"/>
        <w:spacing w:after="0"/>
        <w:tabs>
          <w:tab w:leader="none" w:pos="104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Yes.</w:t>
      </w:r>
    </w:p>
    <w:p>
      <w:pPr>
        <w:spacing w:after="0" w:line="213" w:lineRule="exact"/>
        <w:rPr>
          <w:rFonts w:ascii="Arial" w:cs="Arial" w:eastAsia="Arial" w:hAnsi="Arial"/>
          <w:sz w:val="18"/>
          <w:szCs w:val="18"/>
          <w:b w:val="1"/>
          <w:bCs w:val="1"/>
          <w:color w:val="auto"/>
        </w:rPr>
      </w:pPr>
    </w:p>
    <w:p>
      <w:pPr>
        <w:ind w:left="520" w:hanging="512"/>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Are mutual fund shares holding AN2 common stock subject to the trading blackout periods?</w:t>
      </w:r>
    </w:p>
    <w:p>
      <w:pPr>
        <w:spacing w:after="0" w:line="209" w:lineRule="exact"/>
        <w:rPr>
          <w:rFonts w:ascii="Arial" w:cs="Arial" w:eastAsia="Arial" w:hAnsi="Arial"/>
          <w:sz w:val="18"/>
          <w:szCs w:val="18"/>
          <w:b w:val="1"/>
          <w:bCs w:val="1"/>
          <w:color w:val="auto"/>
        </w:rPr>
      </w:pPr>
    </w:p>
    <w:p>
      <w:pPr>
        <w:ind w:left="1040" w:hanging="283"/>
        <w:spacing w:after="0"/>
        <w:tabs>
          <w:tab w:leader="none" w:pos="104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No. You may trade in mutual funds holding AN2 common stock at any time.</w:t>
      </w:r>
    </w:p>
    <w:p>
      <w:pPr>
        <w:spacing w:after="0" w:line="213" w:lineRule="exact"/>
        <w:rPr>
          <w:rFonts w:ascii="Arial" w:cs="Arial" w:eastAsia="Arial" w:hAnsi="Arial"/>
          <w:sz w:val="18"/>
          <w:szCs w:val="18"/>
          <w:b w:val="1"/>
          <w:bCs w:val="1"/>
          <w:color w:val="auto"/>
        </w:rPr>
      </w:pPr>
    </w:p>
    <w:p>
      <w:pPr>
        <w:ind w:left="520" w:hanging="512"/>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May I use a “routine trading program” or “10b5-1 plan”?</w:t>
      </w:r>
    </w:p>
    <w:p>
      <w:pPr>
        <w:spacing w:after="0" w:line="209" w:lineRule="exact"/>
        <w:rPr>
          <w:rFonts w:ascii="Arial" w:cs="Arial" w:eastAsia="Arial" w:hAnsi="Arial"/>
          <w:sz w:val="18"/>
          <w:szCs w:val="18"/>
          <w:b w:val="1"/>
          <w:bCs w:val="1"/>
          <w:color w:val="auto"/>
        </w:rPr>
      </w:pPr>
    </w:p>
    <w:p>
      <w:pPr>
        <w:jc w:val="both"/>
        <w:ind w:firstLine="757"/>
        <w:spacing w:after="0" w:line="247" w:lineRule="auto"/>
        <w:tabs>
          <w:tab w:leader="none" w:pos="1039"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Subject to the requirements discussed in our insider trading policy and any 10b5-1 trading plan guidelines, eligible persons may use a routine trading program. A routine trading program, also known as a 10b5-1 plan, allows you to set up a highly structured program with your stock broker where you specify ahead of time the date, price, and amount of securities to be traded. If you wish to create a 10b5-1 plan, please contact our finance team to confirm you are an eligible person and to obtain approval.</w:t>
      </w:r>
    </w:p>
    <w:p>
      <w:pPr>
        <w:spacing w:after="0" w:line="175" w:lineRule="exact"/>
        <w:rPr>
          <w:rFonts w:ascii="Arial" w:cs="Arial" w:eastAsia="Arial" w:hAnsi="Arial"/>
          <w:sz w:val="18"/>
          <w:szCs w:val="18"/>
          <w:b w:val="1"/>
          <w:bCs w:val="1"/>
          <w:color w:val="auto"/>
        </w:rPr>
      </w:pPr>
    </w:p>
    <w:p>
      <w:pPr>
        <w:ind w:left="520" w:hanging="512"/>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happens if I violate our insider trading policy?</w:t>
      </w:r>
    </w:p>
    <w:p>
      <w:pPr>
        <w:spacing w:after="0" w:line="209" w:lineRule="exact"/>
        <w:rPr>
          <w:rFonts w:ascii="Arial" w:cs="Arial" w:eastAsia="Arial" w:hAnsi="Arial"/>
          <w:sz w:val="18"/>
          <w:szCs w:val="18"/>
          <w:b w:val="1"/>
          <w:bCs w:val="1"/>
          <w:color w:val="auto"/>
        </w:rPr>
      </w:pPr>
    </w:p>
    <w:p>
      <w:pPr>
        <w:ind w:firstLine="757"/>
        <w:spacing w:after="0" w:line="271" w:lineRule="auto"/>
        <w:tabs>
          <w:tab w:leader="none" w:pos="1052"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Violating our policies may result in disciplinary action, which may include termination of your employment or other relationship with AN2. In addition, you may be subject to criminal and civil sanctions.</w:t>
      </w:r>
    </w:p>
    <w:p>
      <w:pPr>
        <w:spacing w:after="0" w:line="155" w:lineRule="exact"/>
        <w:rPr>
          <w:rFonts w:ascii="Arial" w:cs="Arial" w:eastAsia="Arial" w:hAnsi="Arial"/>
          <w:sz w:val="18"/>
          <w:szCs w:val="18"/>
          <w:b w:val="1"/>
          <w:bCs w:val="1"/>
          <w:color w:val="auto"/>
        </w:rPr>
      </w:pPr>
    </w:p>
    <w:p>
      <w:pPr>
        <w:ind w:left="520" w:hanging="512"/>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should I contact if I have questions about our insider trading policy or specific trades?</w:t>
      </w:r>
    </w:p>
    <w:p>
      <w:pPr>
        <w:spacing w:after="0" w:line="209" w:lineRule="exact"/>
        <w:rPr>
          <w:rFonts w:ascii="Arial" w:cs="Arial" w:eastAsia="Arial" w:hAnsi="Arial"/>
          <w:sz w:val="18"/>
          <w:szCs w:val="18"/>
          <w:b w:val="1"/>
          <w:bCs w:val="1"/>
          <w:color w:val="auto"/>
        </w:rPr>
      </w:pPr>
    </w:p>
    <w:p>
      <w:pPr>
        <w:ind w:left="1040" w:hanging="283"/>
        <w:spacing w:after="0"/>
        <w:tabs>
          <w:tab w:leader="none" w:pos="104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You should contact our Chief Legal Officer.</w:t>
      </w:r>
    </w:p>
    <w:p>
      <w:pPr>
        <w:spacing w:after="0" w:line="21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___________________________________________________________________________________</w:t>
      </w:r>
    </w:p>
    <w:p>
      <w:pPr>
        <w:spacing w:after="0" w:line="21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Acknowledgement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 have read and understand the requirements of this policy.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2" w:name="page163"/>
    <w:bookmarkEnd w:id="162"/>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333-263917, No. 333-270962 and No. 333-278399) and S-3 (No. 333-271174) of AN2 Therapeutics, Inc. of our report dated March 25, 2025 relating to the financial statements, which appears in this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Eric Easom, certify that:</w:t>
      </w:r>
    </w:p>
    <w:p>
      <w:pPr>
        <w:spacing w:after="0" w:line="212"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AN2 Therapeutics, Inc.;</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71"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53"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March 25,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Eric Easom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Eric Easom</w:t>
      </w:r>
    </w:p>
    <w:p>
      <w:pPr>
        <w:jc w:val="center"/>
        <w:ind w:left="600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Lucy O. Day, certify that:</w:t>
      </w:r>
    </w:p>
    <w:p>
      <w:pPr>
        <w:spacing w:after="0" w:line="212"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AN2 Therapeutics, Inc.;</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71"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53"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20"/>
        <w:spacing w:after="0"/>
        <w:tabs>
          <w:tab w:leader="none" w:pos="5580" w:val="left"/>
          <w:tab w:leader="none" w:pos="8000" w:val="left"/>
        </w:tabs>
        <w:rPr>
          <w:sz w:val="20"/>
          <w:szCs w:val="20"/>
          <w:color w:val="auto"/>
        </w:rPr>
      </w:pPr>
      <w:r>
        <w:rPr>
          <w:rFonts w:ascii="Arial" w:cs="Arial" w:eastAsia="Arial" w:hAnsi="Arial"/>
          <w:sz w:val="18"/>
          <w:szCs w:val="18"/>
          <w:color w:val="auto"/>
        </w:rPr>
        <w:t>Date: March 25,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Lucy O.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Lucy O. Day</w:t>
      </w:r>
    </w:p>
    <w:p>
      <w:pPr>
        <w:jc w:val="center"/>
        <w:ind w:left="600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connection with the Annual Report of AN2 Therapeutics, Inc. (the “Company”) on Form 10-K for the period ending December 31, 2024 as filed with the Securities and Exchange Commission on the date hereof (the “Report”), I certify, pursuant to the requirement set forth in Rule 13a-14(b) of the Securities Exchange Act of 1934, as amended, (the “Exchange Act”) and Section 1350 of Chapter 63 of Title 18 of the United States Code (18 U.S.C. §1350), that:</w:t>
      </w:r>
    </w:p>
    <w:p>
      <w:pPr>
        <w:spacing w:after="0" w:line="174" w:lineRule="exact"/>
        <w:rPr>
          <w:sz w:val="20"/>
          <w:szCs w:val="20"/>
          <w:color w:val="auto"/>
        </w:rPr>
      </w:pPr>
    </w:p>
    <w:p>
      <w:pPr>
        <w:ind w:left="1020" w:hanging="503"/>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11" w:lineRule="exact"/>
        <w:rPr>
          <w:rFonts w:ascii="Arial" w:cs="Arial" w:eastAsia="Arial" w:hAnsi="Arial"/>
          <w:sz w:val="18"/>
          <w:szCs w:val="18"/>
          <w:color w:val="auto"/>
        </w:rPr>
      </w:pPr>
    </w:p>
    <w:p>
      <w:pPr>
        <w:ind w:left="1020" w:right="140" w:hanging="503"/>
        <w:spacing w:after="0" w:line="271" w:lineRule="auto"/>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March 25,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Eric Easom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Eric Easom</w:t>
      </w:r>
    </w:p>
    <w:p>
      <w:pPr>
        <w:jc w:val="center"/>
        <w:ind w:left="600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connection with the Annual Report of AN2 Therapeutics, Inc. (the “Company”) on Form 10-K for the period ending December 31, 2024 as filed with the Securities and Exchange Commission on the date hereof (the “Report”), I certify, pursuant to the requirement set forth in Rule 13a-14(b) of the Securities Exchange Act of 1934, as amended, (the “Exchange Act”) and Section 1350 of Chapter 63 of Title 18 of the United States Code (18 U.S.C. §1350), that:</w:t>
      </w:r>
    </w:p>
    <w:p>
      <w:pPr>
        <w:spacing w:after="0" w:line="174" w:lineRule="exact"/>
        <w:rPr>
          <w:sz w:val="20"/>
          <w:szCs w:val="20"/>
          <w:color w:val="auto"/>
        </w:rPr>
      </w:pPr>
    </w:p>
    <w:p>
      <w:pPr>
        <w:ind w:left="1020" w:hanging="503"/>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11" w:lineRule="exact"/>
        <w:rPr>
          <w:rFonts w:ascii="Arial" w:cs="Arial" w:eastAsia="Arial" w:hAnsi="Arial"/>
          <w:sz w:val="18"/>
          <w:szCs w:val="18"/>
          <w:color w:val="auto"/>
        </w:rPr>
      </w:pPr>
    </w:p>
    <w:p>
      <w:pPr>
        <w:ind w:left="1020" w:right="140" w:hanging="503"/>
        <w:spacing w:after="0" w:line="271" w:lineRule="auto"/>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March 25,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Lucy O.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Lucy O. Day</w:t>
      </w:r>
    </w:p>
    <w:p>
      <w:pPr>
        <w:jc w:val="center"/>
        <w:ind w:left="600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7" w:name="page168"/>
    <w:bookmarkEnd w:id="1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lowerRoman"/>
      <w:start w:val="2"/>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1)"/>
      <w:numFmt w:val="decimal"/>
      <w:start w:val="2"/>
    </w:lvl>
  </w:abstractNum>
  <w:abstractNum w:abstractNumId="48">
    <w:nsid w:val="4AD084E9"/>
    <w:multiLevelType w:val="hybridMultilevel"/>
    <w:lvl w:ilvl="0">
      <w:lvlJc w:val="left"/>
      <w:lvlText w:val="*"/>
      <w:numFmt w:val="bullet"/>
      <w:start w:val="1"/>
    </w:lvl>
    <w:lvl w:ilvl="1">
      <w:lvlJc w:val="left"/>
      <w:lvlText w:val="%2"/>
      <w:numFmt w:val="decimal"/>
      <w:start w:val="104"/>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1)"/>
      <w:numFmt w:val="decimal"/>
      <w:start w:val="2"/>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7">
    <w:nsid w:val="799D024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8">
    <w:nsid w:val="6B94764"/>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upperLetter"/>
      <w:start w:val="1"/>
    </w:lvl>
    <w:lvl w:ilvl="1">
      <w:lvlJc w:val="left"/>
      <w:lvlText w:val="%2."/>
      <w:numFmt w:val="decimal"/>
      <w:start w:val="1"/>
    </w:lvl>
  </w:abstractNum>
  <w:abstractNum w:abstractNumId="61">
    <w:nsid w:val="1EBA5D23"/>
    <w:multiLevelType w:val="hybridMultilevel"/>
    <w:lvl w:ilvl="0">
      <w:lvlJc w:val="left"/>
      <w:lvlText w:val="(%1)"/>
      <w:numFmt w:val="lowerLetter"/>
      <w:start w:val="2"/>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1"/>
    </w:lvl>
    <w:lvl w:ilvl="1">
      <w:lvlJc w:val="left"/>
      <w:lvlText w:val="%2."/>
      <w:numFmt w:val="lowerRoman"/>
      <w:start w:val="1"/>
    </w:lvl>
  </w:abstractNum>
  <w:abstractNum w:abstractNumId="65">
    <w:nsid w:val="7BD3EE7B"/>
    <w:multiLevelType w:val="hybridMultilevel"/>
    <w:lvl w:ilvl="0">
      <w:lvlJc w:val="left"/>
      <w:lvlText w:val="%1"/>
      <w:numFmt w:val="lowerLetter"/>
      <w:start w:val="1"/>
    </w:lvl>
    <w:lvl w:ilvl="1">
      <w:lvlJc w:val="left"/>
      <w:lvlText w:val="%2."/>
      <w:numFmt w:val="lowerRoman"/>
      <w:start w:val="3"/>
    </w:lvl>
  </w:abstractNum>
  <w:abstractNum w:abstractNumId="66">
    <w:nsid w:val="51D9C564"/>
    <w:multiLevelType w:val="hybridMultilevel"/>
    <w:lvl w:ilvl="0">
      <w:lvlJc w:val="left"/>
      <w:lvlText w:val="(%1)"/>
      <w:numFmt w:val="lowerLetter"/>
      <w:start w:val="2"/>
    </w:lvl>
    <w:lvl w:ilvl="1">
      <w:lvlJc w:val="left"/>
      <w:lvlText w:val="%2."/>
      <w:numFmt w:val="lowerRoman"/>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1"/>
      <w:numFmt w:val="bullet"/>
      <w:start w:val="1"/>
    </w:lvl>
  </w:abstractNum>
  <w:abstractNum w:abstractNumId="72">
    <w:nsid w:val="8F2B15E"/>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73">
    <w:nsid w:val="1A32234B"/>
    <w:multiLevelType w:val="hybridMultilevel"/>
    <w:lvl w:ilvl="0">
      <w:lvlJc w:val="left"/>
      <w:lvlText w:val="%1."/>
      <w:numFmt w:val="decimal"/>
      <w:start w:val="6"/>
    </w:lvl>
    <w:lvl w:ilvl="1">
      <w:lvlJc w:val="left"/>
      <w:lvlText w:val="%2:"/>
      <w:numFmt w:val="upperLetter"/>
      <w:start w:val="1"/>
    </w:lvl>
  </w:abstractNum>
  <w:abstractNum w:abstractNumId="74">
    <w:nsid w:val="3B0FD379"/>
    <w:multiLevelType w:val="hybridMultilevel"/>
    <w:lvl w:ilvl="0">
      <w:lvlJc w:val="left"/>
      <w:lvlText w:val="%1."/>
      <w:numFmt w:val="decimal"/>
      <w:start w:val="12"/>
    </w:lvl>
    <w:lvl w:ilvl="1">
      <w:lvlJc w:val="left"/>
      <w:lvlText w:val="%2:"/>
      <w:numFmt w:val="upperLetter"/>
      <w:start w:val="1"/>
    </w:lvl>
  </w:abstractNum>
  <w:abstractNum w:abstractNumId="75">
    <w:nsid w:val="68EB2F63"/>
    <w:multiLevelType w:val="hybridMultilevel"/>
    <w:lvl w:ilvl="0">
      <w:lvlJc w:val="left"/>
      <w:lvlText w:val="%1."/>
      <w:numFmt w:val="decimal"/>
      <w:start w:val="16"/>
    </w:lvl>
    <w:lvl w:ilvl="1">
      <w:lvlJc w:val="left"/>
      <w:lvlText w:val="%2:"/>
      <w:numFmt w:val="upperLetter"/>
      <w:start w:val="1"/>
    </w:lvl>
  </w:abstractNum>
  <w:abstractNum w:abstractNumId="76">
    <w:nsid w:val="4962813B"/>
    <w:multiLevelType w:val="hybridMultilevel"/>
    <w:lvl w:ilvl="0">
      <w:lvlJc w:val="left"/>
      <w:lvlText w:val="%1."/>
      <w:numFmt w:val="decimal"/>
      <w:start w:val="17"/>
    </w:lvl>
    <w:lvl w:ilvl="1">
      <w:lvlJc w:val="left"/>
      <w:lvlText w:val="%2:"/>
      <w:numFmt w:val="upperLetter"/>
      <w:start w:val="1"/>
    </w:lvl>
  </w:abstractNum>
  <w:abstractNum w:abstractNumId="77">
    <w:nsid w:val="60B6DF70"/>
    <w:multiLevelType w:val="hybridMultilevel"/>
    <w:lvl w:ilvl="0">
      <w:lvlJc w:val="left"/>
      <w:lvlText w:val="%1."/>
      <w:numFmt w:val="decimal"/>
      <w:start w:val="18"/>
    </w:lvl>
    <w:lvl w:ilvl="1">
      <w:lvlJc w:val="left"/>
      <w:lvlText w:val="%2:"/>
      <w:numFmt w:val="upperLetter"/>
      <w:start w:val="1"/>
    </w:lvl>
    <w:lvl w:ilvl="2">
      <w:lvlJc w:val="left"/>
      <w:lvlText w:val="%3:"/>
      <w:numFmt w:val="upperLetter"/>
      <w:start w:val="1"/>
    </w:lvl>
  </w:abstractNum>
  <w:abstractNum w:abstractNumId="78">
    <w:nsid w:val="6A5EE64"/>
    <w:multiLevelType w:val="hybridMultilevel"/>
    <w:lvl w:ilvl="0">
      <w:lvlJc w:val="left"/>
      <w:lvlText w:val="%1"/>
      <w:numFmt w:val="decimal"/>
      <w:start w:val="1"/>
    </w:lvl>
    <w:lvl w:ilvl="1">
      <w:lvlJc w:val="left"/>
      <w:lvlText w:val="%2:"/>
      <w:numFmt w:val="upperLetter"/>
      <w:start w:val="1"/>
    </w:lvl>
  </w:abstractNum>
  <w:abstractNum w:abstractNumId="79">
    <w:nsid w:val="14330624"/>
    <w:multiLevelType w:val="hybridMultilevel"/>
    <w:lvl w:ilvl="0">
      <w:lvlJc w:val="left"/>
      <w:lvlText w:val="%1."/>
      <w:numFmt w:val="decimal"/>
      <w:start w:val="24"/>
    </w:lvl>
    <w:lvl w:ilvl="1">
      <w:lvlJc w:val="left"/>
      <w:lvlText w:val="%2:"/>
      <w:numFmt w:val="upperLetter"/>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122" Type="http://schemas.openxmlformats.org/officeDocument/2006/relationships/hyperlink" Target="https://www.sec.gov/Archives/edgar/data/1880438/000119312524166938/d860451dex31.htm" TargetMode="External"/><Relationship Id="rId123" Type="http://schemas.openxmlformats.org/officeDocument/2006/relationships/hyperlink" Target="https://www.sec.gov/Archives/edgar/data/1880438/000119312522066048/d211954dex34.htm" TargetMode="External"/><Relationship Id="rId124" Type="http://schemas.openxmlformats.org/officeDocument/2006/relationships/hyperlink" Target="https://www.sec.gov/Archives/edgar/data/1880438/000119312524202430/d879523dex31.htm" TargetMode="External"/><Relationship Id="rId125" Type="http://schemas.openxmlformats.org/officeDocument/2006/relationships/hyperlink" Target="https://www.sec.gov/Archives/edgar/data/1880438/000119312522080012/d211954dex41.htm" TargetMode="External"/><Relationship Id="rId126" Type="http://schemas.openxmlformats.org/officeDocument/2006/relationships/hyperlink" Target="https://www.sec.gov/Archives/edgar/data/1880438/000119312522066048/d211954dex42.htm" TargetMode="External"/><Relationship Id="rId127" Type="http://schemas.openxmlformats.org/officeDocument/2006/relationships/hyperlink" Target="https://www.sec.gov/Archives/edgar/data/1880438/000095017023010627/antx-ex4_3.htm" TargetMode="External"/><Relationship Id="rId128" Type="http://schemas.openxmlformats.org/officeDocument/2006/relationships/hyperlink" Target="https://www.sec.gov/Archives/edgar/data/1880438/000119312524202430/d879523dex41.htm" TargetMode="External"/><Relationship Id="rId129" Type="http://schemas.openxmlformats.org/officeDocument/2006/relationships/hyperlink" Target="https://www.sec.gov/Archives/edgar/data/1880438/000119312522066048/d211954dex101.htm" TargetMode="External"/><Relationship Id="rId130" Type="http://schemas.openxmlformats.org/officeDocument/2006/relationships/hyperlink" Target="https://www.sec.gov/Archives/edgar/data/1880438/000119312522066048/d211954dex102.htm" TargetMode="External"/><Relationship Id="rId131" Type="http://schemas.openxmlformats.org/officeDocument/2006/relationships/hyperlink" Target="https://www.sec.gov/Archives/edgar/data/1880438/000095017024038681/antx-ex10_3.htm" TargetMode="External"/><Relationship Id="rId132" Type="http://schemas.openxmlformats.org/officeDocument/2006/relationships/hyperlink" Target="https://www.sec.gov/Archives/edgar/data/1880438/000119312522066048/d211954dex104.htm" TargetMode="External"/><Relationship Id="rId133" Type="http://schemas.openxmlformats.org/officeDocument/2006/relationships/hyperlink" Target="https://www.sec.gov/Archives/edgar/data/1880438/000095017024038681/antx-ex10_5.htm" TargetMode="External"/><Relationship Id="rId134" Type="http://schemas.openxmlformats.org/officeDocument/2006/relationships/hyperlink" Target="https://www.sec.gov/Archives/edgar/data/1880438/000095017024038681/antx-ex10_6.htm" TargetMode="External"/><Relationship Id="rId135" Type="http://schemas.openxmlformats.org/officeDocument/2006/relationships/hyperlink" Target="https://www.sec.gov/Archives/edgar/data/1880438/000119312522066048/d211954dex107.htm" TargetMode="External"/><Relationship Id="rId136" Type="http://schemas.openxmlformats.org/officeDocument/2006/relationships/hyperlink" Target="https://www.sec.gov/Archives/edgar/data/1880438/000119312522066048/d211954dex108.htm" TargetMode="External"/><Relationship Id="rId137" Type="http://schemas.openxmlformats.org/officeDocument/2006/relationships/hyperlink" Target="https://www.sec.gov/Archives/edgar/data/1880438/000119312522066048/d211954dex109.htm" TargetMode="External"/><Relationship Id="rId138" Type="http://schemas.openxmlformats.org/officeDocument/2006/relationships/hyperlink" Target="https://www.sec.gov/Archives/edgar/data/1880438/000119312522066048/d211954dex1010.htm" TargetMode="External"/><Relationship Id="rId139" Type="http://schemas.openxmlformats.org/officeDocument/2006/relationships/hyperlink" Target="https://www.sec.gov/Archives/edgar/data/1880438/000119312522066048/d211954dex1011.htm" TargetMode="External"/><Relationship Id="rId140" Type="http://schemas.openxmlformats.org/officeDocument/2006/relationships/hyperlink" Target="https://www.sec.gov/Archives/edgar/data/1880438/000119312522066048/d211954dex1012.htm" TargetMode="External"/><Relationship Id="rId141" Type="http://schemas.openxmlformats.org/officeDocument/2006/relationships/hyperlink" Target="https://www.sec.gov/Archives/edgar/data/1880438/000119312522066048/d211954dex1013.htm" TargetMode="External"/><Relationship Id="rId142" Type="http://schemas.openxmlformats.org/officeDocument/2006/relationships/hyperlink" Target="https://www.sec.gov/Archives/edgar/data/1880438/000119312522066048/d211954dex1014.htm" TargetMode="External"/><Relationship Id="rId143" Type="http://schemas.openxmlformats.org/officeDocument/2006/relationships/hyperlink" Target="https://www.sec.gov/Archives/edgar/data/1880438/000119312522066048/d211954dex1015.htm" TargetMode="External"/><Relationship Id="rId146" Type="http://schemas.openxmlformats.org/officeDocument/2006/relationships/hyperlink" Target="https://www.sec.gov/Archives/edgar/data/1880438/000095017022023901/antx-ex10_1.htm" TargetMode="External"/><Relationship Id="rId147" Type="http://schemas.openxmlformats.org/officeDocument/2006/relationships/hyperlink" Target="https://www.sec.gov/Archives/edgar/data/1880438/000095017024038681/ant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2025-03-25T15:28:27Z</dcterms:created>
  <dcterms:modified xsi:type="dcterms:W3CDTF">2025-03-25T15:28:27Z</dcterms:modified>
</cp:coreProperties>
</file>