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Zakrzewski Joseph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AN2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1300 EL CAMINO REAL,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AN2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4"/>
        <w:gridCol w:w="902"/>
        <w:gridCol w:w="772"/>
        <w:gridCol w:w="599"/>
        <w:gridCol w:w="347"/>
        <w:gridCol w:w="1012"/>
        <w:gridCol w:w="450"/>
        <w:gridCol w:w="612"/>
        <w:gridCol w:w="1156"/>
        <w:gridCol w:w="992"/>
        <w:gridCol w:w="10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405,880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145,538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 gift of shares to the children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by Nancy Zakrzewski TTEE Z3 Trust U/A DTD 11/25/14 ("Z3 Trust"). The Reporting Person disavows beneficial ownership of the shares held by Z3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Lucy Day, Attorney-in-Fact for Joseph S. Zakrzewski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1852" TargetMode="External"/><Relationship Id="rId5" Type="http://schemas.openxmlformats.org/officeDocument/2006/relationships/hyperlink" Target="http://www.sec.gov/cgi-bin/browse-edgar?action=getcompany&amp;CIK=00018804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3329</Characters>
  <CharactersWithSpaces>3876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