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ntx-20251231.htm"/>
      <w:bookmarkStart w:id="1" w:name="ksantx20251231"/>
      <w:bookmarkEnd w:id="0"/>
      <w:bookmarkEnd w:id="1"/>
      <w:r>
        <w:rPr/>
        <w:t> </w:t>
      </w:r>
    </w:p>
    <w:p>
      <w:pPr>
        <w:pStyle w:val="TextBody"/>
        <w:pBdr>
          <w:top w:val="double" w:sz="4" w:space="1" w:color="000000"/>
        </w:pBdr>
        <w:bidi w:val="0"/>
        <w:jc w:val="left"/>
        <w:rPr/>
      </w:pPr>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spacing w:before="60" w:after="283"/>
        <w:jc w:val="center"/>
        <w:rPr>
          <w:rFonts w:ascii="Arial" w:hAnsi="Arial"/>
          <w:b/>
          <w:color w:val="000000"/>
          <w:sz w:val="32"/>
        </w:rPr>
      </w:pPr>
      <w:r>
        <w:rPr>
          <w:rFonts w:ascii="Arial" w:hAnsi="Arial"/>
          <w:b/>
          <w:color w:val="000000"/>
          <w:sz w:val="32"/>
        </w:rPr>
        <w:t>FORM 10-K</w:t>
      </w:r>
    </w:p>
    <w:p>
      <w:pPr>
        <w:pStyle w:val="TextBody"/>
        <w:bidi w:val="0"/>
        <w:spacing w:before="60" w:after="283"/>
        <w:jc w:val="left"/>
        <w:rPr>
          <w:rFonts w:ascii="Times New Roman" w:hAnsi="Times New Roman"/>
          <w:sz w:val="20"/>
        </w:rPr>
      </w:pPr>
      <w:r>
        <w:rPr>
          <w:rFonts w:ascii="Arial" w:hAnsi="Arial"/>
          <w:b/>
          <w:color w:val="000000"/>
          <w:sz w:val="16"/>
        </w:rPr>
        <w:t>(Mark One)</w:t>
      </w:r>
      <w:r>
        <w:rPr>
          <w:rFonts w:ascii="Times New Roman" w:hAnsi="Times New Roman"/>
          <w:color w:val="000000"/>
          <w:sz w:val="20"/>
        </w:rPr>
        <w:t xml:space="preserve"> </w:t>
      </w:r>
    </w:p>
    <w:tbl>
      <w:tblPr>
        <w:tblW w:w="9407" w:type="dxa"/>
        <w:jc w:val="left"/>
        <w:tblInd w:w="0" w:type="dxa"/>
        <w:tblLayout w:type="fixed"/>
        <w:tblCellMar>
          <w:top w:w="28" w:type="dxa"/>
          <w:left w:w="28" w:type="dxa"/>
          <w:bottom w:w="28" w:type="dxa"/>
          <w:right w:w="28" w:type="dxa"/>
        </w:tblCellMar>
      </w:tblPr>
      <w:tblGrid>
        <w:gridCol w:w="331"/>
        <w:gridCol w:w="9076"/>
      </w:tblGrid>
      <w:tr>
        <w:trPr/>
        <w:tc>
          <w:tcPr>
            <w:tcW w:w="331" w:type="dxa"/>
            <w:tcBorders/>
            <w:vAlign w:val="center"/>
          </w:tcPr>
          <w:p>
            <w:pPr>
              <w:pStyle w:val="TableContents"/>
              <w:bidi w:val="0"/>
              <w:spacing w:before="0" w:after="283"/>
              <w:jc w:val="left"/>
              <w:rPr>
                <w:sz w:val="4"/>
                <w:szCs w:val="4"/>
              </w:rPr>
            </w:pPr>
            <w:r>
              <w:rPr>
                <w:sz w:val="4"/>
                <w:szCs w:val="4"/>
              </w:rPr>
            </w:r>
          </w:p>
        </w:tc>
        <w:tc>
          <w:tcPr>
            <w:tcW w:w="90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jc w:val="center"/>
        <w:rPr>
          <w:rFonts w:ascii="Times New Roman" w:hAnsi="Times New Roman"/>
          <w:sz w:val="20"/>
        </w:rPr>
      </w:pPr>
      <w:r>
        <w:rPr>
          <w:rFonts w:ascii="Arial" w:hAnsi="Arial"/>
          <w:b/>
          <w:color w:val="000000"/>
          <w:sz w:val="18"/>
        </w:rPr>
        <w:t>For the fiscal year ended</w:t>
      </w:r>
      <w:r>
        <w:rPr>
          <w:rFonts w:ascii="Times New Roman" w:hAnsi="Times New Roman"/>
          <w:color w:val="000000"/>
          <w:sz w:val="20"/>
        </w:rPr>
        <w:t xml:space="preserve"> </w:t>
      </w:r>
      <w:r>
        <w:rPr>
          <w:rFonts w:ascii="Arial" w:hAnsi="Arial"/>
          <w:b/>
          <w:color w:val="000000"/>
          <w:sz w:val="18"/>
        </w:rPr>
        <w:t>December 31, 2025</w:t>
      </w:r>
    </w:p>
    <w:p>
      <w:pPr>
        <w:pStyle w:val="TextBody"/>
        <w:bidi w:val="0"/>
        <w:jc w:val="center"/>
        <w:rPr>
          <w:rFonts w:ascii="Times New Roman" w:hAnsi="Times New Roman"/>
          <w:sz w:val="20"/>
        </w:rPr>
      </w:pPr>
      <w:r>
        <w:rPr>
          <w:rFonts w:ascii="Arial" w:hAnsi="Arial"/>
          <w:b/>
          <w:color w:val="000000"/>
          <w:sz w:val="18"/>
        </w:rPr>
        <w:t>OR</w:t>
      </w:r>
      <w:r>
        <w:rPr>
          <w:rFonts w:ascii="Times New Roman" w:hAnsi="Times New Roman"/>
          <w:color w:val="000000"/>
          <w:sz w:val="20"/>
        </w:rPr>
        <w:t xml:space="preserve"> </w:t>
      </w:r>
    </w:p>
    <w:tbl>
      <w:tblPr>
        <w:tblW w:w="9722" w:type="dxa"/>
        <w:jc w:val="left"/>
        <w:tblInd w:w="0" w:type="dxa"/>
        <w:tblLayout w:type="fixed"/>
        <w:tblCellMar>
          <w:top w:w="28" w:type="dxa"/>
          <w:left w:w="28" w:type="dxa"/>
          <w:bottom w:w="28" w:type="dxa"/>
          <w:right w:w="28" w:type="dxa"/>
        </w:tblCellMar>
      </w:tblPr>
      <w:tblGrid>
        <w:gridCol w:w="331"/>
        <w:gridCol w:w="9391"/>
      </w:tblGrid>
      <w:tr>
        <w:trPr/>
        <w:tc>
          <w:tcPr>
            <w:tcW w:w="331"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TRANSITION REPORT PURSUANT TO SECTION 13 OR 15(d) OF THE SECURITIES EXCHANGE ACT OF 1934</w:t>
            </w:r>
            <w:r>
              <w:rPr>
                <w:rFonts w:ascii="Times New Roman" w:hAnsi="Times New Roman"/>
                <w:color w:val="000000"/>
                <w:sz w:val="18"/>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For the transition period from to</w:t>
            </w:r>
            <w:r>
              <w:rPr>
                <w:rFonts w:ascii="Times New Roman" w:hAnsi="Times New Roman"/>
                <w:color w:val="000000"/>
                <w:sz w:val="18"/>
              </w:rPr>
              <w:t xml:space="preserve"> </w:t>
            </w:r>
          </w:p>
        </w:tc>
      </w:tr>
    </w:tbl>
    <w:p>
      <w:pPr>
        <w:pStyle w:val="TextBody"/>
        <w:bidi w:val="0"/>
        <w:jc w:val="center"/>
        <w:rPr>
          <w:rFonts w:ascii="Times New Roman" w:hAnsi="Times New Roman"/>
          <w:sz w:val="20"/>
        </w:rPr>
      </w:pPr>
      <w:r>
        <w:rPr>
          <w:rFonts w:ascii="Arial" w:hAnsi="Arial"/>
          <w:b/>
          <w:color w:val="000000"/>
          <w:sz w:val="18"/>
        </w:rPr>
        <w:t>Commission File Number 001-41331</w:t>
      </w:r>
      <w:r>
        <w:rPr>
          <w:rFonts w:ascii="Times New Roman" w:hAnsi="Times New Roman"/>
          <w:color w:val="000000"/>
          <w:sz w:val="20"/>
        </w:rPr>
        <w:t xml:space="preserve"> </w:t>
      </w:r>
    </w:p>
    <w:p>
      <w:pPr>
        <w:pStyle w:val="TextBody"/>
        <w:bidi w:val="0"/>
        <w:spacing w:before="40" w:after="283"/>
        <w:jc w:val="center"/>
        <w:rPr>
          <w:rFonts w:ascii="Arial" w:hAnsi="Arial"/>
          <w:b/>
          <w:color w:val="000000"/>
          <w:sz w:val="40"/>
        </w:rPr>
      </w:pPr>
      <w:r>
        <w:rPr>
          <w:rFonts w:ascii="Arial" w:hAnsi="Arial"/>
          <w:b/>
          <w:color w:val="000000"/>
          <w:sz w:val="40"/>
        </w:rPr>
        <w:t>AN2 Therapeutics, Inc.</w:t>
      </w:r>
    </w:p>
    <w:p>
      <w:pPr>
        <w:pStyle w:val="TextBody"/>
        <w:bidi w:val="0"/>
        <w:jc w:val="center"/>
        <w:rPr>
          <w:rFonts w:ascii="Arial" w:hAnsi="Arial"/>
          <w:b/>
          <w:color w:val="000000"/>
          <w:sz w:val="18"/>
        </w:rPr>
      </w:pPr>
      <w:r>
        <w:rPr>
          <w:rFonts w:ascii="Arial" w:hAnsi="Arial"/>
          <w:b/>
          <w:color w:val="000000"/>
          <w:sz w:val="18"/>
        </w:rPr>
        <w:t>(Exact name of Registrant as specified in its Charter)</w:t>
      </w:r>
    </w:p>
    <w:tbl>
      <w:tblPr>
        <w:tblW w:w="4067" w:type="dxa"/>
        <w:jc w:val="left"/>
        <w:tblInd w:w="0" w:type="dxa"/>
        <w:tblLayout w:type="fixed"/>
        <w:tblCellMar>
          <w:top w:w="28" w:type="dxa"/>
          <w:left w:w="28" w:type="dxa"/>
          <w:bottom w:w="28" w:type="dxa"/>
          <w:right w:w="28" w:type="dxa"/>
        </w:tblCellMar>
      </w:tblPr>
      <w:tblGrid>
        <w:gridCol w:w="2776"/>
        <w:gridCol w:w="1291"/>
      </w:tblGrid>
      <w:tr>
        <w:trPr/>
        <w:tc>
          <w:tcPr>
            <w:tcW w:w="277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82-0606654</w:t>
            </w:r>
          </w:p>
        </w:tc>
      </w:tr>
      <w:tr>
        <w:trPr/>
        <w:tc>
          <w:tcPr>
            <w:tcW w:w="277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(I.R.S. Employer</w:t>
            </w:r>
          </w:p>
          <w:p>
            <w:pPr>
              <w:pStyle w:val="TableContents"/>
              <w:bidi w:val="0"/>
              <w:spacing w:before="0" w:after="283"/>
              <w:jc w:val="center"/>
              <w:rPr>
                <w:rFonts w:ascii="Arial" w:hAnsi="Arial"/>
                <w:b/>
                <w:color w:val="000000"/>
                <w:sz w:val="14"/>
              </w:rPr>
            </w:pPr>
            <w:r>
              <w:rPr>
                <w:rFonts w:ascii="Arial" w:hAnsi="Arial"/>
                <w:b/>
                <w:color w:val="000000"/>
                <w:sz w:val="14"/>
              </w:rPr>
              <w:t>Identification No.)</w:t>
            </w:r>
          </w:p>
        </w:tc>
      </w:tr>
      <w:tr>
        <w:trPr/>
        <w:tc>
          <w:tcPr>
            <w:tcW w:w="277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1300 El Camino Real, Suite 100</w:t>
            </w:r>
          </w:p>
          <w:p>
            <w:pPr>
              <w:pStyle w:val="TableContents"/>
              <w:bidi w:val="0"/>
              <w:spacing w:before="0" w:after="283"/>
              <w:jc w:val="center"/>
              <w:rPr>
                <w:rFonts w:ascii="Arial" w:hAnsi="Arial"/>
                <w:b/>
                <w:color w:val="000000"/>
                <w:sz w:val="18"/>
              </w:rPr>
            </w:pPr>
            <w:r>
              <w:rPr>
                <w:rFonts w:ascii="Arial" w:hAnsi="Arial"/>
                <w:b/>
                <w:color w:val="000000"/>
                <w:sz w:val="18"/>
              </w:rPr>
              <w:t>Menlo Park, California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94025</w:t>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40" w:after="283"/>
        <w:jc w:val="center"/>
        <w:rPr>
          <w:rFonts w:ascii="Times New Roman" w:hAnsi="Times New Roman"/>
          <w:sz w:val="20"/>
        </w:rPr>
      </w:pPr>
      <w:r>
        <w:rPr>
          <w:rFonts w:ascii="Arial" w:hAnsi="Arial"/>
          <w:b/>
          <w:color w:val="000000"/>
          <w:sz w:val="8"/>
        </w:rPr>
        <w:br/>
      </w:r>
      <w:r>
        <w:rPr>
          <w:rFonts w:ascii="Arial" w:hAnsi="Arial"/>
          <w:b/>
          <w:color w:val="000000"/>
          <w:sz w:val="18"/>
        </w:rPr>
        <w:t>Registrant’s telephone number, including area code: (650) 331-9090</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481"/>
        <w:gridCol w:w="146"/>
        <w:gridCol w:w="751"/>
        <w:gridCol w:w="146"/>
        <w:gridCol w:w="2986"/>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Trading</w:t>
            </w:r>
          </w:p>
          <w:p>
            <w:pPr>
              <w:pStyle w:val="TableContents"/>
              <w:bidi w:val="0"/>
              <w:spacing w:before="0" w:after="283"/>
              <w:jc w:val="center"/>
              <w:rPr>
                <w:rFonts w:ascii="Arial" w:hAnsi="Arial"/>
                <w:b/>
                <w:color w:val="000000"/>
                <w:sz w:val="14"/>
              </w:rPr>
            </w:pPr>
            <w:r>
              <w:rPr>
                <w:rFonts w:ascii="Arial" w:hAnsi="Arial"/>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Name of each exchange on which registered</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ANTX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The Nasdaq Global Select Market</w:t>
            </w:r>
          </w:p>
        </w:tc>
      </w:tr>
    </w:tbl>
    <w:p>
      <w:pPr>
        <w:pStyle w:val="TextBody"/>
        <w:bidi w:val="0"/>
        <w:spacing w:before="60" w:after="283"/>
        <w:jc w:val="left"/>
        <w:rPr>
          <w:rFonts w:ascii="Times New Roman" w:hAnsi="Times New Roman"/>
          <w:sz w:val="20"/>
        </w:rPr>
      </w:pPr>
      <w:r>
        <w:rPr>
          <w:rFonts w:ascii="Arial" w:hAnsi="Arial"/>
          <w:color w:val="000000"/>
          <w:sz w:val="16"/>
        </w:rPr>
        <w:t xml:space="preserve">Securities registered pursuant to Section 12(g) of the Act: </w:t>
      </w:r>
      <w:r>
        <w:rPr>
          <w:rFonts w:ascii="Arial" w:hAnsi="Arial"/>
          <w:b/>
          <w:color w:val="000000"/>
          <w:sz w:val="16"/>
        </w:rPr>
        <w:t>None</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Arial" w:hAnsi="Arial"/>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Arial" w:hAnsi="Arial"/>
          <w:color w:val="000000"/>
          <w:sz w:val="16"/>
        </w:rPr>
        <w:t>No</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Arial" w:hAnsi="Arial"/>
          <w:color w:val="000000"/>
          <w:sz w:val="16"/>
        </w:rPr>
        <w:t xml:space="preserve">Indicate by check mark if the Registrant is not required to file reports pursuant to Section 13 or 15(d) of the Act. Yes </w:t>
      </w:r>
      <w:r>
        <w:rPr>
          <w:rFonts w:ascii="Times New Roman" w:hAnsi="Times New Roman"/>
          <w:color w:val="000000"/>
          <w:sz w:val="20"/>
        </w:rPr>
        <w:t xml:space="preserve">☐ </w:t>
      </w:r>
      <w:r>
        <w:rPr>
          <w:rFonts w:ascii="Arial" w:hAnsi="Arial"/>
          <w:color w:val="000000"/>
          <w:sz w:val="16"/>
        </w:rPr>
        <w:t>No</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Arial" w:hAnsi="Arial"/>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6"/>
        </w:rPr>
        <w:t xml:space="preserve">No </w:t>
      </w:r>
      <w:r>
        <w:rPr>
          <w:rFonts w:ascii="Times New Roman" w:hAnsi="Times New Roman"/>
          <w:color w:val="000000"/>
          <w:sz w:val="20"/>
        </w:rPr>
        <w:t>☐</w:t>
      </w:r>
    </w:p>
    <w:p>
      <w:pPr>
        <w:pStyle w:val="TextBody"/>
        <w:bidi w:val="0"/>
        <w:spacing w:before="20" w:after="283"/>
        <w:jc w:val="left"/>
        <w:rPr>
          <w:rFonts w:ascii="Times New Roman" w:hAnsi="Times New Roman"/>
          <w:sz w:val="20"/>
        </w:rPr>
      </w:pPr>
      <w:r>
        <w:rPr>
          <w:rFonts w:ascii="Arial" w:hAnsi="Arial"/>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6"/>
        </w:rPr>
        <w:t xml:space="preserve">No </w:t>
      </w:r>
      <w:r>
        <w:rPr>
          <w:rFonts w:ascii="Times New Roman" w:hAnsi="Times New Roman"/>
          <w:color w:val="000000"/>
          <w:sz w:val="20"/>
        </w:rPr>
        <w:t>☐</w:t>
      </w:r>
    </w:p>
    <w:p>
      <w:pPr>
        <w:pStyle w:val="TextBody"/>
        <w:bidi w:val="0"/>
        <w:spacing w:before="20" w:after="283"/>
        <w:jc w:val="left"/>
        <w:rPr>
          <w:rFonts w:ascii="Arial" w:hAnsi="Arial"/>
          <w:color w:val="000000"/>
          <w:sz w:val="16"/>
        </w:rPr>
      </w:pPr>
      <w:r>
        <w:rPr>
          <w:rFonts w:ascii="Arial" w:hAnsi="Arial"/>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12" w:type="dxa"/>
        <w:jc w:val="left"/>
        <w:tblInd w:w="0" w:type="dxa"/>
        <w:tblLayout w:type="fixed"/>
        <w:tblCellMar>
          <w:top w:w="28" w:type="dxa"/>
          <w:left w:w="28" w:type="dxa"/>
          <w:bottom w:w="28" w:type="dxa"/>
          <w:right w:w="28" w:type="dxa"/>
        </w:tblCellMar>
      </w:tblPr>
      <w:tblGrid>
        <w:gridCol w:w="1741"/>
        <w:gridCol w:w="146"/>
        <w:gridCol w:w="316"/>
        <w:gridCol w:w="146"/>
        <w:gridCol w:w="2056"/>
        <w:gridCol w:w="146"/>
        <w:gridCol w:w="36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Arial" w:hAnsi="Arial"/>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20" w:after="283"/>
        <w:jc w:val="left"/>
        <w:rPr>
          <w:rFonts w:ascii="Times New Roman" w:hAnsi="Times New Roman"/>
          <w:sz w:val="20"/>
        </w:rPr>
      </w:pPr>
      <w:r>
        <w:rPr>
          <w:rFonts w:ascii="Arial" w:hAnsi="Arial"/>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r>
        <w:rPr>
          <w:rFonts w:ascii="Arial" w:hAnsi="Arial"/>
          <w:color w:val="000000"/>
          <w:sz w:val="16"/>
        </w:rPr>
        <w:b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20" w:after="283"/>
        <w:jc w:val="left"/>
        <w:rPr>
          <w:rFonts w:ascii="Times New Roman" w:hAnsi="Times New Roman"/>
          <w:sz w:val="20"/>
        </w:rPr>
      </w:pPr>
      <w:r>
        <w:rPr>
          <w:rFonts w:ascii="Arial" w:hAnsi="Arial"/>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20" w:after="283"/>
        <w:jc w:val="left"/>
        <w:rPr>
          <w:rFonts w:ascii="Times New Roman" w:hAnsi="Times New Roman"/>
          <w:sz w:val="20"/>
        </w:rPr>
      </w:pPr>
      <w:r>
        <w:rPr>
          <w:rFonts w:ascii="Arial" w:hAnsi="Arial"/>
          <w:color w:val="000000"/>
          <w:sz w:val="16"/>
        </w:rPr>
        <w:t>The aggregate market value of the voting and non-voting common equity held by non-affiliates of the Registrant, based on the closing price of the shares of common stock on the Nasdaq Global Select Market on June 30, 2025, was $23,078,812.</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Arial" w:hAnsi="Arial"/>
          <w:color w:val="000000"/>
          <w:sz w:val="16"/>
        </w:rPr>
        <w:t>The number of shares of Registrant’s Common Stock outstanding as of March 10, 2026 was 35,941,195</w:t>
      </w:r>
      <w:r>
        <w:rPr>
          <w:rFonts w:ascii="Times New Roman" w:hAnsi="Times New Roman"/>
          <w:color w:val="000000"/>
          <w:sz w:val="20"/>
        </w:rPr>
        <w:t xml:space="preserve"> </w:t>
      </w:r>
      <w:r>
        <w:rPr>
          <w:rFonts w:ascii="Arial" w:hAnsi="Arial"/>
          <w:color w:val="000000"/>
          <w:sz w:val="16"/>
        </w:rPr>
        <w:t>shares of common stock, par value $0.00001 per share, outstanding.</w:t>
      </w:r>
    </w:p>
    <w:p>
      <w:pPr>
        <w:pStyle w:val="TextBody"/>
        <w:bidi w:val="0"/>
        <w:spacing w:before="20" w:after="283"/>
        <w:jc w:val="center"/>
        <w:rPr>
          <w:rFonts w:ascii="Arial" w:hAnsi="Arial"/>
          <w:b/>
          <w:color w:val="000000"/>
          <w:sz w:val="16"/>
        </w:rPr>
      </w:pPr>
      <w:r>
        <w:rPr>
          <w:rFonts w:ascii="Arial" w:hAnsi="Arial"/>
          <w:b/>
          <w:color w:val="000000"/>
          <w:sz w:val="16"/>
        </w:rPr>
        <w:t>DOCUMENTS INCORPORATED BY REFERENCE</w:t>
      </w:r>
    </w:p>
    <w:p>
      <w:pPr>
        <w:pStyle w:val="TextBody"/>
        <w:bidi w:val="0"/>
        <w:spacing w:before="20" w:after="283"/>
        <w:jc w:val="left"/>
        <w:rPr>
          <w:rFonts w:ascii="Times New Roman" w:hAnsi="Times New Roman"/>
          <w:sz w:val="20"/>
        </w:rPr>
      </w:pPr>
      <w:r>
        <w:rPr>
          <w:rFonts w:ascii="Arial" w:hAnsi="Arial"/>
          <w:color w:val="000000"/>
          <w:sz w:val="16"/>
        </w:rPr>
        <w:t>Portions of the Registrant’s definitive proxy statement for its 2025 annual meeting of stockholders is incorporated by reference in Item 5 of Part II and Items 10, 11, 12, 13 and 14 of Part III.</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8"/>
        <w:gridCol w:w="8705"/>
        <w:gridCol w:w="542"/>
      </w:tblGrid>
      <w:tr>
        <w:trPr/>
        <w:tc>
          <w:tcPr>
            <w:tcW w:w="958" w:type="dxa"/>
            <w:tcBorders/>
            <w:vAlign w:val="center"/>
          </w:tcPr>
          <w:p>
            <w:pPr>
              <w:pStyle w:val="TableContents"/>
              <w:bidi w:val="0"/>
              <w:spacing w:before="0" w:after="283"/>
              <w:jc w:val="left"/>
              <w:rPr>
                <w:sz w:val="4"/>
                <w:szCs w:val="4"/>
              </w:rPr>
            </w:pPr>
            <w:r>
              <w:rPr>
                <w:sz w:val="4"/>
                <w:szCs w:val="4"/>
              </w:rPr>
            </w:r>
          </w:p>
        </w:tc>
        <w:tc>
          <w:tcPr>
            <w:tcW w:w="870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
              <w:r>
                <w:rPr>
                  <w:rStyle w:val="InternetLink"/>
                  <w:rFonts w:ascii="Arial" w:hAnsi="Arial"/>
                  <w:color w:val="0000FF"/>
                  <w:sz w:val="20"/>
                  <w:u w:val="single"/>
                </w:rPr>
                <w:t>Business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1A.</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a">
              <w:r>
                <w:rPr>
                  <w:rStyle w:val="InternetLink"/>
                  <w:rFonts w:ascii="Arial" w:hAnsi="Arial"/>
                  <w:color w:val="0000FF"/>
                  <w:sz w:val="20"/>
                  <w:u w:val="single"/>
                </w:rPr>
                <w:t>Risk Factors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22</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1B.</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b">
              <w:r>
                <w:rPr>
                  <w:rStyle w:val="InternetLink"/>
                  <w:rFonts w:ascii="Arial" w:hAnsi="Arial"/>
                  <w:color w:val="0000FF"/>
                  <w:sz w:val="20"/>
                  <w:u w:val="single"/>
                </w:rPr>
                <w:t>Unresolved Staff Comments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68</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1C.</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c">
              <w:r>
                <w:rPr>
                  <w:rStyle w:val="InternetLink"/>
                  <w:rFonts w:ascii="Arial" w:hAnsi="Arial"/>
                  <w:color w:val="0000FF"/>
                  <w:sz w:val="20"/>
                  <w:u w:val="single"/>
                </w:rPr>
                <w:t>Cybersecurity</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68</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2.</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
              <w:r>
                <w:rPr>
                  <w:rStyle w:val="InternetLink"/>
                  <w:rFonts w:ascii="Arial" w:hAnsi="Arial"/>
                  <w:color w:val="0000FF"/>
                  <w:sz w:val="20"/>
                  <w:u w:val="single"/>
                </w:rPr>
                <w:t>Properties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69</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3.</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
              <w:r>
                <w:rPr>
                  <w:rStyle w:val="InternetLink"/>
                  <w:rFonts w:ascii="Arial" w:hAnsi="Arial"/>
                  <w:color w:val="0000FF"/>
                  <w:sz w:val="20"/>
                  <w:u w:val="single"/>
                </w:rPr>
                <w:t>Legal Proceedings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69</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4.</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
              <w:r>
                <w:rPr>
                  <w:rStyle w:val="InternetLink"/>
                  <w:rFonts w:ascii="Arial" w:hAnsi="Arial"/>
                  <w:color w:val="0000FF"/>
                  <w:sz w:val="20"/>
                  <w:u w:val="single"/>
                </w:rPr>
                <w:t>Mine Safety Disclosures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5.</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
              <w:r>
                <w:rPr>
                  <w:rStyle w:val="InternetLink"/>
                  <w:rFonts w:ascii="Arial" w:hAnsi="Arial"/>
                  <w:color w:val="0000FF"/>
                  <w:sz w:val="20"/>
                  <w:u w:val="single"/>
                </w:rPr>
                <w:t>Market for Registrant’s Common Equity, Related Stockholder Matters and Issuer Purchases of Equity Securities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70</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6.</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Arial" w:hAnsi="Arial"/>
                  <w:color w:val="0000FF"/>
                  <w:sz w:val="20"/>
                  <w:u w:val="single"/>
                </w:rPr>
                <w:t>[Reserved]</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70</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7.</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
              <w:r>
                <w:rPr>
                  <w:rStyle w:val="InternetLink"/>
                  <w:rFonts w:ascii="Arial" w:hAnsi="Arial"/>
                  <w:color w:val="0000FF"/>
                  <w:sz w:val="20"/>
                  <w:u w:val="single"/>
                </w:rPr>
                <w:t>Management’s Discussion and Analysis of Financial Condition and Results of Operations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71</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7A.</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a">
              <w:r>
                <w:rPr>
                  <w:rStyle w:val="InternetLink"/>
                  <w:rFonts w:ascii="Arial" w:hAnsi="Arial"/>
                  <w:color w:val="0000FF"/>
                  <w:sz w:val="20"/>
                  <w:u w:val="single"/>
                </w:rPr>
                <w:t>Quantitative and Qualitative Disclosures About Market Risk</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80</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8.</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8">
              <w:r>
                <w:rPr>
                  <w:rStyle w:val="InternetLink"/>
                  <w:rFonts w:ascii="Arial" w:hAnsi="Arial"/>
                  <w:color w:val="0000FF"/>
                  <w:sz w:val="20"/>
                  <w:u w:val="single"/>
                </w:rPr>
                <w:t>Financial Statements and Supplementary Data</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81</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9">
              <w:r>
                <w:rPr>
                  <w:rStyle w:val="InternetLink"/>
                  <w:rFonts w:ascii="Arial" w:hAnsi="Arial"/>
                  <w:color w:val="0000FF"/>
                  <w:sz w:val="20"/>
                  <w:u w:val="single"/>
                </w:rPr>
                <w:t>Changes in and Disagreements with Accountants on Accounting and Financial Disclosure</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81</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9A.</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9a">
              <w:r>
                <w:rPr>
                  <w:rStyle w:val="InternetLink"/>
                  <w:rFonts w:ascii="Arial" w:hAnsi="Arial"/>
                  <w:color w:val="0000FF"/>
                  <w:sz w:val="20"/>
                  <w:u w:val="single"/>
                </w:rPr>
                <w:t>Controls and Procedures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81</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9B.</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9b">
              <w:r>
                <w:rPr>
                  <w:rStyle w:val="InternetLink"/>
                  <w:rFonts w:ascii="Arial" w:hAnsi="Arial"/>
                  <w:color w:val="0000FF"/>
                  <w:sz w:val="20"/>
                  <w:u w:val="single"/>
                </w:rPr>
                <w:t>Other Information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83</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9C.</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sclosure_regarding_foreign">
              <w:r>
                <w:rPr>
                  <w:rStyle w:val="InternetLink"/>
                  <w:rFonts w:ascii="Arial" w:hAnsi="Arial"/>
                  <w:color w:val="0000FF"/>
                  <w:sz w:val="20"/>
                  <w:u w:val="single"/>
                </w:rPr>
                <w:t>Disclosure Regarding Foreign Jurisdictions that Prevent Inspections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III</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10.</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0">
              <w:r>
                <w:rPr>
                  <w:rStyle w:val="InternetLink"/>
                  <w:rFonts w:ascii="Arial" w:hAnsi="Arial"/>
                  <w:color w:val="0000FF"/>
                  <w:sz w:val="20"/>
                  <w:u w:val="single"/>
                </w:rPr>
                <w:t>Directors, Executive Officers and Corporate Governance</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84</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11.</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1">
              <w:r>
                <w:rPr>
                  <w:rStyle w:val="InternetLink"/>
                  <w:rFonts w:ascii="Arial" w:hAnsi="Arial"/>
                  <w:color w:val="0000FF"/>
                  <w:sz w:val="20"/>
                  <w:u w:val="single"/>
                </w:rPr>
                <w:t>Executive Compensation</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84</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12.</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2">
              <w:r>
                <w:rPr>
                  <w:rStyle w:val="InternetLink"/>
                  <w:rFonts w:ascii="Arial" w:hAnsi="Arial"/>
                  <w:color w:val="0000FF"/>
                  <w:sz w:val="20"/>
                  <w:u w:val="single"/>
                </w:rPr>
                <w:t>Security Ownership of Certain Beneficial Owners and Management and Related Stockholder Matters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84</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13.</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3">
              <w:r>
                <w:rPr>
                  <w:rStyle w:val="InternetLink"/>
                  <w:rFonts w:ascii="Arial" w:hAnsi="Arial"/>
                  <w:color w:val="0000FF"/>
                  <w:sz w:val="20"/>
                  <w:u w:val="single"/>
                </w:rPr>
                <w:t>Certain Relationships and Related Transactions, and Director Independence</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84</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14.</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4">
              <w:r>
                <w:rPr>
                  <w:rStyle w:val="InternetLink"/>
                  <w:rFonts w:ascii="Arial" w:hAnsi="Arial"/>
                  <w:color w:val="0000FF"/>
                  <w:sz w:val="20"/>
                  <w:u w:val="single"/>
                </w:rPr>
                <w:t>Principal Accounting Fees and Services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IV</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15.</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5">
              <w:r>
                <w:rPr>
                  <w:rStyle w:val="InternetLink"/>
                  <w:rFonts w:ascii="Arial" w:hAnsi="Arial"/>
                  <w:color w:val="0000FF"/>
                  <w:sz w:val="20"/>
                  <w:u w:val="single"/>
                </w:rPr>
                <w:t>Exhibits, Financial Statement Schedules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85</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16</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6">
              <w:r>
                <w:rPr>
                  <w:rStyle w:val="InternetLink"/>
                  <w:rFonts w:ascii="Arial" w:hAnsi="Arial"/>
                  <w:color w:val="0000FF"/>
                  <w:sz w:val="20"/>
                  <w:u w:val="single"/>
                </w:rPr>
                <w:t>Form 10-K Summary</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85</w:t>
            </w:r>
          </w:p>
        </w:tc>
      </w:tr>
      <w:tr>
        <w:trPr/>
        <w:tc>
          <w:tcPr>
            <w:tcW w:w="9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spacing w:before="240" w:after="283"/>
        <w:jc w:val="left"/>
        <w:rPr>
          <w:rFonts w:ascii="Arial" w:hAnsi="Arial"/>
          <w:color w:val="000000"/>
          <w:sz w:val="20"/>
        </w:rPr>
      </w:pPr>
      <w:r>
        <w:rPr>
          <w:rFonts w:ascii="Arial" w:hAnsi="Arial"/>
          <w:color w:val="000000"/>
          <w:sz w:val="20"/>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product candidates, planned preclinical and nonclinical studies and clinical trials, results of preclinical and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Arial" w:hAnsi="Arial"/>
          <w:color w:val="000000"/>
          <w:sz w:val="20"/>
        </w:rPr>
      </w:pPr>
      <w:r>
        <w:rPr>
          <w:rFonts w:ascii="Arial" w:hAnsi="Arial"/>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Form 10-K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initiation, timing, progress, and results of our preclinical and nonclinical studies and clinical trials, and our research and development programs, including the manufacture of clinical trial material and drug product for launch;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our existing cash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accuracy of our estimates regarding expenses,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use of the net proceeds from 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of our ongoing and planned clinical trials to be sufficient for regulatory approval in the United States and other territories;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commence studies of epetraborole in additional patient populations, which regulatory authorities may not allow or authorize or may delay allowing or authorizing;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translation of our preclinical results and data and early clinical trial results, in particular relating to safety, efficacy and durability, into future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retain the continued service of our key professionals and to identify, hire, and retain additional qualified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advance our initial product candidate and any other product candidates we may develop into, and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and our ability to obtain and maintain regulatory approvals for our initial product candidate and any other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commercialization of our initial product candidate and any other product candidates we may develop,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of epetraborole, if approved, to successfully compete with other therapies, including therapies currently in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of the market opportunity for epetraborole or any other product candidates we may develop in each of the diseases we target;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pricing, coverage, and reimbursement of epetraborole,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implementation of our business model, strategic plans for our business, and our initial product candidate and any other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of protection we are able to establish and maintain for intellectual property rights covering epetraborole and any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identify additional product candidates and advance them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financial performance;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developments relating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impact of inflation, macroeconomic conditions and geopolitical conflicts on our business and operations, including on our manufacturing suppliers, collaborators, contract research organizations (“CROs”) and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the period during which we will qualify as an emerging growth company under the Jumpstart Our Business Startups Act of 2012 (the “JOBS Act”).</w:t>
      </w:r>
    </w:p>
    <w:p>
      <w:pPr>
        <w:pStyle w:val="TextBody"/>
        <w:bidi w:val="0"/>
        <w:spacing w:before="240" w:after="283"/>
        <w:jc w:val="left"/>
        <w:rPr>
          <w:rFonts w:ascii="Arial" w:hAnsi="Arial"/>
          <w:color w:val="000000"/>
          <w:sz w:val="20"/>
        </w:rPr>
      </w:pPr>
      <w:r>
        <w:rPr>
          <w:rFonts w:ascii="Arial" w:hAnsi="Arial"/>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in Part I, Item 1A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whether as a result of any new information, future events, or otherwise.</w:t>
      </w:r>
    </w:p>
    <w:p>
      <w:pPr>
        <w:pStyle w:val="TextBody"/>
        <w:bidi w:val="0"/>
        <w:spacing w:before="240" w:after="283"/>
        <w:jc w:val="left"/>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part_i"/>
      <w:bookmarkEnd w:id="2"/>
      <w:r>
        <w:rPr>
          <w:rFonts w:ascii="Arial" w:hAnsi="Arial"/>
          <w:b/>
          <w:color w:val="000000"/>
          <w:sz w:val="20"/>
        </w:rPr>
        <w:t>PART I</w:t>
      </w:r>
    </w:p>
    <w:p>
      <w:pPr>
        <w:pStyle w:val="TextBody"/>
        <w:bidi w:val="0"/>
        <w:spacing w:before="240" w:after="283"/>
        <w:jc w:val="left"/>
        <w:rPr>
          <w:rFonts w:ascii="Times New Roman" w:hAnsi="Times New Roman"/>
          <w:sz w:val="20"/>
        </w:rPr>
      </w:pPr>
      <w:bookmarkStart w:id="3" w:name="item1"/>
      <w:bookmarkEnd w:id="3"/>
      <w:r>
        <w:rPr>
          <w:rFonts w:ascii="Arial" w:hAnsi="Arial"/>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i/>
          <w:color w:val="000000"/>
          <w:sz w:val="20"/>
        </w:rPr>
        <w:t xml:space="preserve">All brand names or trademarks appearing in this report are the property of their respective owners. Unless the context requires otherwise, references in this report to </w:t>
      </w:r>
      <w:r>
        <w:rPr>
          <w:rFonts w:ascii="Times New Roman" w:hAnsi="Times New Roman"/>
          <w:color w:val="000000"/>
          <w:sz w:val="20"/>
        </w:rPr>
        <w:t>“</w:t>
      </w:r>
      <w:r>
        <w:rPr>
          <w:rFonts w:ascii="Arial" w:hAnsi="Arial"/>
          <w:i/>
          <w:color w:val="000000"/>
          <w:sz w:val="20"/>
        </w:rPr>
        <w:t>AN2,” “we,” “our,” the “Company” or the “Registrant” refer to AN2 Therapeutics.</w:t>
      </w:r>
    </w:p>
    <w:p>
      <w:pPr>
        <w:pStyle w:val="TextBody"/>
        <w:bidi w:val="0"/>
        <w:spacing w:before="360" w:after="283"/>
        <w:jc w:val="left"/>
        <w:rPr>
          <w:rFonts w:ascii="Arial" w:hAnsi="Arial"/>
          <w:b/>
          <w:color w:val="000000"/>
          <w:sz w:val="20"/>
        </w:rPr>
      </w:pPr>
      <w:r>
        <w:rPr>
          <w:rFonts w:ascii="Arial" w:hAnsi="Arial"/>
          <w:b/>
          <w:color w:val="000000"/>
          <w:sz w:val="20"/>
        </w:rPr>
        <w:t>Overview</w:t>
      </w:r>
    </w:p>
    <w:p>
      <w:pPr>
        <w:pStyle w:val="TextBody"/>
        <w:bidi w:val="0"/>
        <w:spacing w:before="120" w:after="283"/>
        <w:jc w:val="left"/>
        <w:rPr>
          <w:rFonts w:ascii="Arial" w:hAnsi="Arial"/>
          <w:color w:val="000000"/>
          <w:sz w:val="20"/>
        </w:rPr>
      </w:pPr>
      <w:r>
        <w:rPr>
          <w:rFonts w:ascii="Arial" w:hAnsi="Arial"/>
          <w:color w:val="000000"/>
          <w:sz w:val="20"/>
        </w:rPr>
        <w:t>We are a clinical stage biopharmaceutical company focused on the discovery and development of novel small-molecule therapeutics derived from our boron chemistry platform. Our development pipeline spans hematologic diseases, infectious diseases, and oncology with three Phase 2 studies expected to initiate in 2026, two preclinical candidates, as well as advanced research programs focused on targets in oncology, bone disorders, and infectious diseases. We are committed to delivering high-impact drugs to patients that address critical unmet needs and improve health outcomes.</w:t>
      </w:r>
    </w:p>
    <w:p>
      <w:pPr>
        <w:pStyle w:val="TextBody"/>
        <w:bidi w:val="0"/>
        <w:spacing w:before="360" w:after="283"/>
        <w:jc w:val="left"/>
        <w:rPr>
          <w:rFonts w:ascii="Arial" w:hAnsi="Arial"/>
          <w:b/>
          <w:i/>
          <w:color w:val="000000"/>
          <w:sz w:val="20"/>
        </w:rPr>
      </w:pPr>
      <w:r>
        <w:rPr>
          <w:rFonts w:ascii="Arial" w:hAnsi="Arial"/>
          <w:b/>
          <w:i/>
          <w:color w:val="000000"/>
          <w:sz w:val="20"/>
        </w:rPr>
        <w:t>Our Pipeline</w:t>
      </w:r>
    </w:p>
    <w:p>
      <w:pPr>
        <w:pStyle w:val="TextBody"/>
        <w:bidi w:val="0"/>
        <w:spacing w:before="120" w:after="283"/>
        <w:jc w:val="left"/>
        <w:rPr>
          <w:rFonts w:ascii="Arial" w:hAnsi="Arial"/>
          <w:color w:val="000000"/>
          <w:sz w:val="20"/>
        </w:rPr>
      </w:pPr>
      <w:r>
        <w:rPr>
          <w:rFonts w:ascii="Arial" w:hAnsi="Arial"/>
          <w:color w:val="000000"/>
          <w:sz w:val="20"/>
        </w:rPr>
        <w:t>Our pipeline is represented in the diagram below:</w:t>
      </w:r>
    </w:p>
    <w:p>
      <w:pPr>
        <w:pStyle w:val="TextBody"/>
        <w:bidi w:val="0"/>
        <w:spacing w:before="240" w:after="283"/>
        <w:jc w:val="center"/>
        <w:rPr/>
      </w:pPr>
      <w:r>
        <w:rPr/>
        <w:drawing>
          <wp:inline distT="0" distB="0" distL="0" distR="0">
            <wp:extent cx="6858000" cy="3114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114675"/>
                    </a:xfrm>
                    <a:prstGeom prst="rect">
                      <a:avLst/>
                    </a:prstGeom>
                  </pic:spPr>
                </pic:pic>
              </a:graphicData>
            </a:graphic>
          </wp:inline>
        </w:drawing>
      </w:r>
    </w:p>
    <w:p>
      <w:pPr>
        <w:pStyle w:val="TextBody"/>
        <w:bidi w:val="0"/>
        <w:spacing w:before="360" w:after="283"/>
        <w:jc w:val="center"/>
        <w:rPr>
          <w:rFonts w:ascii="Arial" w:hAnsi="Arial"/>
          <w:b/>
          <w:i/>
          <w:color w:val="000000"/>
          <w:sz w:val="20"/>
        </w:rPr>
      </w:pPr>
      <w:r>
        <w:rPr>
          <w:rFonts w:ascii="Arial" w:hAnsi="Arial"/>
          <w:b/>
          <w:i/>
          <w:color w:val="000000"/>
          <w:sz w:val="20"/>
        </w:rPr>
        <w:t>Figure 1. Company Pipeline</w:t>
      </w:r>
    </w:p>
    <w:p>
      <w:pPr>
        <w:pStyle w:val="TextBody"/>
        <w:bidi w:val="0"/>
        <w:spacing w:before="360" w:after="283"/>
        <w:jc w:val="left"/>
        <w:rPr>
          <w:rFonts w:ascii="Arial" w:hAnsi="Arial"/>
          <w:b/>
          <w:i/>
          <w:color w:val="000000"/>
          <w:sz w:val="20"/>
        </w:rPr>
      </w:pPr>
      <w:r>
        <w:rPr>
          <w:rFonts w:ascii="Arial" w:hAnsi="Arial"/>
          <w:b/>
          <w:i/>
          <w:color w:val="000000"/>
          <w:sz w:val="20"/>
        </w:rPr>
        <w:t>Epetraborole</w:t>
      </w:r>
    </w:p>
    <w:p>
      <w:pPr>
        <w:pStyle w:val="TextBody"/>
        <w:bidi w:val="0"/>
        <w:spacing w:before="120" w:after="283"/>
        <w:jc w:val="left"/>
        <w:rPr>
          <w:rFonts w:ascii="Arial" w:hAnsi="Arial"/>
          <w:i/>
          <w:color w:val="000000"/>
          <w:sz w:val="20"/>
        </w:rPr>
      </w:pPr>
      <w:r>
        <w:rPr>
          <w:rFonts w:ascii="Arial" w:hAnsi="Arial"/>
          <w:i/>
          <w:color w:val="000000"/>
          <w:sz w:val="20"/>
        </w:rPr>
        <w:t>Polycythemia vera</w:t>
      </w:r>
    </w:p>
    <w:p>
      <w:pPr>
        <w:pStyle w:val="TextBody"/>
        <w:bidi w:val="0"/>
        <w:spacing w:before="120" w:after="283"/>
        <w:jc w:val="left"/>
        <w:rPr>
          <w:rFonts w:ascii="Times New Roman" w:hAnsi="Times New Roman"/>
          <w:sz w:val="20"/>
        </w:rPr>
      </w:pPr>
      <w:r>
        <w:rPr>
          <w:rFonts w:ascii="Arial" w:hAnsi="Arial"/>
          <w:color w:val="000000"/>
          <w:sz w:val="20"/>
        </w:rPr>
        <w:t>In March 2026, we announced our plan to expand the development of oral epetraborole into a Phase 2 proof-of-concept clinical study in adults with phlebotomy-dependent polycythemia vera</w:t>
      </w:r>
      <w:r>
        <w:rPr>
          <w:rFonts w:ascii="Times New Roman" w:hAnsi="Times New Roman"/>
          <w:color w:val="000000"/>
          <w:sz w:val="20"/>
        </w:rPr>
        <w:t xml:space="preserve"> </w:t>
      </w:r>
      <w:r>
        <w:rPr>
          <w:rFonts w:ascii="Arial" w:hAnsi="Arial"/>
          <w:i/>
          <w:color w:val="000000"/>
          <w:sz w:val="20"/>
        </w:rPr>
        <w:t>(</w:t>
      </w:r>
      <w:r>
        <w:rPr>
          <w:rFonts w:ascii="Times New Roman" w:hAnsi="Times New Roman"/>
          <w:color w:val="000000"/>
          <w:sz w:val="20"/>
        </w:rPr>
        <w:t>“</w:t>
      </w:r>
      <w:r>
        <w:rPr>
          <w:rFonts w:ascii="Arial" w:hAnsi="Arial"/>
          <w:color w:val="000000"/>
          <w:sz w:val="20"/>
        </w:rPr>
        <w:t>PV”). PV is a blood cancer characterized by overproduction of red blood cells in the bone marrow. This overproduction increases hematocrit, which can lead to serious medical complications including arterial and venous thromboembolic events. If untreated, PV can be life-threatening. Despite available therapies, many patients experience uncontrolled hematocrit levels and persistent symptom burden, requiring long-term management to maintain adequate disease control. PV is estimated to affect approximately 155,000 people in the U.S.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are proceeding through the regulatory process and anticipate initiating the Phase 2 trial in India in the third quarter of 2026. We expect to provide periodic data readouts beginning as early as the fourth quarter of 2026 and throughout 2027, subject to regulatory clearance and enrollment progress. The Phase 2 study is expected to consist of an open-label epetraborole sentinel cohort, an open-label dose optimization cohort for dose selection (Part 1), followed by a double-blind, randomized, placebo-controlled cohort (Part 2), and an optional open-label extension cohort (Part 3). The study is designed to assess the efficacy of oral epetraborole in phlebotomy-dependent adults with PV and its effect on key hematological variables, to optimize a dose regimen on a by-patient level, to assess safety and tolerability, to assess patient-reported outcomes (“PROs”) using validated PRO instruments, and to assess other key hematological parameters. We expect to enroll approximately 40-50 patients across 3-5 or more sites.</w:t>
      </w:r>
    </w:p>
    <w:p>
      <w:pPr>
        <w:pStyle w:val="TextBody"/>
        <w:bidi w:val="0"/>
        <w:spacing w:before="360" w:after="283"/>
        <w:jc w:val="left"/>
        <w:rPr>
          <w:rFonts w:ascii="Arial" w:hAnsi="Arial"/>
          <w:i/>
          <w:color w:val="000000"/>
          <w:sz w:val="20"/>
        </w:rPr>
      </w:pPr>
      <w:r>
        <w:rPr>
          <w:rFonts w:ascii="Arial" w:hAnsi="Arial"/>
          <w:i/>
          <w:color w:val="000000"/>
          <w:sz w:val="20"/>
        </w:rPr>
        <w:t>Mycobacterium abscessus complex lung disease</w:t>
      </w:r>
    </w:p>
    <w:p>
      <w:pPr>
        <w:pStyle w:val="TextBody"/>
        <w:bidi w:val="0"/>
        <w:spacing w:before="120" w:after="283"/>
        <w:jc w:val="left"/>
        <w:rPr>
          <w:rFonts w:ascii="Times New Roman" w:hAnsi="Times New Roman"/>
          <w:sz w:val="20"/>
        </w:rPr>
      </w:pPr>
      <w:r>
        <w:rPr>
          <w:rFonts w:ascii="Arial" w:hAnsi="Arial"/>
          <w:color w:val="000000"/>
          <w:sz w:val="20"/>
        </w:rPr>
        <w:t xml:space="preserve">In December 2025, the U.S. Food and Drug Administration (“FDA”) cleared an Investigational New Drug Application (“IND”) to proceed with a Phase 2 investigator-initiated study (“IIT”) in collaboration with Oregon Health and Sciences University (“OHSU”) evaluating epetraborole for the treatment of </w:t>
      </w:r>
      <w:r>
        <w:rPr>
          <w:rFonts w:ascii="Arial" w:hAnsi="Arial"/>
          <w:i/>
          <w:color w:val="000000"/>
          <w:sz w:val="20"/>
        </w:rPr>
        <w:t>Mycobacterium abscessus (</w:t>
      </w:r>
      <w:r>
        <w:rPr>
          <w:rFonts w:ascii="Times New Roman" w:hAnsi="Times New Roman"/>
          <w:color w:val="000000"/>
          <w:sz w:val="20"/>
        </w:rPr>
        <w:t>“</w:t>
      </w:r>
      <w:r>
        <w:rPr>
          <w:rFonts w:ascii="Arial" w:hAnsi="Arial"/>
          <w:i/>
          <w:color w:val="000000"/>
          <w:sz w:val="20"/>
        </w:rPr>
        <w:t>M. abscessus</w:t>
      </w:r>
      <w:r>
        <w:rPr>
          <w:rFonts w:ascii="Times New Roman" w:hAnsi="Times New Roman"/>
          <w:color w:val="000000"/>
          <w:sz w:val="20"/>
        </w:rPr>
        <w:t>”</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 xml:space="preserve">complex lung disease. This multicenter, randomized, double-blind, placebo-controlled, prospective clinical study will be led by Dr. Kevin Winthrop, Professor of Public Health and Infectious Diseases at OHSU, in conjunction with other investigators across an estimated 10-15 sites in the U.S.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lung disease is a serious and difficult-to-treat non-tuberculous mycobacterial infection requiring prolonged therapy including IV-only antibiotics and characterized by limited treatment options and high rates of morbidity, and 5-year mortality. No FDA-approved drugs currently exist for its treatment.</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expect to initiate enrollment in the first quarter of 2026 and to report topline results in late 2027.</w:t>
      </w:r>
    </w:p>
    <w:p>
      <w:pPr>
        <w:pStyle w:val="TextBody"/>
        <w:bidi w:val="0"/>
        <w:spacing w:before="360" w:after="283"/>
        <w:jc w:val="left"/>
        <w:rPr>
          <w:rFonts w:ascii="Arial" w:hAnsi="Arial"/>
          <w:b/>
          <w:i/>
          <w:color w:val="000000"/>
          <w:sz w:val="20"/>
        </w:rPr>
      </w:pPr>
      <w:r>
        <w:rPr>
          <w:rFonts w:ascii="Arial" w:hAnsi="Arial"/>
          <w:b/>
          <w:i/>
          <w:color w:val="000000"/>
          <w:sz w:val="20"/>
        </w:rPr>
        <w:t>AN2-502998</w:t>
      </w:r>
    </w:p>
    <w:p>
      <w:pPr>
        <w:pStyle w:val="TextBody"/>
        <w:bidi w:val="0"/>
        <w:spacing w:before="120" w:after="283"/>
        <w:jc w:val="left"/>
        <w:rPr>
          <w:rFonts w:ascii="Arial" w:hAnsi="Arial"/>
          <w:i/>
          <w:color w:val="000000"/>
          <w:sz w:val="20"/>
        </w:rPr>
      </w:pPr>
      <w:r>
        <w:rPr>
          <w:rFonts w:ascii="Arial" w:hAnsi="Arial"/>
          <w:i/>
          <w:color w:val="000000"/>
          <w:sz w:val="20"/>
        </w:rPr>
        <w:t>Chagas disease</w:t>
      </w:r>
    </w:p>
    <w:p>
      <w:pPr>
        <w:pStyle w:val="TextBody"/>
        <w:bidi w:val="0"/>
        <w:spacing w:before="120" w:after="283"/>
        <w:jc w:val="left"/>
        <w:rPr>
          <w:rFonts w:ascii="Times New Roman" w:hAnsi="Times New Roman"/>
          <w:sz w:val="20"/>
        </w:rPr>
      </w:pPr>
      <w:r>
        <w:rPr>
          <w:rFonts w:ascii="Arial" w:hAnsi="Arial"/>
          <w:color w:val="000000"/>
          <w:sz w:val="20"/>
        </w:rPr>
        <w:t xml:space="preserve">In August 2025, as part of our Chagas disease clinical development program, we commenced our Phase 1 first-in-human trial of oral AN2-502998 in healthy volunteers. Chagas disease (American trypanosomiasis), is an infectious disease caused by </w:t>
      </w:r>
      <w:r>
        <w:rPr>
          <w:rFonts w:ascii="Arial" w:hAnsi="Arial"/>
          <w:i/>
          <w:color w:val="000000"/>
          <w:sz w:val="20"/>
        </w:rPr>
        <w:t>Trypanosoma cruzi</w:t>
      </w:r>
      <w:r>
        <w:rPr>
          <w:rFonts w:ascii="Arial" w:hAnsi="Arial"/>
          <w:color w:val="000000"/>
          <w:sz w:val="20"/>
        </w:rPr>
        <w:t xml:space="preserve">, which affects an estimated 6-10 million people worldwide, including approximately 300,000 people in the U.S. and over 100,000 in Europe. Chagas disease can remain asymptomatic for years before progressing to chronic disease. In approximately 20–30% of infected individuals, chronic infection leads to serious cardiac and gastrointestinal complications, including cardiomyopathy, heart failure, arrhythmias, stroke, and megacolon or megaesophagus, which can result in significant morbidity and premature death. AN2-502998 is the only compound of which we are aware to have demonstrated curative activity in preclinical studies across multiple species, including in nonhuman primates (“NHPs”) with long-term, naturally acquired chronic infections caused by diverse </w:t>
      </w:r>
      <w:r>
        <w:rPr>
          <w:rFonts w:ascii="Arial" w:hAnsi="Arial"/>
          <w:i/>
          <w:color w:val="000000"/>
          <w:sz w:val="20"/>
        </w:rPr>
        <w:t>T. cruzi</w:t>
      </w:r>
      <w:r>
        <w:rPr>
          <w:rFonts w:ascii="Times New Roman" w:hAnsi="Times New Roman"/>
          <w:color w:val="000000"/>
          <w:sz w:val="20"/>
        </w:rPr>
        <w:t xml:space="preserve"> </w:t>
      </w:r>
      <w:r>
        <w:rPr>
          <w:rFonts w:ascii="Arial" w:hAnsi="Arial"/>
          <w:color w:val="000000"/>
          <w:sz w:val="20"/>
        </w:rPr>
        <w:t>genetic types. Because NHP infections are naturally acquired in the environment, these efficacy data may be more predictive of efficacy in human clinical trials than other animal models. There are no FDA-approved treatments for adults with Chagas disease.</w:t>
      </w:r>
    </w:p>
    <w:p>
      <w:pPr>
        <w:pStyle w:val="TextBody"/>
        <w:bidi w:val="0"/>
        <w:spacing w:before="240" w:after="283"/>
        <w:jc w:val="left"/>
        <w:rPr>
          <w:rFonts w:ascii="Arial" w:hAnsi="Arial"/>
          <w:color w:val="000000"/>
          <w:sz w:val="20"/>
        </w:rPr>
      </w:pPr>
      <w:r>
        <w:rPr>
          <w:rFonts w:ascii="Arial" w:hAnsi="Arial"/>
          <w:color w:val="000000"/>
          <w:sz w:val="20"/>
        </w:rPr>
        <w:t>Our Phase 1 first-in-human trial with oral AN2-502998 is nearing completion, with initial clinical data expected in the first quarter of 2026 and initiation of the proof-of-concept Phase 2 trial in patients with chronic Chagas disease in 2026, depending on the outcome and timing of completion of the Phase 1 study.</w:t>
      </w:r>
    </w:p>
    <w:p>
      <w:pPr>
        <w:pStyle w:val="TextBody"/>
        <w:bidi w:val="0"/>
        <w:spacing w:before="240" w:after="283"/>
        <w:jc w:val="left"/>
        <w:rPr>
          <w:rFonts w:ascii="Arial" w:hAnsi="Arial"/>
          <w:color w:val="000000"/>
          <w:sz w:val="20"/>
        </w:rPr>
      </w:pPr>
      <w:r>
        <w:rPr>
          <w:rFonts w:ascii="Arial" w:hAnsi="Arial"/>
          <w:color w:val="000000"/>
          <w:sz w:val="20"/>
        </w:rPr>
        <w:t>FDA approval of a treatment for Chagas disease, which is designated as a tropical disease under Section 524 of the Federal Food, Drug, and Cosmetic Act (“FDCA”), would qualify us to receive a priority review voucher intended to incentivize the development of therapies for neglected infectious diseases.</w:t>
      </w:r>
    </w:p>
    <w:p>
      <w:pPr>
        <w:pStyle w:val="TextBody"/>
        <w:bidi w:val="0"/>
        <w:spacing w:before="360" w:after="283"/>
        <w:jc w:val="left"/>
        <w:rPr>
          <w:rFonts w:ascii="Arial" w:hAnsi="Arial"/>
          <w:b/>
          <w:i/>
          <w:color w:val="000000"/>
          <w:sz w:val="20"/>
        </w:rPr>
      </w:pPr>
      <w:r>
        <w:rPr>
          <w:rFonts w:ascii="Arial" w:hAnsi="Arial"/>
          <w:b/>
          <w:i/>
          <w:color w:val="000000"/>
          <w:sz w:val="20"/>
        </w:rPr>
        <w:t>Our Research and Development Initiatives</w:t>
      </w:r>
    </w:p>
    <w:p>
      <w:pPr>
        <w:pStyle w:val="TextBody"/>
        <w:bidi w:val="0"/>
        <w:spacing w:before="120" w:after="283"/>
        <w:jc w:val="left"/>
        <w:rPr>
          <w:rFonts w:ascii="Arial" w:hAnsi="Arial"/>
          <w:i/>
          <w:color w:val="000000"/>
          <w:sz w:val="20"/>
        </w:rPr>
      </w:pPr>
      <w:r>
        <w:rPr>
          <w:rFonts w:ascii="Arial" w:hAnsi="Arial"/>
          <w:i/>
          <w:color w:val="000000"/>
          <w:sz w:val="20"/>
        </w:rPr>
        <w:t>Oncology</w:t>
      </w:r>
    </w:p>
    <w:p>
      <w:pPr>
        <w:pStyle w:val="TextBody"/>
        <w:bidi w:val="0"/>
        <w:spacing w:before="120" w:after="283"/>
        <w:jc w:val="left"/>
        <w:rPr>
          <w:rFonts w:ascii="Arial" w:hAnsi="Arial"/>
          <w:color w:val="000000"/>
          <w:sz w:val="20"/>
        </w:rPr>
      </w:pPr>
      <w:r>
        <w:rPr>
          <w:rFonts w:ascii="Arial" w:hAnsi="Arial"/>
          <w:color w:val="000000"/>
          <w:sz w:val="20"/>
        </w:rPr>
        <w:t>We are pursuing a number of oncology targets where we believe our boron chemistry may offer a competitive advantage in terms of binding-site differentiation, pharmacodynamics, drug-like properties and intellectual property. Our lead oncology programs target PI3Kα and ENPP1. We plan to advance two oncology candidates into development in 2026 targeting PI3Kα and ENPP1.</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PI3Kα: We are advancing a preclinical oncology program focused on the development of a selective, pan-mutant PI3Kα inhibitor. Activating mutations in PIK3Cα are among the most common oncogenic drivers across solid tumors and occur in both kinase-domain and helical-domain forms, with substantial prevalence in breast, endometrial, colorectal, and other cancers. Clinical experience with existing PI3Kα inhibitors, while highly effective, have a high rate of side effects, particularly treatment-limiting hyperglycemia. Second generation molecules target mutants with selectivity over wild-type that has been shown to cause hyperglycemia, however preclinical and clinical date show activity that is biased toward kinase-domain mutations, leaving over half of patients with helical domain mutations with lower efficacy potential and greater exposure to toxicities. Our PI3Kα program is designed to address these limitations by targeting true pan-mutant coverage across both kinase and helical mutations while maintaining selectivity over wild-type PI3Kα. Preclinical studies of lead compounds derived from our boron chemistry platform have demonstrated potent activity against multiple clinically relevant PIK3Cα mutations, in vivo antitumor activity in murine models, and tumor regression without evidence of hyperglycemia or hyperinsulinemia in these models. We believe these results, if replicated in future studies, could support a differentiated therapeutic approach aimed at improving tolerability and enabling more durable disease control in patients with PIK3CA-mutant cancers.</w:t>
      </w:r>
    </w:p>
    <w:p>
      <w:pPr>
        <w:pStyle w:val="TextBody"/>
        <w:bidi w:val="0"/>
        <w:spacing w:before="240" w:after="283"/>
        <w:jc w:val="left"/>
        <w:rPr>
          <w:rFonts w:ascii="Arial" w:hAnsi="Arial"/>
          <w:color w:val="000000"/>
          <w:sz w:val="20"/>
        </w:rPr>
      </w:pPr>
      <w:r>
        <w:rPr>
          <w:rFonts w:ascii="Arial" w:hAnsi="Arial"/>
          <w:color w:val="000000"/>
          <w:sz w:val="20"/>
        </w:rPr>
        <w:t>ENPP1: We are also advancing a preclinical oncology program focused on inhibition of ectonucleotide pyrophosphatase/phosphodiesterase 1 (“ENPP1”), an enzyme implicated in tumor immune evasion. ENPP1 is expressed on the surface of certain tumor cells, where it degrades cyclic GMP–AMP (“cGAMP”), a key signaling molecule in the cGAS–STING pathway that mediates innate immune activation in response to tumor-derived DNA. Elevated ENPP1 expression has been observed across multiple solid tumor types, including colorectal, lung, pancreatic, and breast cancers, and may contribute to immune suppression within the tumor microenvironment. In contrast to direct STING agonists, which can produce rapid and systemic inflammatory responses, ENPP1 inhibition is designed to preserve endogenous cGAMP signaling and enable more localized and sustained immune activation. Preclinical studies of ENPP1 inhibitors derived from our boron chemistry platform have demonstrated antitumor activity in murine models, including tumor growth inhibition and durable responses when used in combination with the immune checkpoint blockade. We believe this approach, if successfully translated into the clinic, could support a differentiated immuno-oncology strategy with the potential to enhance antitumor immunity while maintaining a favorable therapeutic window.</w:t>
      </w:r>
    </w:p>
    <w:p>
      <w:pPr>
        <w:pStyle w:val="TextBody"/>
        <w:bidi w:val="0"/>
        <w:spacing w:before="360" w:after="283"/>
        <w:jc w:val="left"/>
        <w:rPr>
          <w:rFonts w:ascii="Arial" w:hAnsi="Arial"/>
          <w:b/>
          <w:i/>
          <w:color w:val="000000"/>
          <w:sz w:val="20"/>
        </w:rPr>
      </w:pPr>
      <w:r>
        <w:rPr>
          <w:rFonts w:ascii="Arial" w:hAnsi="Arial"/>
          <w:b/>
          <w:i/>
          <w:color w:val="000000"/>
          <w:sz w:val="20"/>
        </w:rPr>
        <w:t>Global Health Programs</w:t>
      </w:r>
    </w:p>
    <w:p>
      <w:pPr>
        <w:pStyle w:val="TextBody"/>
        <w:bidi w:val="0"/>
        <w:spacing w:before="120" w:after="283"/>
        <w:jc w:val="left"/>
        <w:rPr>
          <w:rFonts w:ascii="Arial" w:hAnsi="Arial"/>
          <w:color w:val="000000"/>
          <w:sz w:val="20"/>
        </w:rPr>
      </w:pPr>
      <w:r>
        <w:rPr>
          <w:rFonts w:ascii="Arial" w:hAnsi="Arial"/>
          <w:color w:val="000000"/>
          <w:sz w:val="20"/>
        </w:rPr>
        <w:t>Our global health strategy focuses on leveraging our proprietary boron chemistry platform to develop treatments for infectious diseases that disproportionately affect underserved populations. These programs are funded primarily through non-dilutive grant funding, including sources such as public and private agencies and foundations. Our global health programs include melioidosis, a severe bacterial infection associated with high death rates in endemic regions (funded by the U.S. government), and tuberculosis, a leading cause of death from infectious disease worldwide that affects millions of people each year in partnership with the Gates Foundation and GSK.</w:t>
      </w:r>
    </w:p>
    <w:p>
      <w:pPr>
        <w:pStyle w:val="TextBody"/>
        <w:bidi w:val="0"/>
        <w:spacing w:before="360" w:after="283"/>
        <w:jc w:val="left"/>
        <w:rPr>
          <w:rFonts w:ascii="Arial" w:hAnsi="Arial"/>
          <w:b/>
          <w:i/>
          <w:color w:val="000000"/>
          <w:sz w:val="20"/>
        </w:rPr>
      </w:pPr>
      <w:r>
        <w:rPr>
          <w:rFonts w:ascii="Arial" w:hAnsi="Arial"/>
          <w:b/>
          <w:i/>
          <w:color w:val="000000"/>
          <w:sz w:val="20"/>
        </w:rPr>
        <w:t>Our Strategy</w:t>
      </w:r>
    </w:p>
    <w:p>
      <w:pPr>
        <w:pStyle w:val="TextBody"/>
        <w:bidi w:val="0"/>
        <w:spacing w:before="120" w:after="283"/>
        <w:jc w:val="left"/>
        <w:rPr>
          <w:rFonts w:ascii="Arial" w:hAnsi="Arial"/>
          <w:color w:val="000000"/>
          <w:sz w:val="20"/>
        </w:rPr>
      </w:pPr>
      <w:r>
        <w:rPr>
          <w:rFonts w:ascii="Arial" w:hAnsi="Arial"/>
          <w:color w:val="000000"/>
          <w:sz w:val="20"/>
        </w:rPr>
        <w:t>Our strategy is to be a leader in the discovery and development of novel boron-based, small-molecule therapeutics across multiple disease areas. Key elements of our strategy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Advance our boron-based product candidates through clinical development.</w:t>
      </w:r>
      <w:r>
        <w:rPr>
          <w:color w:val="000000"/>
        </w:rPr>
        <w:t xml:space="preserve"> </w:t>
      </w:r>
      <w:r>
        <w:rPr>
          <w:rFonts w:ascii="Arial" w:hAnsi="Arial"/>
          <w:i/>
          <w:color w:val="000000"/>
          <w:sz w:val="20"/>
        </w:rPr>
        <w:t>Progress our lead assets through Phase 2 and into later-stage studies, with a focus on demonstrating safety, efficacy, and a clear development path through potential registration.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Advance and expand research pipeline.</w:t>
      </w:r>
      <w:r>
        <w:rPr>
          <w:color w:val="000000"/>
        </w:rPr>
        <w:t xml:space="preserve"> </w:t>
      </w:r>
      <w:r>
        <w:rPr>
          <w:rFonts w:ascii="Arial" w:hAnsi="Arial"/>
          <w:i/>
          <w:color w:val="000000"/>
          <w:sz w:val="20"/>
        </w:rPr>
        <w:t>Apply our boron chemistry platform to discover and optimize new molecules targeting high-value pathways in oncology, bone disorders, and infectious disease, ensuring a sustainable flow of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Leverage non-dilutive funding to support global health programs</w:t>
      </w:r>
      <w:r>
        <w:rPr>
          <w:rFonts w:ascii="Arial" w:hAnsi="Arial"/>
          <w:i/>
          <w:color w:val="000000"/>
          <w:sz w:val="20"/>
        </w:rPr>
        <w:t>. Continue to secure and utilize non-dilutive capital, such as grants, government contracts and partnerships to advance global health programs.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Manufacturing</w:t>
      </w:r>
    </w:p>
    <w:p>
      <w:pPr>
        <w:pStyle w:val="TextBody"/>
        <w:bidi w:val="0"/>
        <w:spacing w:before="120" w:after="283"/>
        <w:jc w:val="left"/>
        <w:rPr>
          <w:rFonts w:ascii="Arial" w:hAnsi="Arial"/>
          <w:color w:val="000000"/>
          <w:sz w:val="20"/>
        </w:rPr>
      </w:pPr>
      <w:r>
        <w:rPr>
          <w:rFonts w:ascii="Arial" w:hAnsi="Arial"/>
          <w:color w:val="000000"/>
          <w:sz w:val="20"/>
        </w:rPr>
        <w:t>We do not own or operate manufacturing facilities for the production of any of our product candidates, nor do we have plans to develop our own manufacturing operations in the foreseeable future. We currently rely on a limited number of third-party contract manufacturers for all of our required raw materials, drug substance, and finished drug product for our preclinical and nonclinical studies and clinical trials. We currently employ internal resources to manage our third-party manufacturing.</w:t>
      </w:r>
    </w:p>
    <w:p>
      <w:pPr>
        <w:pStyle w:val="TextBody"/>
        <w:bidi w:val="0"/>
        <w:spacing w:before="360" w:after="283"/>
        <w:jc w:val="left"/>
        <w:rPr>
          <w:rFonts w:ascii="Arial" w:hAnsi="Arial"/>
          <w:b/>
          <w:color w:val="000000"/>
          <w:sz w:val="20"/>
        </w:rPr>
      </w:pPr>
      <w:r>
        <w:rPr>
          <w:rFonts w:ascii="Arial" w:hAnsi="Arial"/>
          <w:b/>
          <w:color w:val="000000"/>
          <w:sz w:val="20"/>
        </w:rPr>
        <w:t>Licensing Agreements</w:t>
      </w:r>
    </w:p>
    <w:p>
      <w:pPr>
        <w:pStyle w:val="TextBody"/>
        <w:bidi w:val="0"/>
        <w:spacing w:before="120" w:after="283"/>
        <w:jc w:val="left"/>
        <w:rPr>
          <w:rFonts w:ascii="Arial" w:hAnsi="Arial"/>
          <w:b/>
          <w:i/>
          <w:color w:val="000000"/>
          <w:sz w:val="20"/>
        </w:rPr>
      </w:pPr>
      <w:r>
        <w:rPr>
          <w:rFonts w:ascii="Arial" w:hAnsi="Arial"/>
          <w:b/>
          <w:i/>
          <w:color w:val="000000"/>
          <w:sz w:val="20"/>
        </w:rPr>
        <w:t>License Agreement with Anacor Pharmaceuticals, Inc.</w:t>
      </w:r>
    </w:p>
    <w:p>
      <w:pPr>
        <w:pStyle w:val="TextBody"/>
        <w:bidi w:val="0"/>
        <w:spacing w:before="120" w:after="283"/>
        <w:jc w:val="left"/>
        <w:rPr>
          <w:rFonts w:ascii="Arial" w:hAnsi="Arial"/>
          <w:color w:val="000000"/>
          <w:sz w:val="20"/>
        </w:rPr>
      </w:pPr>
      <w:r>
        <w:rPr>
          <w:rFonts w:ascii="Arial" w:hAnsi="Arial"/>
          <w:color w:val="000000"/>
          <w:sz w:val="20"/>
        </w:rPr>
        <w:t>In November 2019, we entered into a license agreement (the “Anacor Agreement”) with Anacor, pursuant to which we obtained a worldwide exclusive, sublicensable license under certain patent rights of Anacor and a non-exclusive license under certain know-how of Anacor to use, develop, manufacture, commercialize, or otherwise exploit certain compounds and products, including epetraborole, for the treatment, diagnosis, or prevention of all human diseases, and a worldwide non-exclusive license under certain chiral synthesis intellectual property rights from GSK for the sole purpose of manufacturing such compounds and products.</w:t>
      </w:r>
    </w:p>
    <w:p>
      <w:pPr>
        <w:pStyle w:val="TextBody"/>
        <w:bidi w:val="0"/>
        <w:spacing w:before="240" w:after="283"/>
        <w:jc w:val="left"/>
        <w:rPr>
          <w:rFonts w:ascii="Arial" w:hAnsi="Arial"/>
          <w:color w:val="000000"/>
          <w:sz w:val="20"/>
        </w:rPr>
      </w:pPr>
      <w:r>
        <w:rPr>
          <w:rFonts w:ascii="Arial" w:hAnsi="Arial"/>
          <w:color w:val="000000"/>
          <w:sz w:val="20"/>
        </w:rPr>
        <w:t>We granted Anacor a non-exclusive, sublicensable license to develop, manufacture or use (but not commercialize) licensed products under all intellectual property rights that are both (i) related to the licensed products and (ii) conceived or reduced to practice by us, our affiliates, or our sublicensees. We also granted Anacor a right of first refusal in the event a priority review voucher is issued for a licensed product, and we desire to sell such priority review voucher.</w:t>
      </w:r>
    </w:p>
    <w:p>
      <w:pPr>
        <w:pStyle w:val="TextBody"/>
        <w:bidi w:val="0"/>
        <w:spacing w:before="240" w:after="283"/>
        <w:jc w:val="left"/>
        <w:rPr>
          <w:rFonts w:ascii="Arial" w:hAnsi="Arial"/>
          <w:color w:val="000000"/>
          <w:sz w:val="20"/>
        </w:rPr>
      </w:pPr>
      <w:r>
        <w:rPr>
          <w:rFonts w:ascii="Arial" w:hAnsi="Arial"/>
          <w:color w:val="000000"/>
          <w:sz w:val="20"/>
        </w:rPr>
        <w:t>We are obligated to use commercially reasonable efforts to develop, seek regulatory approval for, and commercialize (where such regulatory approval is received) epetraborole.</w:t>
      </w:r>
    </w:p>
    <w:p>
      <w:pPr>
        <w:pStyle w:val="TextBody"/>
        <w:bidi w:val="0"/>
        <w:spacing w:before="240" w:after="283"/>
        <w:jc w:val="left"/>
        <w:rPr>
          <w:rFonts w:ascii="Arial" w:hAnsi="Arial"/>
          <w:color w:val="000000"/>
          <w:sz w:val="20"/>
        </w:rPr>
      </w:pPr>
      <w:r>
        <w:rPr>
          <w:rFonts w:ascii="Arial" w:hAnsi="Arial"/>
          <w:color w:val="000000"/>
          <w:sz w:val="20"/>
        </w:rPr>
        <w:t>In connection with the execution of the Anacor Agreement, we paid Anacor a non-refundable upfront payment of $2.0 million and granted Anacor shares of Series A redeemable convertible preferred stock. Additionally, we agreed to make further payments to Anacor upon achievement of various development milestones for an aggregate maximum payment of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Agreement, and range from mid-single digit percentages for developing countries and single to mid-teen percentages for developed countries or the China, Hong Kong, Taiwan, and Macau territories. The sales royalties are required to be paid on a product-by-product and country-by-country basis, until the latest to occur of (i) 15 years following from the date of first commercial sale of a product in such country, (ii) the expiration of all regulatory or data exclusivity for such product in such country, or (iii) the date of the expiration of the last to expire 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our company.</w:t>
      </w:r>
    </w:p>
    <w:p>
      <w:pPr>
        <w:pStyle w:val="TextBody"/>
        <w:bidi w:val="0"/>
        <w:spacing w:before="240" w:after="283"/>
        <w:jc w:val="left"/>
        <w:rPr>
          <w:rFonts w:ascii="Arial" w:hAnsi="Arial"/>
          <w:color w:val="000000"/>
          <w:sz w:val="20"/>
        </w:rPr>
      </w:pPr>
      <w:r>
        <w:rPr>
          <w:rFonts w:ascii="Arial" w:hAnsi="Arial"/>
          <w:color w:val="000000"/>
          <w:sz w:val="20"/>
        </w:rPr>
        <w:t>On December 3, 2021, we entered into an amendment to the Anacor Agreement, pursuant to which we obtained a worldwide non-exclusive, sublicensable license under certain patent rights of Anacor for the treatment, diagnosis, or prevention of bacterial diseases caused by certain bacterial species, to support the continued manufacture of epetraborole by us.</w:t>
      </w:r>
    </w:p>
    <w:p>
      <w:pPr>
        <w:pStyle w:val="TextBody"/>
        <w:bidi w:val="0"/>
        <w:spacing w:before="240" w:after="283"/>
        <w:jc w:val="left"/>
        <w:rPr>
          <w:rFonts w:ascii="Arial" w:hAnsi="Arial"/>
          <w:color w:val="000000"/>
          <w:sz w:val="20"/>
        </w:rPr>
      </w:pPr>
      <w:r>
        <w:rPr>
          <w:rFonts w:ascii="Arial" w:hAnsi="Arial"/>
          <w:color w:val="000000"/>
          <w:sz w:val="20"/>
        </w:rPr>
        <w:t>The Anacor Agreement will expire upon expiration of the last to expire royalty term. Either party may terminate the Anacor Agreement for the other party’s material breach following a cure period or immediately upon certain insolvency events relating to the other party.</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License Agreement with Brii Biosciences Limited</w:t>
      </w:r>
    </w:p>
    <w:p>
      <w:pPr>
        <w:pStyle w:val="TextBody"/>
        <w:bidi w:val="0"/>
        <w:spacing w:before="120" w:after="283"/>
        <w:jc w:val="left"/>
        <w:rPr>
          <w:rFonts w:ascii="Arial" w:hAnsi="Arial"/>
          <w:color w:val="000000"/>
          <w:sz w:val="20"/>
        </w:rPr>
      </w:pPr>
      <w:r>
        <w:rPr>
          <w:rFonts w:ascii="Arial" w:hAnsi="Arial"/>
          <w:color w:val="000000"/>
          <w:sz w:val="20"/>
        </w:rPr>
        <w:t>In November 2019, we entered into a license agreement (the “Brii Biosciences License Agreement”) pursuant to which we granted Brii Biosciences an exclusive, perpetual, sublicensable license to research, develop, manufacture, and commercialize certain compounds and products, including epetraborole, in China, Hong Kong, Taiwan, and Macau for the diagnosis, treatment, and prevention of human diseases. Under the terms of the agreement, we licensed the intellectual property rights we licensed under the Anacor Agreement, as they apply in these jurisdictions, to Brii Bioscience. Further, neither we nor Brii Biosciences can develop a competing product that is directed to the same target as a licensed compound during the term of the Brii Biosciences License Agreement.</w:t>
      </w:r>
    </w:p>
    <w:p>
      <w:pPr>
        <w:pStyle w:val="TextBody"/>
        <w:bidi w:val="0"/>
        <w:spacing w:before="240" w:after="283"/>
        <w:jc w:val="left"/>
        <w:rPr>
          <w:rFonts w:ascii="Arial" w:hAnsi="Arial"/>
          <w:color w:val="000000"/>
          <w:sz w:val="20"/>
        </w:rPr>
      </w:pPr>
      <w:r>
        <w:rPr>
          <w:rFonts w:ascii="Arial" w:hAnsi="Arial"/>
          <w:color w:val="000000"/>
          <w:sz w:val="20"/>
        </w:rPr>
        <w:t>The collaboration is overseen by a joint steering committee. In the event of a dispute relating to the determination of proof of concept criteria, or licensed products in China, Hong Kong, Taiwan, and Macau for which Brii Biosciences has delivered a proof of concept acceptance notice, Brii Biosciences has the final decision-making authority, subject to certain veto rights of ours. Upon commencing development, Brii Biosciences is obligated to use commercially reasonable efforts to develop, seek regulatory approval for, and commercialize at least one licensed product in China, Hong Kong, Taiwan, and Macau.</w:t>
      </w:r>
    </w:p>
    <w:p>
      <w:pPr>
        <w:pStyle w:val="TextBody"/>
        <w:bidi w:val="0"/>
        <w:spacing w:before="240" w:after="283"/>
        <w:jc w:val="left"/>
        <w:rPr>
          <w:rFonts w:ascii="Arial" w:hAnsi="Arial"/>
          <w:color w:val="000000"/>
          <w:sz w:val="20"/>
        </w:rPr>
      </w:pPr>
      <w:r>
        <w:rPr>
          <w:rFonts w:ascii="Arial" w:hAnsi="Arial"/>
          <w:color w:val="000000"/>
          <w:sz w:val="20"/>
        </w:rPr>
        <w:t>We did not receive an upfront payment, but we are eligible to receive up to $15.0 million in the aggregate for development and regulatory milestones for each licensed product and up to $150.0 million in the aggregate in commercial milestones upon achieving sales thresholds for each licensed product. We are also entitled to tiered mid-single digit percentage to high-first decile percentage sales-based royalties, subject to certain reductions, including lack of patent coverage and generic product entry. The sales royalties are required to be paid on a product-by-product and region-by-region basis, until the latest to occur of (i) 15 years following the date of first commercial sale of a product, (ii) the expiration of all regulatory or data exclusivity, or (iii) the date of the expiration of the last to expire valid claim of a licensed patent covering the composition of matter or approved use of such product in such region. The last to expire valid claim of a licensed patent covering the composition of matter or approved use of such product in the licensed territory is June 2028.</w:t>
      </w:r>
    </w:p>
    <w:p>
      <w:pPr>
        <w:pStyle w:val="TextBody"/>
        <w:bidi w:val="0"/>
        <w:spacing w:before="360" w:after="283"/>
        <w:jc w:val="left"/>
        <w:rPr>
          <w:rFonts w:ascii="Arial" w:hAnsi="Arial"/>
          <w:b/>
          <w:i/>
          <w:color w:val="000000"/>
          <w:sz w:val="20"/>
        </w:rPr>
      </w:pPr>
      <w:r>
        <w:rPr>
          <w:rFonts w:ascii="Arial" w:hAnsi="Arial"/>
          <w:b/>
          <w:i/>
          <w:color w:val="000000"/>
          <w:sz w:val="20"/>
        </w:rPr>
        <w:t>Global Health Agreement with Adjuvant Global Health Technology Fund</w:t>
      </w:r>
    </w:p>
    <w:p>
      <w:pPr>
        <w:pStyle w:val="TextBody"/>
        <w:bidi w:val="0"/>
        <w:spacing w:before="120" w:after="283"/>
        <w:jc w:val="left"/>
        <w:rPr>
          <w:rFonts w:ascii="Arial" w:hAnsi="Arial"/>
          <w:color w:val="000000"/>
          <w:sz w:val="20"/>
        </w:rPr>
      </w:pPr>
      <w:r>
        <w:rPr>
          <w:rFonts w:ascii="Arial" w:hAnsi="Arial"/>
          <w:color w:val="000000"/>
          <w:sz w:val="20"/>
        </w:rPr>
        <w:t>We entered into the Global Health Agreement with Adjuvant Global Health Technology Fund (“Adjuvant”) in connection with Adjuvant’s investment in November 2019 and March 2021 of an aggregate amount of $12.0 million in our Series A and Series B redeemable convertible preferred stock financings. In connection with such investment, we issued Adjuvant an aggregate of 2,430,714 shares of our redeemable convertible preferred stock in November 2019 and March 2021. Pursuant to the Global Health Agreement, we agreed to support the creation of innovative and affordable drugs to treat disease, through public health programs and private purchasers in low and low-middle income target countries.</w:t>
      </w:r>
    </w:p>
    <w:p>
      <w:pPr>
        <w:pStyle w:val="TextBody"/>
        <w:bidi w:val="0"/>
        <w:spacing w:before="240" w:after="283"/>
        <w:jc w:val="left"/>
        <w:rPr>
          <w:rFonts w:ascii="Arial" w:hAnsi="Arial"/>
          <w:color w:val="000000"/>
          <w:sz w:val="20"/>
        </w:rPr>
      </w:pPr>
      <w:r>
        <w:rPr>
          <w:rFonts w:ascii="Arial" w:hAnsi="Arial"/>
          <w:color w:val="000000"/>
          <w:sz w:val="20"/>
        </w:rPr>
        <w:t>Adjuvant’s investment supports the development of epetraborole for use in target countries that are melioidosis-endemic, melioidosis at-risk, tuberculosis-endemic, and tuberculosis-at-risk. Under the Global Health Agreement, we are required to comply with certain program-related investment global access commitments. We must use reasonably diligent endeavors to develop epetraborole for melioidosis, tuberculosis, and any other mutually agreed-upon products using non-dilutive funding and we must make them accessible to people in need in target countries on commercially reasonable terms and at a reasonable volume. Upon the occurrence of certain events, including the failure by ourselves to comply with the Global Health Agreement, we must grant Adjuvant a nonexclusive, perpetual, irrevocable, non-terminable, fully-paid up, royalty free license to epetraborole for melioidosis, tuberculosis, and any other mutually agreed-upon products.</w:t>
      </w:r>
    </w:p>
    <w:p>
      <w:pPr>
        <w:pStyle w:val="TextBody"/>
        <w:bidi w:val="0"/>
        <w:spacing w:before="360" w:after="283"/>
        <w:jc w:val="left"/>
        <w:rPr>
          <w:rFonts w:ascii="Arial" w:hAnsi="Arial"/>
          <w:b/>
          <w:i/>
          <w:color w:val="000000"/>
          <w:sz w:val="20"/>
        </w:rPr>
      </w:pPr>
      <w:r>
        <w:rPr>
          <w:rFonts w:ascii="Arial" w:hAnsi="Arial"/>
          <w:b/>
          <w:i/>
          <w:color w:val="000000"/>
          <w:sz w:val="20"/>
        </w:rPr>
        <w:t>Exclusive Patent License Agreement with the University of Georgia Research Foundation, Inc.</w:t>
      </w:r>
    </w:p>
    <w:p>
      <w:pPr>
        <w:pStyle w:val="TextBody"/>
        <w:bidi w:val="0"/>
        <w:spacing w:before="120" w:after="283"/>
        <w:jc w:val="left"/>
        <w:rPr>
          <w:rFonts w:ascii="Arial" w:hAnsi="Arial"/>
          <w:color w:val="000000"/>
          <w:sz w:val="20"/>
        </w:rPr>
      </w:pPr>
      <w:r>
        <w:rPr>
          <w:rFonts w:ascii="Arial" w:hAnsi="Arial"/>
          <w:color w:val="000000"/>
          <w:sz w:val="20"/>
        </w:rPr>
        <w:t>In October 2023, we entered into an agreement with the University of Georgia Research Foundation, Inc. (“UGARF”) pursuant to which UGARF exclusively licensed to us certain patents and applications that were previously licensed to UGARF by Anacor Pharmaceuticals for us to manufacture and commercialize products for the therapeutic, diagnostic and prophylactic treatment of Chagas disease in humans or animals worldwide. Under the license agreement, we must use commercially reasonable efforts to bring a product in the therapeutic, diagnostic and prophylactic treatment of Chagas disease in humans or animals to market in each territory where there is at least one valid patent claim. We must also use commercially reasonable efforts to attain certain development and sales milestones.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As consideration for the license from UGARF, we paid UGARF an initial license fee in the low five figures. We must also pay a yearly maintenance fee in the low four figures until the initiation of the first clinical trial of the first product covered by the licensed patent claims. Upon achievement of certain development and sales milestones, we are required to make payments of up to approximately $900 million. Should we commercialize any products covered by the licensed patent claims, we will be obligated to pay UGARF annual royalties in the low single digits. Should we sublicense the rights granted under this agreement, we will be obligated to pay UGARF a percentage of the amount received for the sublicense ranging from the mid-single digits to low double digits, depending on the development stage of the first product to enter clinical trials. Should we or a sublicensee transfer or sell to one or more third parties any priority review voucher (or a foreign equivalent) for a product covered by the licensed patent claims, we will be obligated to pay UGARF a percentage of the amount received from such third party ranging from the mid-teens to low double digits, depending on the amount of funding that the third party contributed to develop the product.</w:t>
      </w:r>
    </w:p>
    <w:p>
      <w:pPr>
        <w:pStyle w:val="TextBody"/>
        <w:bidi w:val="0"/>
        <w:spacing w:before="240" w:after="283"/>
        <w:jc w:val="left"/>
        <w:rPr>
          <w:rFonts w:ascii="Arial" w:hAnsi="Arial"/>
          <w:color w:val="000000"/>
          <w:sz w:val="20"/>
        </w:rPr>
      </w:pPr>
      <w:r>
        <w:rPr>
          <w:rFonts w:ascii="Arial" w:hAnsi="Arial"/>
          <w:color w:val="000000"/>
          <w:sz w:val="20"/>
        </w:rPr>
        <w:t>The license agreement will terminate on a licensed patent by licensed patent basis until there are no valid claims for a licensed patent. We can terminate the license agreement for convenience on 30 days prior written notice.</w:t>
      </w:r>
    </w:p>
    <w:p>
      <w:pPr>
        <w:pStyle w:val="TextBody"/>
        <w:bidi w:val="0"/>
        <w:spacing w:before="360" w:after="283"/>
        <w:jc w:val="left"/>
        <w:rPr>
          <w:rFonts w:ascii="Arial" w:hAnsi="Arial"/>
          <w:b/>
          <w:color w:val="000000"/>
          <w:sz w:val="20"/>
        </w:rPr>
      </w:pPr>
      <w:r>
        <w:rPr>
          <w:rFonts w:ascii="Arial" w:hAnsi="Arial"/>
          <w:b/>
          <w:color w:val="000000"/>
          <w:sz w:val="20"/>
        </w:rPr>
        <w:t>Intellectual Property</w:t>
      </w:r>
    </w:p>
    <w:p>
      <w:pPr>
        <w:pStyle w:val="TextBody"/>
        <w:bidi w:val="0"/>
        <w:spacing w:before="120" w:after="283"/>
        <w:jc w:val="left"/>
        <w:rPr>
          <w:rFonts w:ascii="Arial" w:hAnsi="Arial"/>
          <w:color w:val="000000"/>
          <w:sz w:val="20"/>
        </w:rPr>
      </w:pPr>
      <w:r>
        <w:rPr>
          <w:rFonts w:ascii="Arial" w:hAnsi="Arial"/>
          <w:color w:val="000000"/>
          <w:sz w:val="20"/>
        </w:rPr>
        <w:t>We strive to protect and enhance our proprietary technology, inventions, and improvements that we consider commercially important to the development of our business, including by seeking, maintaining, and defending U.S. and foreign patent rights. As of December 31, 2025, all of the issued patents in our entire patent portfolio are in-licensed and if our current licensors are not cooperative or disagree with us as to the prosecution, maintenance, or enforcement of any such licensed patent rights, such patent rights could be compromised. The patent positions of pharmaceutical companies are generally uncertain and can involve complex legal, scientific, and factual issues. We cannot predict whether any patent applications we pursue, or any patent applications that we have in-licensed, will issue as patents in any particular jurisdiction, or whether the claims of any issued patents will provide sufficient proprietary protection from competitors.</w:t>
      </w:r>
    </w:p>
    <w:p>
      <w:pPr>
        <w:pStyle w:val="TextBody"/>
        <w:bidi w:val="0"/>
        <w:spacing w:before="240" w:after="283"/>
        <w:jc w:val="left"/>
        <w:rPr>
          <w:rFonts w:ascii="Arial" w:hAnsi="Arial"/>
          <w:color w:val="000000"/>
          <w:sz w:val="20"/>
        </w:rPr>
      </w:pPr>
      <w:r>
        <w:rPr>
          <w:rFonts w:ascii="Arial" w:hAnsi="Arial"/>
          <w:color w:val="000000"/>
          <w:sz w:val="20"/>
        </w:rPr>
        <w:t>Our future commercial success depends, in part, on our ability to obtain and maintain patent and other proprietary protection for commercially important technology, inventions, and know-how related to our business, including our product candidates, to defend and enforce our intellectual property rights, in particular our patent rights, to preserve the confidentiality of our trade secrets, and to operate without infringing, misappropriating, or violating the valid and enforceable patents and other intellectual property rights of third parties. Our ability to preclude or restrict third parties from making, using, selling, offering to sell, or importing competing molecules to our products may depend on the extent to which we have rights under valid and enforceable patents and trade secrets that cover these activities. We seek to protect our proprietary technology and processes, in part, by confidentiality agreements with our employees, consultants, and contractors. We also seek to preserve the integrity and confidentiality of our data and trade secrets by maintaining physical security of our premises and physical and electronic security of our information technology systems.</w:t>
      </w:r>
    </w:p>
    <w:p>
      <w:pPr>
        <w:pStyle w:val="TextBody"/>
        <w:bidi w:val="0"/>
        <w:spacing w:before="240" w:after="283"/>
        <w:jc w:val="left"/>
        <w:rPr>
          <w:rFonts w:ascii="Arial" w:hAnsi="Arial"/>
          <w:color w:val="000000"/>
          <w:sz w:val="20"/>
        </w:rPr>
      </w:pPr>
      <w:r>
        <w:rPr>
          <w:rFonts w:ascii="Arial" w:hAnsi="Arial"/>
          <w:color w:val="000000"/>
          <w:sz w:val="20"/>
        </w:rPr>
        <w:t>In addition, the coverage claimed in a patent application may be significantly reduced before a patent is granted, and its scope can be reinterpreted and even challenged after issuance. As a result, we cannot guarantee that any of our products will be protected or remain protectable by enforceable patents. Moreover, any patents that we license or may own in the future may be challenged, circumvented, or invalidated by third parties. In addition, because of the extensive time required for clinical development and regulatory review of a product candidate we may develop, it is possible that, before our product candidate can be commercialized successfully, any related patents may expire or remain in force for only a short period following commercial launch, thereby limiting the protection such patent would afford the applicable product and any competitive advantage such patent may provide. For more information regarding the risks related to our intellectual property, please see the section titled “Risk Factors—Risks Related to Our Intellectual Property.”</w:t>
      </w:r>
    </w:p>
    <w:p>
      <w:pPr>
        <w:pStyle w:val="TextBody"/>
        <w:bidi w:val="0"/>
        <w:spacing w:before="240" w:after="283"/>
        <w:jc w:val="left"/>
        <w:rPr>
          <w:rFonts w:ascii="Arial" w:hAnsi="Arial"/>
          <w:color w:val="000000"/>
          <w:sz w:val="20"/>
        </w:rPr>
      </w:pPr>
      <w:r>
        <w:rPr>
          <w:rFonts w:ascii="Arial" w:hAnsi="Arial"/>
          <w:color w:val="000000"/>
          <w:sz w:val="20"/>
        </w:rPr>
        <w:t>For any individual patent, the term depends on the applicable law in the country in which the patent is issued. In most countries where we have in-licensed patents and patent applications, including the U.S., patents have a term of 20 years from the application filing date or earliest claimed nonprovisional priority date. In the U.S., the patent term may be shortened if a patent is terminally disclaimed over another patent that expires earlier. The term of a U.S. patent may also be lengthened by a patent term adjustment that is permitted in order to address administrative delays by the U.S. Patent and Trademark Office (“USPTO”) in examining and granting a patent.</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the U.S., the term of a patent that covers an FDA-approved drug or biologic may be eligible for patent term extension in order to restore the period of a patent term lost during the premarket FDA regulatory review process. Specifically, the Drug Price Competition and Patent Term Restoration Act of 1984 (the “Hatch-Waxman Act”) permits a patent term extension of up to five years beyond the natural expiration of the patent (but the total patent term, including the extension period, must not exceed 14 years following FDA approval). The patent term extension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Only one patent applicable to an approved product is eligible for patent term extension, and only those claims covering the approved product, a method for using it, or a method for manufacturing it may be extended. The application for patent term extension must be submitted prior to the expiration of the patent. The USPTO reviews and approves the application for any Patent Term Extension in consultation with the FDA.</w:t>
      </w:r>
    </w:p>
    <w:p>
      <w:pPr>
        <w:pStyle w:val="TextBody"/>
        <w:bidi w:val="0"/>
        <w:spacing w:before="240" w:after="283"/>
        <w:jc w:val="left"/>
        <w:rPr>
          <w:rFonts w:ascii="Arial" w:hAnsi="Arial"/>
          <w:color w:val="000000"/>
          <w:sz w:val="20"/>
        </w:rPr>
      </w:pPr>
      <w:r>
        <w:rPr>
          <w:rFonts w:ascii="Arial" w:hAnsi="Arial"/>
          <w:color w:val="000000"/>
          <w:sz w:val="20"/>
        </w:rPr>
        <w:t>The patent portfolio for our epetraborole product candidate is based upon our in-licensed patent portfolio, which includes patents and patent applications directed generally to compositions of matter, pharmaceutical compositions, and methods of treatment. We have exclusively licensed three U.S. patents, along with patents and pending patents in various foreign jurisdictions. We have filed additional patent applications for epetraborole in MAB and PV. Patents and patent applications, if granted, are expected to expire between 2028 and 2046, without taking potential patent term extensions or patent term adjustments into account.</w:t>
      </w:r>
    </w:p>
    <w:p>
      <w:pPr>
        <w:pStyle w:val="TextBody"/>
        <w:bidi w:val="0"/>
        <w:spacing w:before="240" w:after="283"/>
        <w:jc w:val="left"/>
        <w:rPr>
          <w:rFonts w:ascii="Arial" w:hAnsi="Arial"/>
          <w:color w:val="000000"/>
          <w:sz w:val="20"/>
        </w:rPr>
      </w:pPr>
      <w:r>
        <w:rPr>
          <w:rFonts w:ascii="Arial" w:hAnsi="Arial"/>
          <w:color w:val="000000"/>
          <w:sz w:val="20"/>
        </w:rPr>
        <w:t>Prosecution is a lengthy process, during which the scope of the claims initially submitted for examination by the USPTO and other patent offices may be significantly revised before issuance, if granted at all. The in-licensed patents and patent applications for epetraborole are detailed below.</w:t>
      </w:r>
    </w:p>
    <w:p>
      <w:pPr>
        <w:pStyle w:val="TextBody"/>
        <w:bidi w:val="0"/>
        <w:spacing w:before="360" w:after="283"/>
        <w:jc w:val="left"/>
        <w:rPr>
          <w:rFonts w:ascii="Times New Roman" w:hAnsi="Times New Roman"/>
          <w:sz w:val="20"/>
        </w:rPr>
      </w:pPr>
      <w:r>
        <w:rPr>
          <w:rFonts w:ascii="Arial" w:hAnsi="Arial"/>
          <w:b/>
          <w:i/>
          <w:color w:val="000000"/>
          <w:sz w:val="20"/>
        </w:rPr>
        <w:t>Trade Secrets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also rely on trade secrets, know-how, confidential information and continuing technological innovation to develop, strengthen and maintain our proprietary position in our field and protect aspects of our business that are not amenable to, or that we do not consider appropriate for, patent protection. However, trade secrets can be difficult to protect. While we take measures to protect and preserve our trade secrets, such measures can be breached, and we may not have adequate remedies for any such breach. We seek to protect our proprietary information, in part, using confidentiality agreements and invention assignment agreements with our collaborators, employees and consultants. These agreements are designed to protect our proprietary information and, in the case of the invention assignment agreements, to grant us ownership of technologies that are developed through a relationship with a third party. We cannot guarantee, however, that we have executed such agreements with all applicable counterparties. Furthermore, these agreements may be breached, and we may not have adequate remedies for any breach. In addition, our trade secrets may otherwise become known or be independently discovered by competitors and other third parties, or misused by any collaborator to whom we disclose such information. To the extent that our collaborators, employees and consultants use intellectual property owned by others in their work for us, disputes may arise as to the rights in related or resulting know-how and inventions. For more information regarding the risks related to our intellectual property, please see the section titled “Risk Factors—Risks Related to Our Intellectual Property.”</w:t>
      </w:r>
    </w:p>
    <w:p>
      <w:pPr>
        <w:pStyle w:val="TextBody"/>
        <w:bidi w:val="0"/>
        <w:spacing w:before="360" w:after="283"/>
        <w:jc w:val="left"/>
        <w:rPr>
          <w:rFonts w:ascii="Arial" w:hAnsi="Arial"/>
          <w:b/>
          <w:color w:val="000000"/>
          <w:sz w:val="20"/>
        </w:rPr>
      </w:pPr>
      <w:r>
        <w:rPr>
          <w:rFonts w:ascii="Arial" w:hAnsi="Arial"/>
          <w:b/>
          <w:color w:val="000000"/>
          <w:sz w:val="20"/>
        </w:rPr>
        <w:t>Competition</w:t>
      </w:r>
    </w:p>
    <w:p>
      <w:pPr>
        <w:pStyle w:val="TextBody"/>
        <w:bidi w:val="0"/>
        <w:spacing w:before="120" w:after="283"/>
        <w:jc w:val="left"/>
        <w:rPr>
          <w:rFonts w:ascii="Arial" w:hAnsi="Arial"/>
          <w:color w:val="000000"/>
          <w:sz w:val="20"/>
        </w:rPr>
      </w:pPr>
      <w:r>
        <w:rPr>
          <w:rFonts w:ascii="Arial" w:hAnsi="Arial"/>
          <w:color w:val="000000"/>
          <w:sz w:val="20"/>
        </w:rPr>
        <w:t>The biopharmaceutical industry is characterized by intense competition and rapid innovation. Our potential competitors include large pharmaceutical and biotechnology companies, specialty pharmaceutical companies and generic drug companies. Many of our potential competitors have greater financial and technical human resources than we do, as well as greater experience in the discovery and development of product candidates, obtaining FDA and other regulatory approvals of products, and the commercialization of those products. Accordingly, our potential competitors may be more successful than us in obtaining FDA-approved drugs and achieving widespread market acceptance. We anticipate that we will face intense and increasing competition as new drugs enter the market and advanced technologies become available. Finally, the development of new treatment methods for the diseases we are targeting could render our product candidates non-competitive or obsolete.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PV is typically managed with phlebotomy and low-dose aspirin, with cytoreductive therapy such as hydroxyurea commonly used in patients requiring additional disease control. Two drugs are approved by the U.S. Food and Drug Administration for the treatment of PV: ruxolitinib, a JAK1/2 inhibitor approved for patients who are intolerant of or have an inadequate response to hydroxyurea, and ropeginterferon alfa-2b (Besremi®), an interferon therapy. Despite these treatment options, many patients require ongoing phlebotomy to maintain hematocrit control, and existing therapies may be associated with limitations related to efficacy, tolerability, and route of administration. If approved, epetraborole would be positioned as the first oral, red-cell targeting therapy for hematocrit control. We believe that its potential targeted effects, tolerability profile, and oral dose administration could offer significant competitive advantages, if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There are currently no FDA-approved therapies specifically indicated for the treatment of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 xml:space="preserve">lung disease. Current treatment regimens rely on off-label use of IV antibiotics selected based on susceptibility testing and clinical judgment, frequently including intravenous agents associated with significant treatment burden and toxicity. Epetraborole, if successfully developed and approved, would be positioned as the first FDA-approved drug for </w:t>
      </w:r>
      <w:r>
        <w:rPr>
          <w:rFonts w:ascii="Arial" w:hAnsi="Arial"/>
          <w:i/>
          <w:color w:val="000000"/>
          <w:sz w:val="20"/>
        </w:rPr>
        <w:t>M. abscessus.</w:t>
      </w:r>
    </w:p>
    <w:p>
      <w:pPr>
        <w:pStyle w:val="TextBody"/>
        <w:bidi w:val="0"/>
        <w:spacing w:before="240" w:after="283"/>
        <w:jc w:val="left"/>
        <w:rPr>
          <w:rFonts w:ascii="Arial" w:hAnsi="Arial"/>
          <w:color w:val="000000"/>
          <w:sz w:val="20"/>
        </w:rPr>
      </w:pPr>
      <w:r>
        <w:rPr>
          <w:rFonts w:ascii="Arial" w:hAnsi="Arial"/>
          <w:color w:val="000000"/>
          <w:sz w:val="20"/>
        </w:rPr>
        <w:t>There are currently no FDA-approved therapies specifically indicated for the treatment of Chagas disease in adults. Available off-label therapies are typically administered for extended durations and may be associated with adverse effects that limit patient adherence or suitability, particularly in chronic infection. In addition, treatment efficacy in established chronic disease remains variable, and access to therapy may be constrained in certain settings. Within this landscape, we believe AN-502998 has the potential to address persistent unmet needs relating to safety, efficacy, tolerability and treatment burden, and if successfully developed and approved, could be positioned as a differentiated therapeutic option for Chagas disease.</w:t>
      </w:r>
    </w:p>
    <w:p>
      <w:pPr>
        <w:pStyle w:val="TextBody"/>
        <w:bidi w:val="0"/>
        <w:spacing w:before="360" w:after="283"/>
        <w:jc w:val="left"/>
        <w:rPr>
          <w:rFonts w:ascii="Arial" w:hAnsi="Arial"/>
          <w:b/>
          <w:color w:val="000000"/>
          <w:sz w:val="20"/>
        </w:rPr>
      </w:pPr>
      <w:r>
        <w:rPr>
          <w:rFonts w:ascii="Arial" w:hAnsi="Arial"/>
          <w:b/>
          <w:color w:val="000000"/>
          <w:sz w:val="20"/>
        </w:rPr>
        <w:t>Government Regulation and Product Approval</w:t>
      </w:r>
    </w:p>
    <w:p>
      <w:pPr>
        <w:pStyle w:val="TextBody"/>
        <w:bidi w:val="0"/>
        <w:spacing w:before="120" w:after="120"/>
        <w:jc w:val="left"/>
        <w:rPr>
          <w:rFonts w:ascii="Arial" w:hAnsi="Arial"/>
          <w:color w:val="000000"/>
          <w:sz w:val="20"/>
        </w:rPr>
      </w:pPr>
      <w:r>
        <w:rPr>
          <w:rFonts w:ascii="Arial" w:hAnsi="Arial"/>
          <w:color w:val="000000"/>
          <w:sz w:val="20"/>
        </w:rPr>
        <w:t>Government authorities in the U.S.,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U.S. We, along with any third-party contractors, will be required to navigate the various preclinical, clinical and commercial approval requirements of the governing regulatory agencies of the countries in which we wish to conduct studies or seek approval of our product candidates. The process of obtaining regulatory approvals and the subsequent compliance with applicable federal, state, local, and foreign statutes and regulations require the expenditure of substantial time and financial resources.</w:t>
      </w:r>
    </w:p>
    <w:p>
      <w:pPr>
        <w:pStyle w:val="TextBody"/>
        <w:bidi w:val="0"/>
        <w:spacing w:before="240" w:after="120"/>
        <w:jc w:val="left"/>
        <w:rPr>
          <w:rFonts w:ascii="Arial" w:hAnsi="Arial"/>
          <w:b/>
          <w:i/>
          <w:color w:val="000000"/>
          <w:sz w:val="20"/>
        </w:rPr>
      </w:pPr>
      <w:r>
        <w:rPr>
          <w:rFonts w:ascii="Arial" w:hAnsi="Arial"/>
          <w:b/>
          <w:i/>
          <w:color w:val="000000"/>
          <w:sz w:val="20"/>
        </w:rPr>
        <w:t>U.S. Drug Development Process</w:t>
      </w:r>
    </w:p>
    <w:p>
      <w:pPr>
        <w:pStyle w:val="TextBody"/>
        <w:bidi w:val="0"/>
        <w:jc w:val="left"/>
        <w:rPr>
          <w:rFonts w:ascii="Arial" w:hAnsi="Arial"/>
          <w:color w:val="000000"/>
          <w:sz w:val="20"/>
        </w:rPr>
      </w:pPr>
      <w:r>
        <w:rPr>
          <w:rFonts w:ascii="Arial" w:hAnsi="Arial"/>
          <w:color w:val="000000"/>
          <w:sz w:val="20"/>
        </w:rPr>
        <w:t>In the U.S., the FDA regulates drugs under the federal Food, Drug, and Cosmetic Act (“FDCA”) and its implementing regulations. The process of obtaining regulatory approvals and the subsequent compliance with appropriate federal, state and local statutes and regulations require the expenditure of substantial time and financial resources. The process required by the FDA before a drug may be marketed in the U.S.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completion of certain preclinical laboratory tests, animal studies and formulation studies in accordance with Good Laboratory Practice regulations and other applicable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submission to the FDA of an IND, which must become effective before human clinical trials may begin;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approval by an independent institutional review board (“IRB”), or ethics committee at each clinical site before each trial may be initiated;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performance of adequate and well-controlled human clinical trials in accordance with Good Clinical Practice regulations (“GCPs”) to evaluate the safety and efficacy of the product candidate for its intended use;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submission to the FDA of an NDA after completion of all pivotal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satisfactory completion of an FDA advisory committee review, if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satisfactory completion of potential inspection of selected clinical investigation sites to assess compliance with GCPs;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review and approval of the NDA to permit commercial marketing of the product for particular indications for use in the U.S.</w:t>
      </w:r>
    </w:p>
    <w:p>
      <w:pPr>
        <w:pStyle w:val="TextBody"/>
        <w:bidi w:val="0"/>
        <w:spacing w:before="240" w:after="283"/>
        <w:jc w:val="left"/>
        <w:rPr>
          <w:rFonts w:ascii="Arial" w:hAnsi="Arial"/>
          <w:color w:val="000000"/>
          <w:sz w:val="20"/>
        </w:rPr>
      </w:pPr>
      <w:r>
        <w:rPr>
          <w:rFonts w:ascii="Arial" w:hAnsi="Arial"/>
          <w:color w:val="000000"/>
          <w:sz w:val="20"/>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pStyle w:val="TextBody"/>
        <w:bidi w:val="0"/>
        <w:spacing w:before="240" w:after="283"/>
        <w:jc w:val="left"/>
        <w:rPr>
          <w:rFonts w:ascii="Arial" w:hAnsi="Arial"/>
          <w:color w:val="000000"/>
          <w:sz w:val="20"/>
        </w:rPr>
      </w:pPr>
      <w:r>
        <w:rPr>
          <w:rFonts w:ascii="Arial" w:hAnsi="Arial"/>
          <w:color w:val="000000"/>
          <w:sz w:val="20"/>
        </w:rPr>
        <w:t>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pStyle w:val="TextBody"/>
        <w:bidi w:val="0"/>
        <w:spacing w:before="240" w:after="283"/>
        <w:jc w:val="left"/>
        <w:rPr>
          <w:rFonts w:ascii="Arial" w:hAnsi="Arial"/>
          <w:color w:val="000000"/>
          <w:sz w:val="20"/>
        </w:rPr>
      </w:pPr>
      <w:r>
        <w:rPr>
          <w:rFonts w:ascii="Arial" w:hAnsi="Arial"/>
          <w:color w:val="000000"/>
          <w:sz w:val="20"/>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(“DSMB”)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p>
    <w:p>
      <w:pPr>
        <w:pStyle w:val="TextBody"/>
        <w:bidi w:val="0"/>
        <w:spacing w:before="240" w:after="283"/>
        <w:jc w:val="left"/>
        <w:rPr>
          <w:rFonts w:ascii="Arial" w:hAnsi="Arial"/>
          <w:color w:val="000000"/>
          <w:sz w:val="20"/>
        </w:rPr>
      </w:pPr>
      <w:r>
        <w:rPr>
          <w:rFonts w:ascii="Arial" w:hAnsi="Arial"/>
          <w:color w:val="000000"/>
          <w:sz w:val="20"/>
        </w:rPr>
        <w:t>Human clinical trials are typically conducted in three sequential phases that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Phase 1:</w:t>
      </w:r>
      <w:r>
        <w:rPr>
          <w:color w:val="000000"/>
        </w:rPr>
        <w:t xml:space="preserve"> </w:t>
      </w:r>
      <w:r>
        <w:rPr>
          <w:rFonts w:ascii="Arial" w:hAnsi="Arial"/>
          <w:color w:val="000000"/>
          <w:sz w:val="20"/>
        </w:rPr>
        <w:t>The product candidate is initially introduced into healthy human subjects and tested for safety, dosage tolerance, absorption, metabolism, distribution and excretion and, if possible, to gain an early indication of its effectiveness.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Phase 2:</w:t>
      </w:r>
      <w:r>
        <w:rPr>
          <w:color w:val="000000"/>
        </w:rPr>
        <w:t xml:space="preserve"> </w:t>
      </w:r>
      <w:r>
        <w:rPr>
          <w:rFonts w:ascii="Arial" w:hAnsi="Arial"/>
          <w:color w:val="000000"/>
          <w:sz w:val="20"/>
        </w:rPr>
        <w:t>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Phase 3:</w:t>
      </w:r>
      <w:r>
        <w:rPr>
          <w:color w:val="000000"/>
        </w:rPr>
        <w:t xml:space="preserve"> </w:t>
      </w:r>
      <w:r>
        <w:rPr>
          <w:rFonts w:ascii="Arial" w:hAnsi="Arial"/>
          <w:color w:val="000000"/>
          <w:sz w:val="20"/>
        </w:rPr>
        <w:t>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Post-approval trials, sometimes referred to as Phase 4 studies, may be conducted after initial regulatory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before="240" w:after="283"/>
        <w:jc w:val="left"/>
        <w:rPr>
          <w:rFonts w:ascii="Arial" w:hAnsi="Arial"/>
          <w:color w:val="000000"/>
          <w:sz w:val="20"/>
        </w:rPr>
      </w:pPr>
      <w:r>
        <w:rPr>
          <w:rFonts w:ascii="Arial" w:hAnsi="Arial"/>
          <w:color w:val="000000"/>
          <w:sz w:val="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pStyle w:val="TextBody"/>
        <w:bidi w:val="0"/>
        <w:spacing w:before="360" w:after="283"/>
        <w:jc w:val="left"/>
        <w:rPr>
          <w:rFonts w:ascii="Arial" w:hAnsi="Arial"/>
          <w:b/>
          <w:i/>
          <w:color w:val="000000"/>
          <w:sz w:val="20"/>
        </w:rPr>
      </w:pPr>
      <w:r>
        <w:rPr>
          <w:rFonts w:ascii="Arial" w:hAnsi="Arial"/>
          <w:b/>
          <w:i/>
          <w:color w:val="000000"/>
          <w:sz w:val="20"/>
        </w:rPr>
        <w:t>U.S. Review and Approval Process</w:t>
      </w:r>
    </w:p>
    <w:p>
      <w:pPr>
        <w:pStyle w:val="TextBody"/>
        <w:bidi w:val="0"/>
        <w:spacing w:before="120" w:after="283"/>
        <w:jc w:val="left"/>
        <w:rPr>
          <w:rFonts w:ascii="Arial" w:hAnsi="Arial"/>
          <w:color w:val="000000"/>
          <w:sz w:val="20"/>
        </w:rPr>
      </w:pPr>
      <w:r>
        <w:rPr>
          <w:rFonts w:ascii="Arial" w:hAnsi="Arial"/>
          <w:color w:val="000000"/>
          <w:sz w:val="20"/>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pStyle w:val="TextBody"/>
        <w:bidi w:val="0"/>
        <w:spacing w:before="240" w:after="283"/>
        <w:jc w:val="left"/>
        <w:rPr>
          <w:rFonts w:ascii="Arial" w:hAnsi="Arial"/>
          <w:color w:val="000000"/>
          <w:sz w:val="20"/>
        </w:rPr>
      </w:pPr>
      <w:r>
        <w:rPr>
          <w:rFonts w:ascii="Arial" w:hAnsi="Arial"/>
          <w:color w:val="000000"/>
          <w:sz w:val="20"/>
        </w:rPr>
        <w:t>In addition, the Pediatric Research Equity Act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the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pStyle w:val="TextBody"/>
        <w:bidi w:val="0"/>
        <w:spacing w:before="240" w:after="283"/>
        <w:jc w:val="left"/>
        <w:rPr>
          <w:rFonts w:ascii="Arial" w:hAnsi="Arial"/>
          <w:color w:val="000000"/>
          <w:sz w:val="20"/>
        </w:rPr>
      </w:pPr>
      <w:r>
        <w:rPr>
          <w:rFonts w:ascii="Arial" w:hAnsi="Arial"/>
          <w:color w:val="000000"/>
          <w:sz w:val="20"/>
        </w:rPr>
        <w:t>Once an NDA has been submitted, the FDA conducts a preliminary review of the application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w:t>
      </w:r>
    </w:p>
    <w:p>
      <w:pPr>
        <w:pStyle w:val="TextBody"/>
        <w:bidi w:val="0"/>
        <w:spacing w:before="240" w:after="283"/>
        <w:jc w:val="left"/>
        <w:rPr>
          <w:rFonts w:ascii="Arial" w:hAnsi="Arial"/>
          <w:color w:val="000000"/>
          <w:sz w:val="20"/>
        </w:rPr>
      </w:pPr>
      <w:r>
        <w:rPr>
          <w:rFonts w:ascii="Arial" w:hAnsi="Arial"/>
          <w:color w:val="000000"/>
          <w:sz w:val="20"/>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inspect the facility or facilities where the product is manufactured. Additionally, before approving an NDA, the FDA may inspect one or more clinical trial sites to assure compliance with GCPs.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including additional clinical trials, or other significant and time-consuming requirements related to clinical trials, nonclinical studies or manufacturing. If a CRL is issued, the sponsor must resubmit the NDA or, addressing all of the deficiencies identified in the letter, or withdraw the application. Even if such data and information are submitted, the FDA may decide that the NDA does not satisfy the criteria for approval.</w:t>
      </w:r>
    </w:p>
    <w:p>
      <w:pPr>
        <w:pStyle w:val="TextBody"/>
        <w:bidi w:val="0"/>
        <w:spacing w:before="240" w:after="283"/>
        <w:jc w:val="left"/>
        <w:rPr>
          <w:rFonts w:ascii="Arial" w:hAnsi="Arial"/>
          <w:color w:val="000000"/>
          <w:sz w:val="20"/>
        </w:rPr>
      </w:pPr>
      <w:r>
        <w:rPr>
          <w:rFonts w:ascii="Arial" w:hAnsi="Arial"/>
          <w:color w:val="000000"/>
          <w:sz w:val="20"/>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refers to clinical trials designed to further assess a drug’s safety and/or effectiveness following NDA approval, and may require additional testing and surveillance programs to monitor the safety of approved products which have been commercialized. The FDA may also place other conditions on approval, including the requirement for a risk evaluation and mitigation strategy (“REMS”), to assure the safe use of the drug. If the FDA concludes a REMS is needed, the sponsor of the NDA must submit a proposed REMS, which could include medication guides, physician communication plans or elements to assure safe use, such as restricted distribution methods, patient registries and other risk minimization tools. The FDA will not approve the NDA without an approved REMS, if required. Any of these limitations on approval or marketing could restrict the commercial promotion, distribution, prescription or dispensing of products.</w:t>
      </w:r>
    </w:p>
    <w:p>
      <w:pPr>
        <w:pStyle w:val="TextBody"/>
        <w:bidi w:val="0"/>
        <w:spacing w:before="360" w:after="283"/>
        <w:jc w:val="left"/>
        <w:rPr>
          <w:rFonts w:ascii="Arial" w:hAnsi="Arial"/>
          <w:b/>
          <w:i/>
          <w:color w:val="000000"/>
          <w:sz w:val="20"/>
        </w:rPr>
      </w:pPr>
      <w:r>
        <w:rPr>
          <w:rFonts w:ascii="Arial" w:hAnsi="Arial"/>
          <w:b/>
          <w:i/>
          <w:color w:val="000000"/>
          <w:sz w:val="20"/>
        </w:rPr>
        <w:t>Expedited Development and Review Programs</w:t>
      </w:r>
    </w:p>
    <w:p>
      <w:pPr>
        <w:pStyle w:val="TextBody"/>
        <w:bidi w:val="0"/>
        <w:spacing w:before="120" w:after="283"/>
        <w:jc w:val="left"/>
        <w:rPr>
          <w:rFonts w:ascii="Arial" w:hAnsi="Arial"/>
          <w:color w:val="000000"/>
          <w:sz w:val="20"/>
        </w:rPr>
      </w:pPr>
      <w:r>
        <w:rPr>
          <w:rFonts w:ascii="Arial" w:hAnsi="Arial"/>
          <w:color w:val="000000"/>
          <w:sz w:val="20"/>
        </w:rPr>
        <w:t>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pStyle w:val="TextBody"/>
        <w:bidi w:val="0"/>
        <w:spacing w:before="240" w:after="283"/>
        <w:jc w:val="left"/>
        <w:rPr>
          <w:rFonts w:ascii="Arial" w:hAnsi="Arial"/>
          <w:color w:val="000000"/>
          <w:sz w:val="20"/>
        </w:rPr>
      </w:pPr>
      <w:r>
        <w:rPr>
          <w:rFonts w:ascii="Arial" w:hAnsi="Arial"/>
          <w:color w:val="000000"/>
          <w:sz w:val="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pStyle w:val="TextBody"/>
        <w:bidi w:val="0"/>
        <w:spacing w:before="240" w:after="283"/>
        <w:jc w:val="left"/>
        <w:rPr>
          <w:rFonts w:ascii="Arial" w:hAnsi="Arial"/>
          <w:color w:val="000000"/>
          <w:sz w:val="20"/>
        </w:rPr>
      </w:pPr>
      <w:r>
        <w:rPr>
          <w:rFonts w:ascii="Arial" w:hAnsi="Arial"/>
          <w:color w:val="000000"/>
          <w:sz w:val="20"/>
        </w:rPr>
        <w:t>Any product candidate submitted to the FDA for approval, including a product candidate with a fast track designation or breakthrough designation, may also be eligible for other types of FDA programs intended to expedite development and review, such as priority review.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addition, depending on the design of the applicable clinical trials,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pStyle w:val="TextBody"/>
        <w:bidi w:val="0"/>
        <w:spacing w:before="240" w:after="283"/>
        <w:jc w:val="left"/>
        <w:rPr>
          <w:rFonts w:ascii="Arial" w:hAnsi="Arial"/>
          <w:color w:val="000000"/>
          <w:sz w:val="20"/>
        </w:rPr>
      </w:pPr>
      <w:r>
        <w:rPr>
          <w:rFonts w:ascii="Arial" w:hAnsi="Arial"/>
          <w:color w:val="000000"/>
          <w:sz w:val="20"/>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the FDA review or approval will not be shortened.</w:t>
      </w:r>
    </w:p>
    <w:p>
      <w:pPr>
        <w:pStyle w:val="TextBody"/>
        <w:bidi w:val="0"/>
        <w:spacing w:before="360" w:after="283"/>
        <w:jc w:val="left"/>
        <w:rPr>
          <w:rFonts w:ascii="Arial" w:hAnsi="Arial"/>
          <w:b/>
          <w:i/>
          <w:color w:val="000000"/>
          <w:sz w:val="20"/>
        </w:rPr>
      </w:pPr>
      <w:r>
        <w:rPr>
          <w:rFonts w:ascii="Arial" w:hAnsi="Arial"/>
          <w:b/>
          <w:i/>
          <w:color w:val="000000"/>
          <w:sz w:val="20"/>
        </w:rPr>
        <w:t>Orphan Drug Designation</w:t>
      </w:r>
    </w:p>
    <w:p>
      <w:pPr>
        <w:pStyle w:val="TextBody"/>
        <w:bidi w:val="0"/>
        <w:spacing w:before="120" w:after="283"/>
        <w:jc w:val="left"/>
        <w:rPr>
          <w:rFonts w:ascii="Arial" w:hAnsi="Arial"/>
          <w:color w:val="000000"/>
          <w:sz w:val="20"/>
        </w:rPr>
      </w:pPr>
      <w:r>
        <w:rPr>
          <w:rFonts w:ascii="Arial" w:hAnsi="Arial"/>
          <w:color w:val="000000"/>
          <w:sz w:val="20"/>
        </w:rPr>
        <w:t>Under the Orphan Drug Act, the FDA may grant orphan designation to a drug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pStyle w:val="TextBody"/>
        <w:bidi w:val="0"/>
        <w:spacing w:before="240" w:after="283"/>
        <w:jc w:val="left"/>
        <w:rPr>
          <w:rFonts w:ascii="Arial" w:hAnsi="Arial"/>
          <w:color w:val="000000"/>
          <w:sz w:val="20"/>
        </w:rPr>
      </w:pPr>
      <w:r>
        <w:rPr>
          <w:rFonts w:ascii="Arial" w:hAnsi="Arial"/>
          <w:color w:val="000000"/>
          <w:sz w:val="20"/>
        </w:rPr>
        <w:t>If a product that has orphan designation subsequently receives the first FDA approval for the same approved use or indication within such rare disease or condition for which it has such designation, the product is entitled to orphan product exclusivity, which means that the FDA may not approve any other applications to market the same drug for the same approved use or indication within the applicable rare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same use or indication within the rare disease or condition for which the orphan product has exclusivity or obtain approval for the same product but for a different use or indication within the rare disease or condition for which the orphan product has exclusivity. Orphan exclusivity also could block the approval of a competing product for seven years if a competitor obtains approval of the “same drug,” as defined by the FDA, or if the active moiety of the product candidate is determined to be contained within the competitor’s product when intended for the same use or indication within the applicable disease or condition. In addition, if an orphan designated product receives regulatory approval for a disease or condition broader than what is designated, it may not be entitled to orphan exclusivity.</w:t>
      </w:r>
    </w:p>
    <w:p>
      <w:pPr>
        <w:pStyle w:val="TextBody"/>
        <w:bidi w:val="0"/>
        <w:spacing w:before="360" w:after="283"/>
        <w:jc w:val="left"/>
        <w:rPr>
          <w:rFonts w:ascii="Arial" w:hAnsi="Arial"/>
          <w:b/>
          <w:i/>
          <w:color w:val="000000"/>
          <w:sz w:val="20"/>
        </w:rPr>
      </w:pPr>
      <w:r>
        <w:rPr>
          <w:rFonts w:ascii="Arial" w:hAnsi="Arial"/>
          <w:b/>
          <w:i/>
          <w:color w:val="000000"/>
          <w:sz w:val="20"/>
        </w:rPr>
        <w:t>Post-approval Requirements</w:t>
      </w:r>
    </w:p>
    <w:p>
      <w:pPr>
        <w:pStyle w:val="TextBody"/>
        <w:bidi w:val="0"/>
        <w:spacing w:before="120" w:after="283"/>
        <w:jc w:val="left"/>
        <w:rPr>
          <w:rFonts w:ascii="Arial" w:hAnsi="Arial"/>
          <w:color w:val="000000"/>
          <w:sz w:val="20"/>
        </w:rPr>
      </w:pPr>
      <w:r>
        <w:rPr>
          <w:rFonts w:ascii="Arial" w:hAnsi="Arial"/>
          <w:color w:val="000000"/>
          <w:sz w:val="20"/>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w:t>
      </w:r>
    </w:p>
    <w:p>
      <w:pPr>
        <w:pStyle w:val="TextBody"/>
        <w:bidi w:val="0"/>
        <w:spacing w:before="240" w:after="283"/>
        <w:jc w:val="left"/>
        <w:rPr>
          <w:rFonts w:ascii="Arial" w:hAnsi="Arial"/>
          <w:color w:val="000000"/>
          <w:sz w:val="20"/>
        </w:rPr>
      </w:pPr>
      <w:r>
        <w:rPr>
          <w:rFonts w:ascii="Arial" w:hAnsi="Arial"/>
          <w:color w:val="000000"/>
          <w:sz w:val="20"/>
        </w:rPr>
        <w:t>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marketing or manufacturing of the product,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fines,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holds on ongoing or planned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refusal of the FDA to approve pending applications or supplements to approved applications,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seizure or detention, or refusal to permit the import or export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consent decrees, corporate integrity agreements, debarment or exclusion from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mandated modification of promotional materials and labeling and the issuance of corrective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issuance of safety alerts, Dear Healthcare Provider letters, press releases and other communications containing warnings or other safety information about the product;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injunctions or the imposition of civil or criminal penalties.</w:t>
      </w:r>
    </w:p>
    <w:p>
      <w:pPr>
        <w:pStyle w:val="TextBody"/>
        <w:bidi w:val="0"/>
        <w:spacing w:before="240" w:after="283"/>
        <w:jc w:val="left"/>
        <w:rPr>
          <w:rFonts w:ascii="Arial" w:hAnsi="Arial"/>
          <w:color w:val="000000"/>
          <w:sz w:val="20"/>
        </w:rPr>
      </w:pPr>
      <w:r>
        <w:rPr>
          <w:rFonts w:ascii="Arial" w:hAnsi="Arial"/>
          <w:color w:val="000000"/>
          <w:sz w:val="20"/>
        </w:rPr>
        <w:t>In addition,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360" w:after="283"/>
        <w:jc w:val="left"/>
        <w:rPr>
          <w:rFonts w:ascii="Arial" w:hAnsi="Arial"/>
          <w:b/>
          <w:i/>
          <w:color w:val="000000"/>
          <w:sz w:val="20"/>
        </w:rPr>
      </w:pPr>
      <w:r>
        <w:rPr>
          <w:rFonts w:ascii="Arial" w:hAnsi="Arial"/>
          <w:b/>
          <w:i/>
          <w:color w:val="000000"/>
          <w:sz w:val="20"/>
        </w:rPr>
        <w:t>Marketing Exclusivity</w:t>
      </w:r>
    </w:p>
    <w:p>
      <w:pPr>
        <w:pStyle w:val="TextBody"/>
        <w:bidi w:val="0"/>
        <w:spacing w:before="120" w:after="283"/>
        <w:jc w:val="left"/>
        <w:rPr>
          <w:rFonts w:ascii="Arial" w:hAnsi="Arial"/>
          <w:color w:val="000000"/>
          <w:sz w:val="20"/>
        </w:rPr>
      </w:pPr>
      <w:r>
        <w:rPr>
          <w:rFonts w:ascii="Arial" w:hAnsi="Arial"/>
          <w:color w:val="000000"/>
          <w:sz w:val="20"/>
        </w:rPr>
        <w:t>Regulatory exclusivity provisions under the FDCA can delay the submission or the approval of certain marketing applications. The FDCA provides a five-year period of non-patent data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bidi w:val="0"/>
        <w:spacing w:before="240" w:after="283"/>
        <w:jc w:val="left"/>
        <w:rPr>
          <w:rFonts w:ascii="Arial" w:hAnsi="Arial"/>
          <w:color w:val="000000"/>
          <w:sz w:val="20"/>
        </w:rPr>
      </w:pPr>
      <w:r>
        <w:rPr>
          <w:rFonts w:ascii="Arial" w:hAnsi="Arial"/>
          <w:color w:val="000000"/>
          <w:sz w:val="20"/>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Pediatric exclusivity is another type of marketing exclusivity available in the U.S. Pediatric exclusivity provides for an additional six months of marketing exclusivity attached to another period of existing exclusivity or an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pStyle w:val="TextBody"/>
        <w:bidi w:val="0"/>
        <w:spacing w:before="240" w:after="283"/>
        <w:jc w:val="left"/>
        <w:rPr>
          <w:rFonts w:ascii="Times New Roman" w:hAnsi="Times New Roman"/>
          <w:sz w:val="20"/>
        </w:rPr>
      </w:pPr>
      <w:r>
        <w:rPr>
          <w:rFonts w:ascii="Arial" w:hAnsi="Arial"/>
          <w:color w:val="000000"/>
          <w:sz w:val="20"/>
        </w:rPr>
        <w:t>Additionally, under the Generating Antibiotics Incentives Now (“GAIN”) Act, the FDA may designate a product as a “qualified infectious disease product,” or QIDP. In order to receive this designation, a drug must qualify as an antibacterial or antifungal drug for human use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established and maintained by the FDA under the law. The FDA interprets QIDP designation to apply to a specific drug product, including a specific dosage form of the product. A sponsor must request such designation before submitting a marketing application, and the FDA will respond to a request for QIDP designation within 60 days of the date the FDA receives the request. The GAIN Act permits the FDA to revoke a QIDP designation only if the request for such designation contained an untrue statement of material fact.</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benefits of QIDP designation include potential eligibility for priority review and Fast Track designation, and an extension by an additional five years of any non-patent regulatory exclusivity period awarded, such as a five-year exclusivity period awarded for a new molecular entity. This extension is in addition to any pediatric exclusivity extension awarded, and the extension will be awarded only to a drug first approved on or after the date of enactment of the GAIN Act. The GAIN Act prohibits the grant of an exclusivity extension where the application is a supplement to an application for which an extension is in effect or has expired, is a subsequent application for a specified change to an approved product, or is an application for a product that does not meet the definition of QIDP based on the uses for which it is ultimately approved.</w:t>
      </w:r>
    </w:p>
    <w:p>
      <w:pPr>
        <w:pStyle w:val="TextBody"/>
        <w:bidi w:val="0"/>
        <w:spacing w:before="360" w:after="283"/>
        <w:jc w:val="left"/>
        <w:rPr>
          <w:rFonts w:ascii="Times New Roman" w:hAnsi="Times New Roman"/>
          <w:sz w:val="20"/>
        </w:rPr>
      </w:pPr>
      <w:r>
        <w:rPr>
          <w:rFonts w:ascii="Arial" w:hAnsi="Arial"/>
          <w:b/>
          <w:i/>
          <w:color w:val="000000"/>
          <w:sz w:val="20"/>
        </w:rPr>
        <w:t>Tropical Disease Priority Review Voucher Program</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In 2007, Congress authorized the FDA to award priority review vouchers (“PRVs”), to sponsors of certain tropical disease product applications. The FDA’s Tropical Disease Priority Review Voucher Program is designed to encourage development of new drug and biological products for the prevention and treatment of certain tropical diseases affecting millions of people throughout the world. Under this program, a sponsor who receives an approval for a drug or biologic for the prevention or treatment a tropical disease that meets certain criteria may qualify for a PRV that can be redeemed to receive priority review of a subsequent NDA or Biologics License Application (“BLA”), for a different product. The sponsor of a tropical disease drug product receiving a priority review voucher may transfer (including by sale) the voucher to another sponsor of an NDA or BLA. The FDCA does not limit the number of times a priority review voucher may be transferred before the voucher is used.</w:t>
      </w:r>
    </w:p>
    <w:p>
      <w:pPr>
        <w:pStyle w:val="TextBody"/>
        <w:bidi w:val="0"/>
        <w:spacing w:before="240" w:after="283"/>
        <w:jc w:val="left"/>
        <w:rPr>
          <w:rFonts w:ascii="Arial" w:hAnsi="Arial"/>
          <w:color w:val="000000"/>
          <w:sz w:val="20"/>
        </w:rPr>
      </w:pPr>
      <w:r>
        <w:rPr>
          <w:rFonts w:ascii="Arial" w:hAnsi="Arial"/>
          <w:color w:val="000000"/>
          <w:sz w:val="20"/>
        </w:rPr>
        <w:t>For a product to qualify for a PRV, (i) the sponsor must request approval of the product for the prevention or treatment of a “tropical disease” listed in Section 524 of the FDCA, (ii) the product must otherwise qualify for priority review, and (iii) the product must contain no active ingredient (including any salt or ester of an active ingredient) that has been approved by the FDA in any other NDA or BLA. The Food and Drug Administration Reauthorization Act of 2017 made further changes to the eligibility criteria for receipt of a tropical disease PRV under this program. Specifically, applications submitted after September 30, 2017 must also contain reports of one or more new clinical investigations (other than bioavailability studies) that were essential to the approval of the application and conducted or sponsored by the sponsor. In addition, the applicant must attest that such report(s) were not submitted as part of an application for regulatory approval or licensure by a regulatory authority in India, Brazil, Thailand and certain other countries prior to September 27, 2007.</w:t>
      </w:r>
    </w:p>
    <w:p>
      <w:pPr>
        <w:pStyle w:val="TextBody"/>
        <w:bidi w:val="0"/>
        <w:spacing w:before="360" w:after="283"/>
        <w:jc w:val="left"/>
        <w:rPr>
          <w:rFonts w:ascii="Arial" w:hAnsi="Arial"/>
          <w:b/>
          <w:i/>
          <w:color w:val="000000"/>
          <w:sz w:val="20"/>
        </w:rPr>
      </w:pPr>
      <w:r>
        <w:rPr>
          <w:rFonts w:ascii="Arial" w:hAnsi="Arial"/>
          <w:b/>
          <w:i/>
          <w:color w:val="000000"/>
          <w:sz w:val="20"/>
        </w:rPr>
        <w:t>Other Healthcare Laws</w:t>
      </w:r>
    </w:p>
    <w:p>
      <w:pPr>
        <w:pStyle w:val="TextBody"/>
        <w:bidi w:val="0"/>
        <w:spacing w:before="120" w:after="283"/>
        <w:jc w:val="left"/>
        <w:rPr>
          <w:rFonts w:ascii="Arial" w:hAnsi="Arial"/>
          <w:color w:val="000000"/>
          <w:sz w:val="20"/>
        </w:rPr>
      </w:pPr>
      <w:r>
        <w:rPr>
          <w:rFonts w:ascii="Arial" w:hAnsi="Arial"/>
          <w:color w:val="000000"/>
          <w:sz w:val="20"/>
        </w:rPr>
        <w:t>In the U.S., we are subject to a number of federal and state healthcare regulatory laws that restrict business practices in the healthcare industry. These laws include, but are not limited to, federal and state anti-kickback, false claims, and other healthcare fraud and abuse laws, as follows: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A person or entity does not need to have actual knowledge of the statute or specific intent to violate it in order to have committed a violation.</w:t>
      </w:r>
    </w:p>
    <w:p>
      <w:pPr>
        <w:pStyle w:val="TextBody"/>
        <w:bidi w:val="0"/>
        <w:spacing w:before="240" w:after="283"/>
        <w:jc w:val="left"/>
        <w:rPr>
          <w:rFonts w:ascii="Arial" w:hAnsi="Arial"/>
          <w:color w:val="000000"/>
          <w:sz w:val="20"/>
        </w:rPr>
      </w:pPr>
      <w:r>
        <w:rPr>
          <w:rFonts w:ascii="Arial" w:hAnsi="Arial"/>
          <w:color w:val="000000"/>
          <w:sz w:val="20"/>
        </w:rPr>
        <w:t>The federal false claims,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w:t>
      </w:r>
    </w:p>
    <w:p>
      <w:pPr>
        <w:pStyle w:val="TextBody"/>
        <w:bidi w:val="0"/>
        <w:spacing w:before="240" w:after="283"/>
        <w:jc w:val="left"/>
        <w:rPr>
          <w:rFonts w:ascii="Arial" w:hAnsi="Arial"/>
          <w:color w:val="000000"/>
          <w:sz w:val="20"/>
        </w:rPr>
      </w:pPr>
      <w:r>
        <w:rPr>
          <w:rFonts w:ascii="Arial" w:hAnsi="Arial"/>
          <w:color w:val="000000"/>
          <w:sz w:val="20"/>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pStyle w:val="TextBody"/>
        <w:bidi w:val="0"/>
        <w:spacing w:before="240" w:after="283"/>
        <w:jc w:val="left"/>
        <w:rPr>
          <w:rFonts w:ascii="Arial" w:hAnsi="Arial"/>
          <w:color w:val="000000"/>
          <w:sz w:val="20"/>
        </w:rPr>
      </w:pPr>
      <w:r>
        <w:rPr>
          <w:rFonts w:ascii="Arial" w:hAnsi="Arial"/>
          <w:color w:val="000000"/>
          <w:sz w:val="20"/>
        </w:rPr>
        <w:t>The Health Insurance Portability and Accountability Act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pStyle w:val="TextBody"/>
        <w:bidi w:val="0"/>
        <w:spacing w:before="240" w:after="283"/>
        <w:jc w:val="left"/>
        <w:rPr>
          <w:rFonts w:ascii="Arial" w:hAnsi="Arial"/>
          <w:color w:val="000000"/>
          <w:sz w:val="20"/>
        </w:rPr>
      </w:pPr>
      <w:r>
        <w:rPr>
          <w:rFonts w:ascii="Arial" w:hAnsi="Arial"/>
          <w:color w:val="000000"/>
          <w:sz w:val="20"/>
        </w:rPr>
        <w:t>HIPAA, as amended by the Health Information Technology for Economic and Clinical Health Act of 2009 (“HITECH”), and their respective implementing regulations, which impose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pStyle w:val="TextBody"/>
        <w:bidi w:val="0"/>
        <w:spacing w:before="240" w:after="283"/>
        <w:jc w:val="left"/>
        <w:rPr>
          <w:rFonts w:ascii="Arial" w:hAnsi="Arial"/>
          <w:color w:val="000000"/>
          <w:sz w:val="20"/>
        </w:rPr>
      </w:pPr>
      <w:r>
        <w:rPr>
          <w:rFonts w:ascii="Arial" w:hAnsi="Arial"/>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(defined to include doctors, dentists, optometrists, podiatrists, and chiropractors), certain other healthcare professionals including physician assistants and nurse practitioners, and teaching hospitals, and applicable manufacturers and applicable group purchasing organizations to report annually to CMS ownership and investment interests held by physicians and their immediate family members.</w:t>
      </w:r>
    </w:p>
    <w:p>
      <w:pPr>
        <w:pStyle w:val="TextBody"/>
        <w:bidi w:val="0"/>
        <w:spacing w:before="240" w:after="283"/>
        <w:jc w:val="left"/>
        <w:rPr>
          <w:rFonts w:ascii="Arial" w:hAnsi="Arial"/>
          <w:color w:val="000000"/>
          <w:sz w:val="20"/>
        </w:rPr>
      </w:pPr>
      <w:r>
        <w:rPr>
          <w:rFonts w:ascii="Arial" w:hAnsi="Arial"/>
          <w:color w:val="000000"/>
          <w:sz w:val="20"/>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Violations of any of these laws and other applicable healthcare fraud and abuse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pStyle w:val="TextBody"/>
        <w:bidi w:val="0"/>
        <w:spacing w:before="360" w:after="283"/>
        <w:jc w:val="left"/>
        <w:rPr>
          <w:rFonts w:ascii="Arial" w:hAnsi="Arial"/>
          <w:b/>
          <w:i/>
          <w:color w:val="000000"/>
          <w:sz w:val="20"/>
        </w:rPr>
      </w:pPr>
      <w:r>
        <w:rPr>
          <w:rFonts w:ascii="Arial" w:hAnsi="Arial"/>
          <w:b/>
          <w:i/>
          <w:color w:val="000000"/>
          <w:sz w:val="20"/>
        </w:rPr>
        <w:t>Coverage and Reimbursement</w:t>
      </w:r>
    </w:p>
    <w:p>
      <w:pPr>
        <w:pStyle w:val="TextBody"/>
        <w:bidi w:val="0"/>
        <w:spacing w:before="120" w:after="283"/>
        <w:jc w:val="left"/>
        <w:rPr>
          <w:rFonts w:ascii="Arial" w:hAnsi="Arial"/>
          <w:color w:val="000000"/>
          <w:sz w:val="20"/>
        </w:rPr>
      </w:pPr>
      <w:r>
        <w:rPr>
          <w:rFonts w:ascii="Arial" w:hAnsi="Arial"/>
          <w:color w:val="000000"/>
          <w:sz w:val="20"/>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U.S., no uniform policy exists for coverage and reimbursement for pharmaceutical products among third-party payors. Therefore, decisions regarding the extent of coverage and amount of reimbursement to be provided are made on a plan-by-plan basis. The process for determining whether a third-party payor will provide coverage for a product typically is separate from the process for setting the price of such product or for establishing the reimbursement rate that the payor will pay for the product once coverage is approved.</w:t>
      </w:r>
    </w:p>
    <w:p>
      <w:pPr>
        <w:pStyle w:val="TextBody"/>
        <w:bidi w:val="0"/>
        <w:spacing w:before="240" w:after="283"/>
        <w:jc w:val="left"/>
        <w:rPr>
          <w:rFonts w:ascii="Arial" w:hAnsi="Arial"/>
          <w:color w:val="000000"/>
          <w:sz w:val="20"/>
        </w:rPr>
      </w:pPr>
      <w:r>
        <w:rPr>
          <w:rFonts w:ascii="Arial" w:hAnsi="Arial"/>
          <w:color w:val="000000"/>
          <w:sz w:val="20"/>
        </w:rPr>
        <w:t>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 Additionally, a third-party payor’s decision to provide coverage for a product does not imply that an adequate reimbursement rate will be approved.</w:t>
      </w:r>
    </w:p>
    <w:p>
      <w:pPr>
        <w:pStyle w:val="TextBody"/>
        <w:bidi w:val="0"/>
        <w:spacing w:before="240" w:after="283"/>
        <w:jc w:val="left"/>
        <w:rPr>
          <w:rFonts w:ascii="Arial" w:hAnsi="Arial"/>
          <w:color w:val="000000"/>
          <w:sz w:val="20"/>
        </w:rPr>
      </w:pPr>
      <w:r>
        <w:rPr>
          <w:rFonts w:ascii="Arial" w:hAnsi="Arial"/>
          <w:color w:val="000000"/>
          <w:sz w:val="20"/>
        </w:rPr>
        <w:t>Moreover, as a condition of participating in, and having products covered under, certain federal healthcare programs, such as Medicare and Medicaid, we are subject to federal laws and regulations that require pharmaceutical manufacturers to calculate and report certain price reporting metrics to the government, such as Medicaid Average Manufacturer Price (“AMP”), and Best Price, Medicare Average Sales Price, the 340B Ceiling Price, and Non-Federal AMP reported to the Department of Veteran Affairs, and with respect to Medicaid, pay statutory rebates on utilization of manufacturers’ products by Medicaid beneficiaries. Compliance with such laws and regulations require significant resources and any findings of non-compliance may have a material adverse effect on our revenues.</w:t>
      </w:r>
    </w:p>
    <w:p>
      <w:pPr>
        <w:pStyle w:val="TextBody"/>
        <w:bidi w:val="0"/>
        <w:spacing w:before="360" w:after="283"/>
        <w:jc w:val="left"/>
        <w:rPr>
          <w:rFonts w:ascii="Arial" w:hAnsi="Arial"/>
          <w:b/>
          <w:i/>
          <w:color w:val="000000"/>
          <w:sz w:val="20"/>
        </w:rPr>
      </w:pPr>
      <w:r>
        <w:rPr>
          <w:rFonts w:ascii="Arial" w:hAnsi="Arial"/>
          <w:b/>
          <w:i/>
          <w:color w:val="000000"/>
          <w:sz w:val="20"/>
        </w:rPr>
        <w:t>Healthcare Reform</w:t>
      </w:r>
    </w:p>
    <w:p>
      <w:pPr>
        <w:pStyle w:val="TextBody"/>
        <w:bidi w:val="0"/>
        <w:spacing w:before="120" w:after="283"/>
        <w:jc w:val="left"/>
        <w:rPr>
          <w:rFonts w:ascii="Times New Roman" w:hAnsi="Times New Roman"/>
          <w:sz w:val="20"/>
        </w:rPr>
      </w:pPr>
      <w:r>
        <w:rPr>
          <w:rFonts w:ascii="Arial" w:hAnsi="Arial"/>
          <w:color w:val="000000"/>
          <w:sz w:val="20"/>
        </w:rPr>
        <w:t>In the U.S. and certain foreign jurisdictions, there have been, and we expect there will continue to be, a number of legislative and regulatory changes to the healthcare system. In the U.S., by way of example, in March 2010, the Affordable Care Act (“ACA”) was signed into law, which substantially changed the way healthcare is financed by both governmental and private insurers in the U.S. and significantly affected the pharmaceutical industry. The ACA, among other things, increased the minimum level of Medicaid rebates payable by manufacturers of brand name drugs;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potentially including prescription drug spending. Since its enactment, there have been judicial, administrative, executive, and Congressional legislative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w:t>
      </w:r>
      <w:r>
        <w:rPr>
          <w:rFonts w:ascii="Times New Roman" w:hAnsi="Times New Roman"/>
          <w:color w:val="000000"/>
          <w:sz w:val="20"/>
        </w:rPr>
        <w:t xml:space="preserv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Other legislative changes have been proposed and adopted since the ACA was enacted, including aggregate reductions of Medicare payments to providers, which was temporarily suspended from May 1, 2020 through March 31, 2022. On January 2, 2013, the American Taxpayer Relief Act of 2012 was signed into law, which, among other things, reduced payments to several types of Medicare providers, including hospitals, and increased the statute of limitations period for the government to recover overpayments to providers from three to five years. In addition, the American Rescue Plan Act of 2021, effective January 1, 2024, eliminated the statutory cap on rebate amounts owed by drug manufacturers under the Medicaid Drug Rebate Program (“MDRP”), which was previously capped at 100% of the AMP for a covered outpatient drug.</w:t>
      </w:r>
    </w:p>
    <w:p>
      <w:pPr>
        <w:pStyle w:val="TextBody"/>
        <w:bidi w:val="0"/>
        <w:spacing w:before="240" w:after="283"/>
        <w:jc w:val="left"/>
        <w:rPr>
          <w:rFonts w:ascii="Arial" w:hAnsi="Arial"/>
          <w:color w:val="000000"/>
          <w:sz w:val="20"/>
        </w:rPr>
      </w:pPr>
      <w:r>
        <w:rPr>
          <w:rFonts w:ascii="Arial" w:hAnsi="Arial"/>
          <w:color w:val="000000"/>
          <w:sz w:val="20"/>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 August 2022, the Inflation Reduction Act of 2022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Department of Health and Human Services (“HHS”) to implement many of these provisions through guidance, as opposed to regulation, for the initial years. HHS has issued and will continue to issue guidance implementing the IRA. CMS published the negotiated prices for the initial ten drugs, which went into effect in 2026, and the subsequent 15 drugs, which will first be effective in 2027, as well the next set of 15 drugs that will be subject to negotiation, although the Medicare drug price negotiation program is currently subject to legal challenges. While the impact of the IRA on our business and the pharmaceutical industry cannot yet be fully determined, it is likely to be significant.</w:t>
      </w:r>
    </w:p>
    <w:p>
      <w:pPr>
        <w:pStyle w:val="TextBody"/>
        <w:bidi w:val="0"/>
        <w:spacing w:before="240" w:after="283"/>
        <w:jc w:val="left"/>
        <w:rPr>
          <w:rFonts w:ascii="Arial" w:hAnsi="Arial"/>
          <w:color w:val="000000"/>
          <w:sz w:val="20"/>
        </w:rPr>
      </w:pPr>
      <w:r>
        <w:rPr>
          <w:rFonts w:ascii="Arial" w:hAnsi="Arial"/>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before="240" w:after="283"/>
        <w:jc w:val="left"/>
        <w:rPr>
          <w:rFonts w:ascii="Arial" w:hAnsi="Arial"/>
          <w:color w:val="000000"/>
          <w:sz w:val="20"/>
        </w:rPr>
      </w:pPr>
      <w:r>
        <w:rPr>
          <w:rFonts w:ascii="Arial" w:hAnsi="Arial"/>
          <w:color w:val="000000"/>
          <w:sz w:val="20"/>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pStyle w:val="TextBody"/>
        <w:bidi w:val="0"/>
        <w:spacing w:before="240" w:after="283"/>
        <w:jc w:val="left"/>
        <w:rPr>
          <w:rFonts w:ascii="Arial" w:hAnsi="Arial"/>
          <w:color w:val="000000"/>
          <w:sz w:val="20"/>
        </w:rPr>
      </w:pPr>
      <w:r>
        <w:rPr>
          <w:rFonts w:ascii="Arial" w:hAnsi="Arial"/>
          <w:color w:val="000000"/>
          <w:sz w:val="20"/>
        </w:rPr>
        <w:t>Individual states in the U.S. have also become increasingly active in implementing regulations designed to control pharmaceutical product pricing, including price or patient reimbursement constraints, discounts, restrictions on certain product access and marketing cost disclosure, drug price reporting and other transparency measures and, in some cases, mechanisms to encourage importation from other countries and bulk purchasing. Some states have enacted legislation creating so-called prescription drug affordability boards, which ultimately may attempt to impose price limits on certain drugs in these states.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pStyle w:val="TextBody"/>
        <w:bidi w:val="0"/>
        <w:spacing w:before="240" w:after="283"/>
        <w:jc w:val="left"/>
        <w:rPr>
          <w:rFonts w:ascii="Arial" w:hAnsi="Arial"/>
          <w:color w:val="000000"/>
          <w:sz w:val="20"/>
        </w:rPr>
      </w:pPr>
      <w:r>
        <w:rPr>
          <w:rFonts w:ascii="Arial" w:hAnsi="Arial"/>
          <w:color w:val="000000"/>
          <w:sz w:val="20"/>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Data Privacy and Security Laws</w:t>
      </w:r>
    </w:p>
    <w:p>
      <w:pPr>
        <w:pStyle w:val="TextBody"/>
        <w:bidi w:val="0"/>
        <w:spacing w:before="120" w:after="283"/>
        <w:jc w:val="left"/>
        <w:rPr>
          <w:rFonts w:ascii="Arial" w:hAnsi="Arial"/>
          <w:color w:val="000000"/>
          <w:sz w:val="20"/>
        </w:rPr>
      </w:pPr>
      <w:r>
        <w:rPr>
          <w:rFonts w:ascii="Arial" w:hAnsi="Arial"/>
          <w:color w:val="000000"/>
          <w:sz w:val="20"/>
        </w:rPr>
        <w:t>As a pharmaceutical company, we are subject to state, federal and foreign laws, including consumer protection laws and regulations, governing the collection, dissemination, use, access to, confidentiality, and security of personal information, including health-related information. For example, in the U.S., numerous federal and state laws and regulations, including data breach notification laws, health information privacy and security laws (e.g., the Health Insurance Portability and Accountability Act (“HIPAA”)), and federal and state consumer protection laws and regulations (e.g., Section 5 of the Federal Trade Commission Act) that govern the collection, dissemination, use, protection and other processing of health-related and other personal information currently or could in the future apply to our operations or the operations of our partners. In addition, certain state and non-U.S. laws, such as the California Consumer Privacy Act (“CCPA”), and the General Data Protection Regulation (“GDPR”), govern the privacy and security of personal information, including health-related information in certain circumstances, some of which are more stringent than HIPAA and many of which differ from each other in significant ways, thus complicating compliance efforts. Failure to comply with data privacy and security laws, where applicable, can result in the imposition of significant civil and/or criminal penalties and private litigation. Privacy and security laws, regulations, and other obligations are constantly evolving, can conflict with each other to make compliance efforts more challenging, and can result in investigations, proceedings, or actions that lead to significant penalties and restrictions on data processing.</w:t>
      </w:r>
    </w:p>
    <w:p>
      <w:pPr>
        <w:pStyle w:val="TextBody"/>
        <w:bidi w:val="0"/>
        <w:spacing w:before="360" w:after="283"/>
        <w:jc w:val="left"/>
        <w:rPr>
          <w:rFonts w:ascii="Arial" w:hAnsi="Arial"/>
          <w:b/>
          <w:i/>
          <w:color w:val="000000"/>
          <w:sz w:val="20"/>
        </w:rPr>
      </w:pPr>
      <w:r>
        <w:rPr>
          <w:rFonts w:ascii="Arial" w:hAnsi="Arial"/>
          <w:b/>
          <w:i/>
          <w:color w:val="000000"/>
          <w:sz w:val="20"/>
        </w:rPr>
        <w:t>Japanese Drug Regulation</w:t>
      </w:r>
    </w:p>
    <w:p>
      <w:pPr>
        <w:pStyle w:val="TextBody"/>
        <w:bidi w:val="0"/>
        <w:spacing w:before="120" w:after="283"/>
        <w:jc w:val="left"/>
        <w:rPr>
          <w:rFonts w:ascii="Arial" w:hAnsi="Arial"/>
          <w:color w:val="000000"/>
          <w:sz w:val="20"/>
        </w:rPr>
      </w:pPr>
      <w:r>
        <w:rPr>
          <w:rFonts w:ascii="Arial" w:hAnsi="Arial"/>
          <w:color w:val="000000"/>
          <w:sz w:val="20"/>
        </w:rPr>
        <w:t>Being a member of the ICH, Japan has pharmaceutical regulations fundamentally similar to those of the U.S. and the EU. Clinical trials of medicinal products in Japan must be conducted in accordance with Japanese regulations based on ICH guidelines governing GCP. If the sponsor of the clinical trial is not established within Japan, it must appoint an entity within the country to act as its caretaker who should be authorized to act on the sponsor’s behalf. The sponsor must take out a clinical trial insurance policy, and, according to the industry agreement, should put in place a common compensation policy for the injuries from the trial. Prior to the commencement of human clinical studies, the sponsor must complete an evaluation of the safety of the investigative product and submit a clinical trial notification and clinical trial protocol to the authorities in advance, upon agreement of the IRB of the participating institutions. When the authorities do not comment on the notification, the sponsor may proceed with the clinical trial. Any substantial changes to the trial protocol or other information submitted must be cleared by the IRB and notified to the authorities. Medicines used in clinical trials must be manufactured in accordance with GMP.</w:t>
      </w:r>
    </w:p>
    <w:p>
      <w:pPr>
        <w:pStyle w:val="TextBody"/>
        <w:bidi w:val="0"/>
        <w:spacing w:before="240" w:after="283"/>
        <w:jc w:val="left"/>
        <w:rPr>
          <w:rFonts w:ascii="Arial" w:hAnsi="Arial"/>
          <w:color w:val="000000"/>
          <w:sz w:val="20"/>
        </w:rPr>
      </w:pPr>
      <w:r>
        <w:rPr>
          <w:rFonts w:ascii="Arial" w:hAnsi="Arial"/>
          <w:color w:val="000000"/>
          <w:sz w:val="20"/>
        </w:rPr>
        <w:t>To market a medicinal product in Japan, we must obtain regulatory approval. To obtain regulatory approval of an investigational medicinal product, we must submit a new drug application. If the product is designed for treating certain “difficult diseases” or those whose patient size is limited, we may be able to obtain designation as an orphan drug product if it demonstrates unique therapeutic value. Separately, the latest amendment to the law introduced separate pathways for (i) truly innovative products with a unique mode of action and (ii) those which will satisfy unmet medical needs.</w:t>
      </w:r>
    </w:p>
    <w:p>
      <w:pPr>
        <w:pStyle w:val="TextBody"/>
        <w:bidi w:val="0"/>
        <w:spacing w:before="240" w:after="283"/>
        <w:jc w:val="left"/>
        <w:rPr>
          <w:rFonts w:ascii="Arial" w:hAnsi="Arial"/>
          <w:color w:val="000000"/>
          <w:sz w:val="20"/>
        </w:rPr>
      </w:pPr>
      <w:r>
        <w:rPr>
          <w:rFonts w:ascii="Arial" w:hAnsi="Arial"/>
          <w:color w:val="000000"/>
          <w:sz w:val="20"/>
        </w:rPr>
        <w:t>The evaluation of new drug applications is based on an assessment of the risk-benefit balance of the product on the basis of scientific criteria concerning its quality, safety, and efficacy. Once the review organization completes its review, the matter is considered by the advisory committee of experts, and the government grants approval upon positive recommendation from the committee.</w:t>
      </w:r>
    </w:p>
    <w:p>
      <w:pPr>
        <w:pStyle w:val="TextBody"/>
        <w:bidi w:val="0"/>
        <w:spacing w:before="240" w:after="283"/>
        <w:jc w:val="left"/>
        <w:rPr>
          <w:rFonts w:ascii="Arial" w:hAnsi="Arial"/>
          <w:color w:val="000000"/>
          <w:sz w:val="20"/>
        </w:rPr>
      </w:pPr>
      <w:r>
        <w:rPr>
          <w:rFonts w:ascii="Arial" w:hAnsi="Arial"/>
          <w:color w:val="000000"/>
          <w:sz w:val="20"/>
        </w:rPr>
        <w:t>The volume and quality of the clinical data are key determinants of the approval decision. Clinical trial data generated overseas is accepted as part of the data package consistent with the ICH recommendation. Typically, a limited dose response clinical trial for Japanese subjects is required to ensure that data are extrapolatable for the Japanese population.</w:t>
      </w:r>
    </w:p>
    <w:p>
      <w:pPr>
        <w:pStyle w:val="TextBody"/>
        <w:bidi w:val="0"/>
        <w:spacing w:before="240" w:after="283"/>
        <w:jc w:val="left"/>
        <w:rPr>
          <w:rFonts w:ascii="Arial" w:hAnsi="Arial"/>
          <w:color w:val="000000"/>
          <w:sz w:val="20"/>
        </w:rPr>
      </w:pPr>
      <w:r>
        <w:rPr>
          <w:rFonts w:ascii="Arial" w:hAnsi="Arial"/>
          <w:color w:val="000000"/>
          <w:sz w:val="20"/>
        </w:rPr>
        <w:t>Separate from the approval requirement, it is also mandatory to possess a distribution license of an appropriate class for the manufacturer to commercially distribute the product in Japan. Non-Japanese companies who possess only the product approval may designate an appropriate license holder in Japan to commercially distribute the product, rather than distributing it on its own. The license is valid for five years.</w:t>
      </w:r>
    </w:p>
    <w:p>
      <w:pPr>
        <w:pStyle w:val="TextBody"/>
        <w:bidi w:val="0"/>
        <w:spacing w:before="360" w:after="283"/>
        <w:jc w:val="left"/>
        <w:rPr>
          <w:rFonts w:ascii="Arial" w:hAnsi="Arial"/>
          <w:b/>
          <w:i/>
          <w:color w:val="000000"/>
          <w:sz w:val="20"/>
        </w:rPr>
      </w:pPr>
      <w:r>
        <w:rPr>
          <w:rFonts w:ascii="Arial" w:hAnsi="Arial"/>
          <w:b/>
          <w:i/>
          <w:color w:val="000000"/>
          <w:sz w:val="20"/>
        </w:rPr>
        <w:t>Employees and Human Capital Resources</w:t>
      </w:r>
    </w:p>
    <w:p>
      <w:pPr>
        <w:pStyle w:val="TextBody"/>
        <w:bidi w:val="0"/>
        <w:spacing w:before="120" w:after="283"/>
        <w:jc w:val="left"/>
        <w:rPr>
          <w:rFonts w:ascii="Arial" w:hAnsi="Arial"/>
          <w:color w:val="000000"/>
          <w:sz w:val="20"/>
        </w:rPr>
      </w:pPr>
      <w:r>
        <w:rPr>
          <w:rFonts w:ascii="Arial" w:hAnsi="Arial"/>
          <w:color w:val="000000"/>
          <w:sz w:val="20"/>
        </w:rPr>
        <w:t>As of March 17, 2026, we had 21 full-time employees, consisting of research, manufacturing, clinical operations, quality, finance, and operational personnel. None of our employees are subject to a collective bargaining agreement. We consider our relationship with our employees to be good.</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Corporate Information</w:t>
      </w:r>
    </w:p>
    <w:p>
      <w:pPr>
        <w:pStyle w:val="TextBody"/>
        <w:bidi w:val="0"/>
        <w:spacing w:before="120" w:after="283"/>
        <w:jc w:val="left"/>
        <w:rPr>
          <w:rFonts w:ascii="Arial" w:hAnsi="Arial"/>
          <w:color w:val="000000"/>
          <w:sz w:val="20"/>
        </w:rPr>
      </w:pPr>
      <w:r>
        <w:rPr>
          <w:rFonts w:ascii="Arial" w:hAnsi="Arial"/>
          <w:color w:val="000000"/>
          <w:sz w:val="20"/>
        </w:rPr>
        <w:t>We incorporated in Delaware on February 24, 2017 and launched operations in November 2019. We completed the initial public offering (the “IPO”) of our common stock in March 2022, and our common stock is listed on the Nasdaq Global Select Market under the symbol “ANTX.” Our principal executive offices are located at 1300 El Camino Real, Suite A, Menlo Park, California, 94025, and our telephone number is (650) 331-9090.</w:t>
      </w:r>
    </w:p>
    <w:p>
      <w:pPr>
        <w:pStyle w:val="TextBody"/>
        <w:bidi w:val="0"/>
        <w:spacing w:before="360" w:after="283"/>
        <w:jc w:val="left"/>
        <w:rPr>
          <w:rFonts w:ascii="Arial" w:hAnsi="Arial"/>
          <w:b/>
          <w:i/>
          <w:color w:val="000000"/>
          <w:sz w:val="20"/>
        </w:rPr>
      </w:pPr>
      <w:r>
        <w:rPr>
          <w:rFonts w:ascii="Arial" w:hAnsi="Arial"/>
          <w:b/>
          <w:i/>
          <w:color w:val="000000"/>
          <w:sz w:val="20"/>
        </w:rPr>
        <w:t>Securities Exchange Act Reports</w:t>
      </w:r>
    </w:p>
    <w:p>
      <w:pPr>
        <w:pStyle w:val="TextBody"/>
        <w:bidi w:val="0"/>
        <w:spacing w:before="120" w:after="283"/>
        <w:jc w:val="left"/>
        <w:rPr>
          <w:rFonts w:ascii="Arial" w:hAnsi="Arial"/>
          <w:color w:val="000000"/>
          <w:sz w:val="20"/>
        </w:rPr>
      </w:pPr>
      <w:r>
        <w:rPr>
          <w:rFonts w:ascii="Arial" w:hAnsi="Arial"/>
          <w:color w:val="000000"/>
          <w:sz w:val="20"/>
        </w:rPr>
        <w:t>The Company maintains a website at the following address: https:// www.an2therapeutics.com/. The information on the Company's website is not incorporated by reference in this Annual Report on Form 10-K.</w:t>
      </w:r>
    </w:p>
    <w:p>
      <w:pPr>
        <w:pStyle w:val="TextBody"/>
        <w:bidi w:val="0"/>
        <w:spacing w:before="240" w:after="283"/>
        <w:jc w:val="left"/>
        <w:rPr>
          <w:rFonts w:ascii="Arial" w:hAnsi="Arial"/>
          <w:color w:val="000000"/>
          <w:sz w:val="20"/>
        </w:rPr>
      </w:pPr>
      <w:r>
        <w:rPr>
          <w:rFonts w:ascii="Arial" w:hAnsi="Arial"/>
          <w:color w:val="000000"/>
          <w:sz w:val="20"/>
        </w:rPr>
        <w:t>We make available on or through our website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these reports. We make this information available on our website free of charge as soon as reasonably practicable after we electronically file the information available with, or furnish it to, the SEC. The SEC also maintains a website at the following address, through which this information is available: http://www.sec.gov.</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4" w:name="item1a"/>
      <w:bookmarkEnd w:id="4"/>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Arial" w:hAnsi="Arial"/>
          <w:i/>
          <w:color w:val="000000"/>
          <w:sz w:val="20"/>
        </w:rPr>
      </w:pPr>
      <w:r>
        <w:rPr>
          <w:rFonts w:ascii="Arial" w:hAnsi="Arial"/>
          <w:i/>
          <w:color w:val="000000"/>
          <w:sz w:val="20"/>
        </w:rPr>
        <w:t>Investing in our common stock involves a high degree of risk. Before you invest in our common stock, you should carefully consider the risks described below together with all of the other information contained in this Annual Report, including our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in these risk factors to our business being harmed will include harm to our business, reputation, financial condition, results of operations, and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pStyle w:val="TextBody"/>
        <w:bidi w:val="0"/>
        <w:spacing w:before="360" w:after="283"/>
        <w:jc w:val="left"/>
        <w:rPr>
          <w:rFonts w:ascii="Arial" w:hAnsi="Arial"/>
          <w:b/>
          <w:color w:val="000000"/>
          <w:sz w:val="20"/>
        </w:rPr>
      </w:pPr>
      <w:r>
        <w:rPr>
          <w:rFonts w:ascii="Arial" w:hAnsi="Arial"/>
          <w:b/>
          <w:color w:val="000000"/>
          <w:sz w:val="20"/>
        </w:rPr>
        <w:t>Risk Factors Summary</w:t>
      </w:r>
    </w:p>
    <w:p>
      <w:pPr>
        <w:pStyle w:val="TextBody"/>
        <w:bidi w:val="0"/>
        <w:spacing w:before="120" w:after="283"/>
        <w:jc w:val="left"/>
        <w:rPr>
          <w:rFonts w:ascii="Arial" w:hAnsi="Arial"/>
          <w:i/>
          <w:color w:val="000000"/>
          <w:sz w:val="20"/>
        </w:rPr>
      </w:pPr>
      <w:r>
        <w:rPr>
          <w:rFonts w:ascii="Arial" w:hAnsi="Arial"/>
          <w:i/>
          <w:color w:val="000000"/>
          <w:sz w:val="20"/>
        </w:rPr>
        <w:t>Investing in shares of our common stock involves a high degree of risk because our business is subject to numerous risks and uncertainties, as more fully described below. The principal factors and uncertainties that make investing in shares of our common stock risky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pipeline that is primarily composed of early-stage and mid-stage programs, and clinical proof of concept has not yet been established for any of our product candidates. Our ability to advance these molecules into clinical development, and successfully progress them through preclinical, clinical, and regulatory milestones, is highly uncertain. The inherent risks of early-stage drug discovery and development, including challenges in translation from preclinical data to human studies, may prevent us from achieving meaningful clinical results, obtaining regulatory approval, or realizing the value of our pipeline assets.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do not obtain regulatory approval for and successfully commercialize any of our product candidates, or if we experience significant delays in doing so, we may never become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experience delays or difficulties in the enrollment of patients in clinical trials, our clinical development activities and receipt of necessary regulatory approvals could be delayed or prevented.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Even if any of our product candidates receive regulatory approval, it may fail to achieve the degree of market acceptance by physicians, patients, third-party payors, and others in the medical community necessary for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face substantial competition, which may result in others discovering, developing or commercializing products before or more successfully than we do.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operate with a small team and our future success depends on our ability to retain key executives and to attract, retain and motivate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rights to develop and commercialize our technology and our other product candidates are subject, in large part, to the terms and conditions of licenses granted to us by others, such as Anacor Pharmaceuticals, Inc. (a wholly owned subsidiary of Pfizer) (“Anacor”). If we fail to comply with our obligations in the agreements under which we in-license or acquire development or commercialization rights to products, technology, or data from third parties, we could lose such rights that are important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realize the expected benefits from our business restructuring and workforce reduction and we may incur additional costs or other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not able to obtain, or if there are delays in obtaining, required regulatory approvals, we will not be able to commercialize our product candidates, and our ability to generate revenue will be materially impaired.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trading price of our common stock has been and may continue to be volatile.</w:t>
      </w:r>
    </w:p>
    <w:p>
      <w:pPr>
        <w:pStyle w:val="TextBody"/>
        <w:bidi w:val="0"/>
        <w:spacing w:before="360" w:after="283"/>
        <w:jc w:val="left"/>
        <w:rPr>
          <w:rFonts w:ascii="Arial" w:hAnsi="Arial"/>
          <w:b/>
          <w:color w:val="000000"/>
          <w:sz w:val="20"/>
        </w:rPr>
      </w:pPr>
      <w:r>
        <w:rPr>
          <w:rFonts w:ascii="Arial" w:hAnsi="Arial"/>
          <w:b/>
          <w:color w:val="000000"/>
          <w:sz w:val="20"/>
        </w:rPr>
        <w:t>Risks Related to Our Financial Position and Capital Needs</w:t>
      </w:r>
    </w:p>
    <w:p>
      <w:pPr>
        <w:pStyle w:val="TextBody"/>
        <w:bidi w:val="0"/>
        <w:spacing w:before="120" w:after="283"/>
        <w:jc w:val="left"/>
        <w:rPr>
          <w:rFonts w:ascii="Arial" w:hAnsi="Arial"/>
          <w:b/>
          <w:i/>
          <w:color w:val="000000"/>
          <w:sz w:val="20"/>
        </w:rPr>
      </w:pPr>
      <w:r>
        <w:rPr>
          <w:rFonts w:ascii="Arial" w:hAnsi="Arial"/>
          <w:b/>
          <w:i/>
          <w:color w:val="000000"/>
          <w:sz w:val="20"/>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pStyle w:val="TextBody"/>
        <w:bidi w:val="0"/>
        <w:spacing w:before="120" w:after="283"/>
        <w:jc w:val="left"/>
        <w:rPr>
          <w:rFonts w:ascii="Times New Roman" w:hAnsi="Times New Roman"/>
          <w:sz w:val="20"/>
        </w:rPr>
      </w:pPr>
      <w:r>
        <w:rPr>
          <w:rFonts w:ascii="Arial" w:hAnsi="Arial"/>
          <w:color w:val="000000"/>
          <w:sz w:val="20"/>
        </w:rPr>
        <w:t>Biopharmaceutical product development is a highly speculative undertaking and involves a substantial degree of risk. We are a clinical-stage biopharmaceutical company with a limited operating history upon which you can evaluate our business and prospects. We currently have no products approved for commercial sale, have not generated any revenue from the sale of products and have incurred losses in each year since our inception in 2017. In addition, we have limited experience as a company and have not yet demonstrated an ability to successfully overcome many of the risks and uncertainties frequently encountered by companies in new and rapidly evolving fields, particularly in the biopharmaceutical industry.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For example, in August 2024, we announced topline results from the Phase 2 part of the EBO-301 Phase 2/3 study evaluating epetraborole on top of OBR in treatment-refractory MAC lung disease. The Phase 2 part of the study met its primary objective of demonstrating the potential validation of a novel PRO tool and a higher PRO-based clinical response rate in the epetraborole + OBR arm (39.5%) vs. placebo + OBR (25.0%; treatment difference 13.9%, p=0.19). However, sputum culture conversion at Month 6, a key secondary endpoint, was similar between treatment arms (13.2% in epetraborole + OBR vs. 10.0% placebo + OBR; treatment difference 3.4%, p=0.64). In May 2025, we announced that the truncated Phase 3 portion of the EBO-301 study did not meet its primary endpoint of demonstrating an improvement on the QOL-B respiratory domain PRO instrument (change from baseline to month 6), though epetraborole was generally well tolerated in the trial. Based on these results, we decided to suspend further development of epetraborole for treatment-refractory MAC lung disease.</w:t>
      </w:r>
    </w:p>
    <w:p>
      <w:pPr>
        <w:pStyle w:val="TextBody"/>
        <w:bidi w:val="0"/>
        <w:spacing w:before="240" w:after="283"/>
        <w:jc w:val="left"/>
        <w:rPr>
          <w:rFonts w:ascii="Arial" w:hAnsi="Arial"/>
          <w:color w:val="000000"/>
          <w:sz w:val="20"/>
        </w:rPr>
      </w:pPr>
      <w:r>
        <w:rPr>
          <w:rFonts w:ascii="Arial" w:hAnsi="Arial"/>
          <w:color w:val="000000"/>
          <w:sz w:val="20"/>
        </w:rPr>
        <w:t>Our net loss was $35.2 million and $51.3 million for the years ended December 31, 2025 and 2024, respectively. As of December 31, 2025, we had an accumulated deficit of $241.0 million. We have funded our operations to date primarily with proceeds from our underwritten offering (the “Underwritten Offering”), our “at-the-market” equity offering program (“ATM Offering”), our IPO, and the sale of our redeemable convertible preferred stock. We have devoted substantially all of our financial resources and efforts to research and development, including preclinical and nonclinical studies, manufacturing, clinical trials, and general and administrative costs associated with our operations. We expect to continue to incur significant expenses and operating losses over the next several years. Our net losses may fluctuate significantly from quarter to quarter and year to year.</w:t>
      </w:r>
    </w:p>
    <w:p>
      <w:pPr>
        <w:pStyle w:val="TextBody"/>
        <w:bidi w:val="0"/>
        <w:spacing w:before="240" w:after="283"/>
        <w:jc w:val="left"/>
        <w:rPr>
          <w:rFonts w:ascii="Arial" w:hAnsi="Arial"/>
          <w:color w:val="000000"/>
          <w:sz w:val="20"/>
        </w:rPr>
      </w:pPr>
      <w:r>
        <w:rPr>
          <w:rFonts w:ascii="Arial" w:hAnsi="Arial"/>
          <w:color w:val="000000"/>
          <w:sz w:val="20"/>
        </w:rPr>
        <w:t>We anticipate that our expenses will increase substantially as we: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our ongoing and planned preclinical, nonclinical, and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initiate preclinical and nonclinical studies and clinical trials for product candidates that we may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to discover and develop future product candidates;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regulatory approvals for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ultimately establish sales, marketing, and distribution infrastructure and scale up external manufacturing capabilities if we move into later-stage clinical trials for, and seek to commercialize, any product candidate for which we may obtain regulatory approval and intend to commercialize on our own;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additional clinical, scientific, chemistry, manufacturing and controls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add operational, financial, management, and compliance information systems and personnel, including personnel to support our product development and any future commercialization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incur legal, accounting, information systems, and other expenses associated with operating as a public company.</w:t>
      </w:r>
    </w:p>
    <w:p>
      <w:pPr>
        <w:pStyle w:val="TextBody"/>
        <w:bidi w:val="0"/>
        <w:spacing w:before="240" w:after="283"/>
        <w:jc w:val="left"/>
        <w:rPr>
          <w:rFonts w:ascii="Arial" w:hAnsi="Arial"/>
          <w:color w:val="000000"/>
          <w:sz w:val="20"/>
        </w:rPr>
      </w:pPr>
      <w:r>
        <w:rPr>
          <w:rFonts w:ascii="Arial" w:hAnsi="Arial"/>
          <w:color w:val="000000"/>
          <w:sz w:val="20"/>
        </w:rPr>
        <w:t>To become and remain profitable, we must succeed in developing and eventually commercializing drugs that generate significant revenue. This will require us to be successful in a range of challenging activities, including completing preclinical and nonclinical studies and clinical trials of our product candidates, obtaining regulatory approval, manufacturing, marketing, and selling any products for which we may obtain regulatory approval, as well as discovering and developing additional product candidates. We are only in the preliminary stages of most of these activities. We may never succeed in these activities and, even if we do, may never generate revenues that are significant enough to achieve profitability.</w:t>
      </w:r>
    </w:p>
    <w:p>
      <w:pPr>
        <w:pStyle w:val="TextBody"/>
        <w:bidi w:val="0"/>
        <w:spacing w:before="240" w:after="283"/>
        <w:jc w:val="left"/>
        <w:rPr>
          <w:rFonts w:ascii="Arial" w:hAnsi="Arial"/>
          <w:color w:val="000000"/>
          <w:sz w:val="20"/>
        </w:rPr>
      </w:pPr>
      <w:r>
        <w:rPr>
          <w:rFonts w:ascii="Arial" w:hAnsi="Arial"/>
          <w:color w:val="000000"/>
          <w:sz w:val="20"/>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further delays in the initiation and completion of our clinical trials or the development of any of our product candidates, our expenses could increase.</w:t>
      </w:r>
    </w:p>
    <w:p>
      <w:pPr>
        <w:pStyle w:val="TextBody"/>
        <w:bidi w:val="0"/>
        <w:spacing w:before="240" w:after="283"/>
        <w:jc w:val="left"/>
        <w:rPr>
          <w:rFonts w:ascii="Arial" w:hAnsi="Arial"/>
          <w:color w:val="000000"/>
          <w:sz w:val="20"/>
        </w:rPr>
      </w:pPr>
      <w:r>
        <w:rPr>
          <w:rFonts w:ascii="Arial" w:hAnsi="Arial"/>
          <w:color w:val="000000"/>
          <w:sz w:val="20"/>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pStyle w:val="TextBody"/>
        <w:bidi w:val="0"/>
        <w:spacing w:before="360" w:after="283"/>
        <w:jc w:val="left"/>
        <w:rPr>
          <w:rFonts w:ascii="Arial" w:hAnsi="Arial"/>
          <w:b/>
          <w:i/>
          <w:color w:val="000000"/>
          <w:sz w:val="20"/>
        </w:rPr>
      </w:pPr>
      <w:r>
        <w:rPr>
          <w:rFonts w:ascii="Arial" w:hAnsi="Arial"/>
          <w:b/>
          <w:i/>
          <w:color w:val="000000"/>
          <w:sz w:val="20"/>
        </w:rPr>
        <w:t>Our limited operating history may make it difficult for you to evaluate the success of our business to date and to assess our future viability.</w:t>
      </w:r>
    </w:p>
    <w:p>
      <w:pPr>
        <w:pStyle w:val="TextBody"/>
        <w:bidi w:val="0"/>
        <w:spacing w:before="120" w:after="283"/>
        <w:jc w:val="left"/>
        <w:rPr>
          <w:rFonts w:ascii="Arial" w:hAnsi="Arial"/>
          <w:color w:val="000000"/>
          <w:sz w:val="20"/>
        </w:rPr>
      </w:pPr>
      <w:r>
        <w:rPr>
          <w:rFonts w:ascii="Arial" w:hAnsi="Arial"/>
          <w:color w:val="000000"/>
          <w:sz w:val="20"/>
        </w:rPr>
        <w:t>We commenced active operations in November 2019, and our operations to date have been largely focused on raising capital, developing epetraborole and other product candidates, broadening our expertise in the development of epetraborole, and other product candidates, undertaking preclinical and nonclinical studies, manufacturing clinical trial material, preparing for and initiating clinical trials, and general and administrative operations. As a company, we have not yet demonstrated an ability to successfully complete pivotal clinical trials, obtain regulatory approvals, manufacture a commercial product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pStyle w:val="TextBody"/>
        <w:bidi w:val="0"/>
        <w:spacing w:before="240" w:after="283"/>
        <w:jc w:val="left"/>
        <w:rPr>
          <w:rFonts w:ascii="Arial" w:hAnsi="Arial"/>
          <w:color w:val="000000"/>
          <w:sz w:val="20"/>
        </w:rPr>
      </w:pPr>
      <w:r>
        <w:rPr>
          <w:rFonts w:ascii="Arial" w:hAnsi="Arial"/>
          <w:color w:val="000000"/>
          <w:sz w:val="20"/>
        </w:rPr>
        <w:t>We have and may encounter unforeseen expenses, difficulties, complications, delays and other known or unknown factors in achieving our business objectives. For example, in May 2025, we decided to discontinue our development of epetraborole for treatment-refractory MAC lung disease following the failure of the truncated Phase 3 portion of the EBO-301 study to meet its primary endpoint.</w:t>
      </w:r>
    </w:p>
    <w:p>
      <w:pPr>
        <w:pStyle w:val="TextBody"/>
        <w:bidi w:val="0"/>
        <w:spacing w:before="240" w:after="283"/>
        <w:jc w:val="left"/>
        <w:rPr>
          <w:rFonts w:ascii="Arial" w:hAnsi="Arial"/>
          <w:color w:val="000000"/>
          <w:sz w:val="20"/>
        </w:rPr>
      </w:pPr>
      <w:r>
        <w:rPr>
          <w:rFonts w:ascii="Arial" w:hAnsi="Arial"/>
          <w:color w:val="000000"/>
          <w:sz w:val="20"/>
        </w:rPr>
        <w:t>In addition, we will need to transition successfully at some point from a company with a research and development focus to a company capable of supporting commercial activities. We may not be successful in such a transition.</w:t>
      </w:r>
    </w:p>
    <w:p>
      <w:pPr>
        <w:pStyle w:val="TextBody"/>
        <w:bidi w:val="0"/>
        <w:spacing w:before="240" w:after="283"/>
        <w:jc w:val="left"/>
        <w:rPr>
          <w:rFonts w:ascii="Arial" w:hAnsi="Arial"/>
          <w:color w:val="000000"/>
          <w:sz w:val="20"/>
        </w:rPr>
      </w:pPr>
      <w:r>
        <w:rPr>
          <w:rFonts w:ascii="Arial" w:hAnsi="Arial"/>
          <w:color w:val="000000"/>
          <w:sz w:val="20"/>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pStyle w:val="TextBody"/>
        <w:bidi w:val="0"/>
        <w:spacing w:before="120" w:after="283"/>
        <w:jc w:val="left"/>
        <w:rPr>
          <w:rFonts w:ascii="Arial" w:hAnsi="Arial"/>
          <w:color w:val="000000"/>
          <w:sz w:val="20"/>
        </w:rPr>
      </w:pPr>
      <w:r>
        <w:rPr>
          <w:rFonts w:ascii="Arial" w:hAnsi="Arial"/>
          <w:color w:val="000000"/>
          <w:sz w:val="20"/>
        </w:rPr>
        <w:t>We believe that our existing cash, cash equivalents, and investments will enable us to fund our operating expenses and capital expenditure requirements for at least the next 12 months. However, in addition to the $40.0 million financing completed in March 2026, we will need to obtain substantial additional funding in connection with our continuing operations and planned activities.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progress, and results of our ongoing and future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timing and outcome of regulatory review of any of our product candidates that may complete or be in the process of completing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progress, results and costs of identifying, obtaining, and conducting preclinical development, laboratory testing and clinical trials of future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and timetable of manufacturing processes for development, clinical trials and potential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and development requirements of future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amount of funding that we receive under our non-dilutive funding opportunities, including government awards that we may apply for;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future commercialization activities, including product manufacturing, marketing, sales, and distribution, for any product candidates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pricing and revenue, if any, received from commercial sales of any product candidates that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operating as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we acquire or in-license other product candidates and technologies.</w:t>
      </w:r>
    </w:p>
    <w:p>
      <w:pPr>
        <w:pStyle w:val="TextBody"/>
        <w:bidi w:val="0"/>
        <w:spacing w:before="240" w:after="283"/>
        <w:jc w:val="left"/>
        <w:rPr>
          <w:rFonts w:ascii="Arial" w:hAnsi="Arial"/>
          <w:color w:val="000000"/>
          <w:sz w:val="20"/>
        </w:rPr>
      </w:pPr>
      <w:r>
        <w:rPr>
          <w:rFonts w:ascii="Arial" w:hAnsi="Arial"/>
          <w:color w:val="000000"/>
          <w:sz w:val="20"/>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any future commercialization efforts.</w:t>
      </w:r>
    </w:p>
    <w:p>
      <w:pPr>
        <w:pStyle w:val="TextBody"/>
        <w:bidi w:val="0"/>
        <w:spacing w:before="360" w:after="283"/>
        <w:jc w:val="left"/>
        <w:rPr>
          <w:rFonts w:ascii="Arial" w:hAnsi="Arial"/>
          <w:b/>
          <w:i/>
          <w:color w:val="000000"/>
          <w:sz w:val="20"/>
        </w:rPr>
      </w:pPr>
      <w:r>
        <w:rPr>
          <w:rFonts w:ascii="Arial" w:hAnsi="Arial"/>
          <w:b/>
          <w:i/>
          <w:color w:val="000000"/>
          <w:sz w:val="20"/>
        </w:rPr>
        <w:t>Raising additional capital may cause dilution to our stockholders, restrict our operations or require us to relinquish rights to our technologies or to any of our product candidates.</w:t>
      </w:r>
    </w:p>
    <w:p>
      <w:pPr>
        <w:pStyle w:val="TextBody"/>
        <w:bidi w:val="0"/>
        <w:spacing w:before="120" w:after="283"/>
        <w:jc w:val="left"/>
        <w:rPr>
          <w:rFonts w:ascii="Arial" w:hAnsi="Arial"/>
          <w:color w:val="000000"/>
          <w:sz w:val="20"/>
        </w:rPr>
      </w:pPr>
      <w:r>
        <w:rPr>
          <w:rFonts w:ascii="Arial" w:hAnsi="Arial"/>
          <w:color w:val="000000"/>
          <w:sz w:val="20"/>
        </w:rPr>
        <w:t>Until such time, if ever, as we can generate substantial product revenue, we expect to finance our cash needs through a combination of equity offerings and debt financings.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If we raise additional funds through collaborations, strategic alliances or marketing, distribution or licensing arrangements with third parties, we may be required to relinquish valuable rights to our technologies, future revenue streams, research programs or any product candidates, or to grant licenses on terms that may not be favorable to us. If we are unable to raise additional funds through equity or debt financings when needed, we may be required to delay, limit, reduce or terminate our development of our product candidates or future commercialization efforts or grant rights to a third party to develop and market product candidates that we would otherwise prefer to develop and market ourselves.</w:t>
      </w:r>
    </w:p>
    <w:p>
      <w:pPr>
        <w:pStyle w:val="TextBody"/>
        <w:bidi w:val="0"/>
        <w:spacing w:before="360" w:after="283"/>
        <w:jc w:val="left"/>
        <w:rPr>
          <w:rFonts w:ascii="Arial" w:hAnsi="Arial"/>
          <w:b/>
          <w:i/>
          <w:color w:val="000000"/>
          <w:sz w:val="20"/>
        </w:rPr>
      </w:pPr>
      <w:r>
        <w:rPr>
          <w:rFonts w:ascii="Arial" w:hAnsi="Arial"/>
          <w:b/>
          <w:i/>
          <w:color w:val="000000"/>
          <w:sz w:val="20"/>
        </w:rPr>
        <w:t>We have a contractual commitment to develop epetraborole for global health initiatives, which may affect our ability to develop and commercialize epetraborole in certain countries and may impact our intellectual property rights. Our strategy for our global health initiatives depends on receiving non-dilutive funding, and we as a company have limited experience with this strategy.</w:t>
      </w:r>
    </w:p>
    <w:p>
      <w:pPr>
        <w:pStyle w:val="TextBody"/>
        <w:bidi w:val="0"/>
        <w:spacing w:before="120" w:after="283"/>
        <w:jc w:val="left"/>
        <w:rPr>
          <w:rFonts w:ascii="Arial" w:hAnsi="Arial"/>
          <w:color w:val="000000"/>
          <w:sz w:val="20"/>
        </w:rPr>
      </w:pPr>
      <w:r>
        <w:rPr>
          <w:rFonts w:ascii="Arial" w:hAnsi="Arial"/>
          <w:color w:val="000000"/>
          <w:sz w:val="20"/>
        </w:rPr>
        <w:t>Under our Global Health Agreement with Adjuvant, we have a contractual commitment to use reasonably diligent endeavors to develop epetraborole and any other mutually agreed-upon products for melioidosis, tuberculosis, and other indications for at-risk developing countries at accessible pricing and at reasonable volume, including selling epetraborole and any other mutually agreed-upon products in certain target countries at or slightly above the cost of sales, so long as we do not sell products at a loss. Under the Global Health Agreement, we made certain commitments to develop epetraborole and any other mutually agreed-upon products and to pursue regulatory strategies and product registrations. If we do not maintain compliance with these and other program-related global access commitments under the Global Health Agreement, Adjuvant may be entitled to repayment for any portion of its investment that is not used for the purposes outlined in the Global Health Agreement. Our obligations under the Global Health Agreement may affect our ability to commercialize epetraborole in certain countries.</w:t>
      </w:r>
    </w:p>
    <w:p>
      <w:pPr>
        <w:pStyle w:val="TextBody"/>
        <w:bidi w:val="0"/>
        <w:spacing w:before="240" w:after="283"/>
        <w:jc w:val="left"/>
        <w:rPr>
          <w:rFonts w:ascii="Arial" w:hAnsi="Arial"/>
          <w:color w:val="000000"/>
          <w:sz w:val="20"/>
        </w:rPr>
      </w:pPr>
      <w:r>
        <w:rPr>
          <w:rFonts w:ascii="Arial" w:hAnsi="Arial"/>
          <w:color w:val="000000"/>
          <w:sz w:val="20"/>
        </w:rPr>
        <w:t>Our strategy for developing epetraborole for global health initiatives depends on receiving non-dilutive funding from sources such as public and private agencies and foundations. We, as a company, have limited experience with non-dilutive funding, and we may not be able to obtain additional non-dilutive funding to support our needs to fund our global health initiatives. For example, we cannot be certain that there will be additional awards, contracts, grants or funding sources or solicitations available to support our development efforts, that our other grant applications and funding proposals will be successful, or that we will be able to continue satisfying the award criteria of the NIAID contract award or any grants or funding awarded to us. If we fail to receive additional non-dilutive funding, progress in our global health initiatives may be impaired or delayed.</w:t>
      </w:r>
    </w:p>
    <w:p>
      <w:pPr>
        <w:pStyle w:val="TextBody"/>
        <w:bidi w:val="0"/>
        <w:spacing w:before="360" w:after="283"/>
        <w:jc w:val="left"/>
        <w:rPr>
          <w:rFonts w:ascii="Arial" w:hAnsi="Arial"/>
          <w:b/>
          <w:color w:val="000000"/>
          <w:sz w:val="20"/>
        </w:rPr>
      </w:pPr>
      <w:r>
        <w:rPr>
          <w:rFonts w:ascii="Arial" w:hAnsi="Arial"/>
          <w:b/>
          <w:color w:val="000000"/>
          <w:sz w:val="20"/>
        </w:rPr>
        <w:t>Risks Related to the Development of Our Product Candidates</w:t>
      </w:r>
    </w:p>
    <w:p>
      <w:pPr>
        <w:pStyle w:val="TextBody"/>
        <w:bidi w:val="0"/>
        <w:spacing w:before="120" w:after="283"/>
        <w:jc w:val="left"/>
        <w:rPr>
          <w:rFonts w:ascii="Arial" w:hAnsi="Arial"/>
          <w:b/>
          <w:i/>
          <w:color w:val="000000"/>
          <w:sz w:val="20"/>
        </w:rPr>
      </w:pPr>
      <w:r>
        <w:rPr>
          <w:rFonts w:ascii="Arial" w:hAnsi="Arial"/>
          <w:b/>
          <w:i/>
          <w:color w:val="000000"/>
          <w:sz w:val="20"/>
        </w:rPr>
        <w:t>If we do not obtain regulatory approval for and successfully commercialize any of our product candidates, or if we experience significant delays in doing so, we may never become profitable.</w:t>
      </w:r>
    </w:p>
    <w:p>
      <w:pPr>
        <w:pStyle w:val="TextBody"/>
        <w:bidi w:val="0"/>
        <w:spacing w:before="120" w:after="283"/>
        <w:jc w:val="left"/>
        <w:rPr>
          <w:rFonts w:ascii="Times New Roman" w:hAnsi="Times New Roman"/>
          <w:sz w:val="20"/>
        </w:rPr>
      </w:pPr>
      <w:r>
        <w:rPr>
          <w:rFonts w:ascii="Arial" w:hAnsi="Arial"/>
          <w:color w:val="000000"/>
          <w:sz w:val="20"/>
        </w:rPr>
        <w:t>We currently have no products approved for sale and have historically invested a significant portion of our efforts and financial resources on the development of our initial product candidate, epetraborole, as a treatment for treatment-refractory MAC lung disease. Although we have discontinued our development efforts with respect to epetraborole in the treatment-refractory MAC population, our business remains heavily dependent on the successful development, regulatory approval, and, if approved, commercialization of our product candidates. We cannot be certain that any product candidate will advance through each of the various stages of drug development and receive regulatory approval or will be successfully commercialized even if it receives regulatory approval. The research, development, manufacturing, safety, efficacy, labeling, approval, sale, marketing and distribution of our product candidates are, and will remain, subject to comprehensive regulation by the FDA and other comparable foreign regulatory authorities.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Before obtaining regulatory approvals for the commercial sale of any product candidates, we must demonstrate through preclinical and nonclinical studies and clinical trials that the product candidate is safe and effective for use in each target indication. Drug development is a long, expensive and uncertain process, and delay or failure can occur at any stage during our nonclinical studies, clinical trials or drug product manufacturing process. These delays or failures could be caused by a variety of factors, including but not limited to, toxicity, safety, tolerability, efficacy, problems with clinical trial enrollment, drug product availability, stability, and impurity issues related to drug product manufacturing. For example, in May 2025, we decided to discontinue our development of epetraborole for treatment-refractory MAC lung disease following the failure of the truncated Phase 3 portion of the EBO-301 study to meet its primary endpoint.</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Failure to obtain regulatory approval for our product candidates in the U.S. or other territories will prevent us from commercializing and marketing such product candidates. The success of our product candidates will depend on several additional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successful and timely completion of preclinical and nonclinical studies and requisite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performing preclinical studies and clinical trials in compliance with the FDA or any comparable regulatory authority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receipt of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to manufacture sufficient quantity of product for development, clinical trials or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regulatory approvals with labeling for sufficiently broad patient populations and indications, without unduly restrictive distribution limitations or safety warnings, such as black box warnings or a Risk Evaluation and Mitigation Strategies (“REMS”)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and maintaining patent, trademark and trade secret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making and retaining sufficient and reliable arrangements with third parties for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launching commercial sales of products, if and when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acceptance of our therapies, if and when approved, by physicians, patients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competing effectively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and maintaining healthcare coverage and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protecting and expanding our portfolio of intellectual property rights, including patents, trademarks,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avoiding and defending against third-party infringement, misappropriation or other violation of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a continued acceptable safety and tolerability profile of our drugs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allowance to proceed with clinical trials under future INDs, or under comparable applications submitted outside the U.S.</w:t>
      </w:r>
    </w:p>
    <w:p>
      <w:pPr>
        <w:pStyle w:val="TextBody"/>
        <w:bidi w:val="0"/>
        <w:spacing w:before="240" w:after="283"/>
        <w:jc w:val="left"/>
        <w:rPr>
          <w:rFonts w:ascii="Arial" w:hAnsi="Arial"/>
          <w:color w:val="000000"/>
          <w:sz w:val="20"/>
        </w:rPr>
      </w:pPr>
      <w:r>
        <w:rPr>
          <w:rFonts w:ascii="Arial" w:hAnsi="Arial"/>
          <w:color w:val="000000"/>
          <w:sz w:val="20"/>
        </w:rPr>
        <w:t>If we do not achieve these factors in a timely manner or at all, we could experience significant delays or an inability to successfully commercialize our product candidates, which would harm our business.</w:t>
      </w:r>
    </w:p>
    <w:p>
      <w:pPr>
        <w:pStyle w:val="TextBody"/>
        <w:bidi w:val="0"/>
        <w:spacing w:before="360" w:after="283"/>
        <w:jc w:val="left"/>
        <w:rPr>
          <w:rFonts w:ascii="Arial" w:hAnsi="Arial"/>
          <w:b/>
          <w:i/>
          <w:color w:val="000000"/>
          <w:sz w:val="20"/>
        </w:rPr>
      </w:pPr>
      <w:r>
        <w:rPr>
          <w:rFonts w:ascii="Arial" w:hAnsi="Arial"/>
          <w:b/>
          <w:i/>
          <w:color w:val="000000"/>
          <w:sz w:val="20"/>
        </w:rPr>
        <w:t>We may not be successful in our efforts to build a pipeline of product candidates.</w:t>
      </w:r>
    </w:p>
    <w:p>
      <w:pPr>
        <w:pStyle w:val="TextBody"/>
        <w:bidi w:val="0"/>
        <w:spacing w:before="120" w:after="283"/>
        <w:jc w:val="left"/>
        <w:rPr>
          <w:rFonts w:ascii="Times New Roman" w:hAnsi="Times New Roman"/>
          <w:sz w:val="20"/>
        </w:rPr>
      </w:pPr>
      <w:r>
        <w:rPr>
          <w:rFonts w:ascii="Arial" w:hAnsi="Arial"/>
          <w:color w:val="000000"/>
          <w:sz w:val="20"/>
        </w:rPr>
        <w:t xml:space="preserve">A key element of our strategy is to develop our AN2 drug discovery platform, build a pipeline of product candidates and progress these product candidates through clinical development for the treatment of PV,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lung disease, Chagas disease, melioidosis, tuberculosis, other infectious diseases, and in oncology. Our pipeline is primarily composed of early-stage and mid-stage programs, and clinical proof of concept has not yet been established for any of our product candidates. We may not be able to develop product candidates that are safe and effective for any proposed use. Even if we are successful in continuing to build our pipeline, the potential product candidates that we identify may not be suitable for clinical development, as a result of significant safety, tolerability and other negative characteristics or limitations that may prevent successful regulatory approval or limit market acceptance or reimbursements from third-party payors. If we do not successfully develop and commercialize any of our product candidates, we will not be able to obtain product revenue in future periods, which could significantly harm our financial position and adversely affect the trading price of our common stock.</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There can be no assurance that any clinical trials we conduct will be sufficient for product approval.</w:t>
      </w:r>
    </w:p>
    <w:p>
      <w:pPr>
        <w:pStyle w:val="TextBody"/>
        <w:bidi w:val="0"/>
        <w:spacing w:before="120" w:after="283"/>
        <w:jc w:val="left"/>
        <w:rPr>
          <w:rFonts w:ascii="Arial" w:hAnsi="Arial"/>
          <w:color w:val="000000"/>
          <w:sz w:val="20"/>
        </w:rPr>
      </w:pPr>
      <w:r>
        <w:rPr>
          <w:rFonts w:ascii="Arial" w:hAnsi="Arial"/>
          <w:color w:val="000000"/>
          <w:sz w:val="20"/>
        </w:rPr>
        <w:t>Prior to marketing any product candidate in the U.S., we must demonstrate that such product candidate is safe and provide substantial evidence of effectiveness for its intended uses. The FDA has generally interpreted the “substantial evidence” requirements as requiring sponsors to conduct two adequate and well-controlled Phase 3 clinical trials. However, in some circumstances, the FDA may conclude that substantial evidence of efficacy has been demonstrated through the conduct of one adequate and well-controlled clinical trial, plus confirmatory evidence (whether obtained prior to or after such trial). Regardless of the clinical development plans we decide to pursue with respect to our product candidates, there can be no assurance that the FDA will not require additional clinical trials for approval of such product candidates beyond the trials that we currently plan to conduct, including in other geographies, even if we successfully complete the trial and believe the results are sufficiently positive.</w:t>
      </w:r>
    </w:p>
    <w:p>
      <w:pPr>
        <w:pStyle w:val="TextBody"/>
        <w:bidi w:val="0"/>
        <w:spacing w:before="240" w:after="283"/>
        <w:jc w:val="left"/>
        <w:rPr>
          <w:rFonts w:ascii="Arial" w:hAnsi="Arial"/>
          <w:color w:val="000000"/>
          <w:sz w:val="20"/>
        </w:rPr>
      </w:pPr>
      <w:r>
        <w:rPr>
          <w:rFonts w:ascii="Arial" w:hAnsi="Arial"/>
          <w:color w:val="000000"/>
          <w:sz w:val="20"/>
        </w:rPr>
        <w:t>As a company, we have limited experience designing and conducting clinical trials in the U.S. or other geographies and may be unable to design and execute a clinical trial to support regulatory approval. In addition, the design and results of our clinical trials may not be sufficient to support approval, since factors such as an inappropriate dosage or flaws in the design of a clinical trial may not become apparent until the clinical trial is in progress or data are available.</w:t>
      </w:r>
    </w:p>
    <w:p>
      <w:pPr>
        <w:pStyle w:val="TextBody"/>
        <w:bidi w:val="0"/>
        <w:spacing w:before="240" w:after="283"/>
        <w:jc w:val="left"/>
        <w:rPr>
          <w:rFonts w:ascii="Arial" w:hAnsi="Arial"/>
          <w:color w:val="000000"/>
          <w:sz w:val="20"/>
        </w:rPr>
      </w:pPr>
      <w:r>
        <w:rPr>
          <w:rFonts w:ascii="Arial" w:hAnsi="Arial"/>
          <w:color w:val="000000"/>
          <w:sz w:val="20"/>
        </w:rPr>
        <w:t>There is a high failure rate for product candidates proceeding through clinical trials. Many companies in the pharmaceutical and biotechnology industries have suffered significant setbacks in later-stage clinical trials even after achieving promising results in preclinical testing and earlier-stage clinical trials. For example, in May 2025, we announced that the truncated Phase 3 portion of the EBO-301 study did not meet its primary endpoint of demonstrating an improvement on the QOL-B respiratory domain PRO instrument (change from baseline to month 6), though epetraborole was generally well tolerated in the trial. Based on these results, we decided to suspend further development of epetraborole for treatment-refractory MAC lung disease. There is no guarantee that we will not experience similar setbacks with respect to our other product candidates.</w:t>
      </w:r>
    </w:p>
    <w:p>
      <w:pPr>
        <w:pStyle w:val="TextBody"/>
        <w:bidi w:val="0"/>
        <w:spacing w:before="360" w:after="283"/>
        <w:jc w:val="left"/>
        <w:rPr>
          <w:rFonts w:ascii="Arial" w:hAnsi="Arial"/>
          <w:b/>
          <w:i/>
          <w:color w:val="000000"/>
          <w:sz w:val="20"/>
        </w:rPr>
      </w:pPr>
      <w:r>
        <w:rPr>
          <w:rFonts w:ascii="Arial" w:hAnsi="Arial"/>
          <w:b/>
          <w:i/>
          <w:color w:val="000000"/>
          <w:sz w:val="20"/>
        </w:rPr>
        <w:t>If clinical trials of our product candidates fail to demonstrate safety and/or efficacy of such product candidates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Arial" w:hAnsi="Arial"/>
          <w:color w:val="000000"/>
          <w:sz w:val="20"/>
        </w:rPr>
      </w:pPr>
      <w:r>
        <w:rPr>
          <w:rFonts w:ascii="Arial" w:hAnsi="Arial"/>
          <w:color w:val="000000"/>
          <w:sz w:val="20"/>
        </w:rPr>
        <w:t>We may not commercialize, market, promote, or sell any product candidate without obtaining regulatory approval from the FDA or other comparable regulatory authorities, and we may never receive such approvals. It is impossible to predict when or if any of our product candidates will be deemed effective or safe in humans and receive regulatory approval. Before obtaining regulatory approval from regulatory authorities for the sale of any of our product candidates, we must complete preclinical and nonclinical development and conduct extensive clinical trials to demonstrate the safety and efficacy of such product candidates in humans. Clinical testing is expensive, difficult to design and implement, can take many years to complete, and is uncertain as to outcome. A failure of one or more clinical trials can occur at any stage of testing. Moreover, preclinical, nonclinical and clinical data are often susceptible to varying interpretations and analyses, and many companies that have believed their product candidates performed satisfactorily in preclinical and nonclinical studies and clinical trials have nonetheless failed to obtain regulatory approval of their products. In addition,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w:t>
      </w:r>
    </w:p>
    <w:p>
      <w:pPr>
        <w:pStyle w:val="TextBody"/>
        <w:bidi w:val="0"/>
        <w:spacing w:before="240" w:after="283"/>
        <w:jc w:val="left"/>
        <w:rPr>
          <w:rFonts w:ascii="Arial" w:hAnsi="Arial"/>
          <w:color w:val="000000"/>
          <w:sz w:val="20"/>
        </w:rPr>
      </w:pPr>
      <w:r>
        <w:rPr>
          <w:rFonts w:ascii="Arial" w:hAnsi="Arial"/>
          <w:color w:val="000000"/>
          <w:sz w:val="20"/>
        </w:rPr>
        <w:t>We may experience numerous unforeseen events prior to, during, or as a result of, clinical trials that could delay or prevent our ability to receive regulatory approval or commercialize any of our product candidates,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generate sufficient preclinical, toxicology or other in vivo or in vitro data to support the initiation or continuation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comparable regulatory authorities may disagree as to the design or implementation of our clinical trials, including the selection of primary and secondary endpoints, which may result in changes to our planned clinical trial design and potential target clinical outcomes, or may result in failure to obtain approval altogether;</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regulators, IRBs, or ethics committees may not allow or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reach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experience 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make changes or amendments to a trial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select endpoints that require prolonged periods of clinical observation or require extended analysis of the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trial sites may deviate from the trial protocol or drop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trials for our product candidates may produce negative or inconclusive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decide, or regulators may require us, to conduct additional 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enrollment in clinical trials may be slower than we anticipate, participants may drop out of these clinical trials at a higher rate than we anticipate, we may fail to recruit suitable patients to participate in a trial, or the number of patients required for clinical trials of our product candidates may be larger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lack adequate funding to complete a clinical trial, or the cost of clinical trials of our product candidates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comparable regulatory authorities may fail to approve the manufacturing processes or facilities of third-party manufacturers with whom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supply or quality of our product candidates or other materials necessary to conduct clinical trials of such product candidates may be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serious adverse events may occur in trials of the same class of agents conducted by other companies that could be considered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product candidates may have undesirable side effects or other unexpected characteristics, causing us or our investigators, regulators or IRBs to suspend or terminate the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approval policies or regulations of the FDA or other comparable regulatory authorities may significantly change in a manner rendering our clinical data insufficient for approval.</w:t>
      </w:r>
    </w:p>
    <w:p>
      <w:pPr>
        <w:pStyle w:val="TextBody"/>
        <w:bidi w:val="0"/>
        <w:spacing w:before="240" w:after="283"/>
        <w:jc w:val="left"/>
        <w:rPr>
          <w:rFonts w:ascii="Arial" w:hAnsi="Arial"/>
          <w:color w:val="000000"/>
          <w:sz w:val="20"/>
        </w:rPr>
      </w:pPr>
      <w:r>
        <w:rPr>
          <w:rFonts w:ascii="Arial" w:hAnsi="Arial"/>
          <w:color w:val="000000"/>
          <w:sz w:val="20"/>
        </w:rPr>
        <w:t>If we are required to conduct additional clinical trials or other testing of any of our product candidates beyond the studies that we currently contemplate, if we are unable to successfully complete clinical trials or other testing of our product candidates, or if the results of these trials or tests are not positive or are only modestly positive or if there are safety concerns observed in these trials or tests, we may: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delayed in obtaining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not obtain regulatory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 approval with labeling that includes significant use or distribution restrictions or safety warnings, such as black box warnings or a REMS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subject to additional post-marketing testing requirements; or</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be required to remove the product from the market after obtaining regulatory approval.</w:t>
      </w:r>
    </w:p>
    <w:p>
      <w:pPr>
        <w:pStyle w:val="TextBody"/>
        <w:bidi w:val="0"/>
        <w:spacing w:before="240" w:after="283"/>
        <w:jc w:val="left"/>
        <w:rPr>
          <w:rFonts w:ascii="Arial" w:hAnsi="Arial"/>
          <w:color w:val="000000"/>
          <w:sz w:val="20"/>
        </w:rPr>
      </w:pPr>
      <w:r>
        <w:rPr>
          <w:rFonts w:ascii="Arial" w:hAnsi="Arial"/>
          <w:color w:val="000000"/>
          <w:sz w:val="20"/>
        </w:rPr>
        <w:t>We do not know whether any of our preclinical and nonclinical studies or clinical trials will begin as planned, will need to be restructured, or will be completed on schedule or at all. Significant preclinical and nonclinical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In addition, many of the factors that cause, or lead to, delays of clinical trials may ultimately lead to the denial of regulatory approval of our product candidates.</w:t>
      </w:r>
    </w:p>
    <w:p>
      <w:pPr>
        <w:pStyle w:val="TextBody"/>
        <w:bidi w:val="0"/>
        <w:spacing w:before="360" w:after="283"/>
        <w:jc w:val="left"/>
        <w:rPr>
          <w:rFonts w:ascii="Arial" w:hAnsi="Arial"/>
          <w:b/>
          <w:i/>
          <w:color w:val="000000"/>
          <w:sz w:val="20"/>
        </w:rPr>
      </w:pPr>
      <w:r>
        <w:rPr>
          <w:rFonts w:ascii="Arial" w:hAnsi="Arial"/>
          <w:b/>
          <w:i/>
          <w:color w:val="000000"/>
          <w:sz w:val="20"/>
        </w:rPr>
        <w:t>We cannot predict whether or when bacteria may develop resistance to any of our antibacterial product candidates, which could affect the revenue potential of our product candidates.</w:t>
      </w:r>
    </w:p>
    <w:p>
      <w:pPr>
        <w:pStyle w:val="TextBody"/>
        <w:bidi w:val="0"/>
        <w:spacing w:before="120" w:after="283"/>
        <w:jc w:val="left"/>
        <w:rPr>
          <w:rFonts w:ascii="Arial" w:hAnsi="Arial"/>
          <w:color w:val="000000"/>
          <w:sz w:val="20"/>
        </w:rPr>
      </w:pPr>
      <w:r>
        <w:rPr>
          <w:rFonts w:ascii="Arial" w:hAnsi="Arial"/>
          <w:color w:val="000000"/>
          <w:sz w:val="20"/>
        </w:rPr>
        <w:t>We are developing certain of our product candidates to treat bacterial infections. The bacteria responsible for these infections evolve quickly and may develop antibiotic resistance caused by spontaneous mutations in the genes encoding the cellular target of the antibiotic. In some cases, resistance mechanisms can be transferred within and between bacterial species. Prescription or use of our product candidates, if approved, could depend on the type and rate of resistance of the targeted bacteria. Although we do intend to analyze the potential of emergence of resistance to our product candidates and only select those that we believe have low resistance potential, we cannot predict whether or when bacterial resistance may develop. Such bacterial resistances, if and when identified, could adversely affect the conduct or results of our clinical trials, and could adversely affect the market potential of the product candidate, if approved. The growth of drug-resistant infections in community settings or in countries with poor public health infrastructures, or the potential use of any product candidates outside of controlled hospital settings, could contribute to the rise of resistance.</w:t>
      </w:r>
    </w:p>
    <w:p>
      <w:pPr>
        <w:pStyle w:val="TextBody"/>
        <w:bidi w:val="0"/>
        <w:spacing w:before="360" w:after="283"/>
        <w:jc w:val="left"/>
        <w:rPr>
          <w:rFonts w:ascii="Arial" w:hAnsi="Arial"/>
          <w:b/>
          <w:i/>
          <w:color w:val="000000"/>
          <w:sz w:val="20"/>
        </w:rPr>
      </w:pPr>
      <w:r>
        <w:rPr>
          <w:rFonts w:ascii="Arial" w:hAnsi="Arial"/>
          <w:b/>
          <w:i/>
          <w:color w:val="000000"/>
          <w:sz w:val="20"/>
        </w:rPr>
        <w:t>Our product candidates may cause undesirable side effects or have other properties that could delay or prevent their regulatory approval, limit the commercial potential, or result in significant negative consequences following any potential regulatory approval.</w:t>
      </w:r>
    </w:p>
    <w:p>
      <w:pPr>
        <w:pStyle w:val="TextBody"/>
        <w:bidi w:val="0"/>
        <w:spacing w:before="120" w:after="283"/>
        <w:jc w:val="left"/>
        <w:rPr>
          <w:rFonts w:ascii="Arial" w:hAnsi="Arial"/>
          <w:color w:val="000000"/>
          <w:sz w:val="20"/>
        </w:rPr>
      </w:pPr>
      <w:r>
        <w:rPr>
          <w:rFonts w:ascii="Arial" w:hAnsi="Arial"/>
          <w:color w:val="000000"/>
          <w:sz w:val="20"/>
        </w:rPr>
        <w:t>Results of our clinical trials could reveal a high and unacceptable severity and prevalence of side effects or unexpected characteristics. Undesirable side effects caused by our product candidates, whether used alone on in combination with other therapies, could cause us or regulatory authorities to interrupt, delay or halt clinical trials or the delay or denial of regulatory approval by the FDA or comparable foreign regulatory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results of operations and growth prospects significantly.</w:t>
      </w:r>
    </w:p>
    <w:p>
      <w:pPr>
        <w:pStyle w:val="TextBody"/>
        <w:bidi w:val="0"/>
        <w:spacing w:before="240" w:after="283"/>
        <w:jc w:val="left"/>
        <w:rPr>
          <w:rFonts w:ascii="Arial" w:hAnsi="Arial"/>
          <w:color w:val="000000"/>
          <w:sz w:val="20"/>
        </w:rPr>
      </w:pPr>
      <w:r>
        <w:rPr>
          <w:rFonts w:ascii="Arial" w:hAnsi="Arial"/>
          <w:color w:val="000000"/>
          <w:sz w:val="20"/>
        </w:rPr>
        <w:t>Additional adverse events may emerge (along with additional data further defining previously identified risks) in any ongoing or subsequent clinical trials and there may be unforeseen serious adverse events or side effects that differ from those seen in studies completed to date. It is possible that as we test our product candidates in larger, longer and more extensive clinical programs, or as use of such product candidates becomes more widespread, if they receive regulatory approval, subjects will report illnesses, injuries, discomforts and other adverse events that were not observed in earlier trials, as well as conditions that did not occur or went undetected in previous trials. Many times, side effects are only detectable after investigational drugs are tested in large-scale clinical trials or, in some cases, after they are made available to patients on a commercial scale after approval. If additional clinical experience indicates that any of our product candidates has unexpected side effects or causes serious or life-threatening side effects, the development of the product candidate may fail or be delayed, or, if the product candidate has received regulatory approval, such approval may be revoked, which would harm our business.</w:t>
      </w:r>
    </w:p>
    <w:p>
      <w:pPr>
        <w:pStyle w:val="TextBody"/>
        <w:bidi w:val="0"/>
        <w:spacing w:before="240" w:after="283"/>
        <w:jc w:val="left"/>
        <w:rPr>
          <w:rFonts w:ascii="Arial" w:hAnsi="Arial"/>
          <w:color w:val="000000"/>
          <w:sz w:val="20"/>
        </w:rPr>
      </w:pPr>
      <w:r>
        <w:rPr>
          <w:rFonts w:ascii="Arial" w:hAnsi="Arial"/>
          <w:color w:val="000000"/>
          <w:sz w:val="20"/>
        </w:rPr>
        <w:t>Even if we believe our product candidates demonstrate clinical efficacy, any unacceptable adverse side effects or toxicities, when administered in the presence of other pharmaceutical products, which can arise at any stage of development, may outweigh potential benefits. We may observe adverse or significant adverse events or drug-drug interactions in future preclinical studies or clinical trial candidates, which could result in the delay or termination of development, prevent regulatory approval or limit market acceptance if ultimately approved. For example, we have observed cases of anemia in patients receiving epetraborole, and though we believe these reported adverse events have not been serious in nature or otherwise suggestive of a material safety issue, consistent imbalances in observed adverse events between active and placebo arms could adversely affect the integrity of a study blind and subsequent trial data.</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Moreover, if we elect, or are required, to delay, suspend or terminate any clinical trial of any of our product candidates, the commercial prospects of such product candidate may be harmed and our ability to generate revenue through its sale may be delayed or eliminated. Any of these occurrences may significantly harm our business.</w:t>
      </w:r>
    </w:p>
    <w:p>
      <w:pPr>
        <w:pStyle w:val="TextBody"/>
        <w:bidi w:val="0"/>
        <w:spacing w:before="240" w:after="283"/>
        <w:jc w:val="left"/>
        <w:rPr>
          <w:rFonts w:ascii="Arial" w:hAnsi="Arial"/>
          <w:color w:val="000000"/>
          <w:sz w:val="20"/>
        </w:rPr>
      </w:pPr>
      <w:r>
        <w:rPr>
          <w:rFonts w:ascii="Arial" w:hAnsi="Arial"/>
          <w:color w:val="000000"/>
          <w:sz w:val="20"/>
        </w:rPr>
        <w:t>Additionally, if any of our product candidates receive regulatory approval, regulatory authorities may require the addition of labeling statements, such as a “black box” warning or a contraindication, or the adoption of a REMS program to ensure that the benefits outweigh its risks, which may include, among other things, a medication guide outlining the risks of the drug for distribution to patients and a communication plan to health care practitioners. Furthermore, if we or others later identify undesirable side effects caused by any product candidates, several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suspend or withdraw approvals of such product candidate, or we may decide to suspend marketing or remove a product from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require additional warnings on the label or impose distribution or use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change the way a product candidate is administered or conduct additional clinical trials, including one or more post-marketing research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implement REMS, including the creation of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need to conduct a recall or comparable post-marketing 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reputation may suffer.</w:t>
      </w:r>
    </w:p>
    <w:p>
      <w:pPr>
        <w:pStyle w:val="TextBody"/>
        <w:bidi w:val="0"/>
        <w:spacing w:before="240" w:after="283"/>
        <w:jc w:val="left"/>
        <w:rPr>
          <w:rFonts w:ascii="Arial" w:hAnsi="Arial"/>
          <w:color w:val="000000"/>
          <w:sz w:val="20"/>
        </w:rPr>
      </w:pPr>
      <w:r>
        <w:rPr>
          <w:rFonts w:ascii="Arial" w:hAnsi="Arial"/>
          <w:color w:val="000000"/>
          <w:sz w:val="20"/>
        </w:rPr>
        <w:t>Any of these events could prevent us from achieving or maintaining market acceptance of the affected product candidate, if approved, or could substantially increase commercialization costs and expenses, which could delay or prevent us from generating revenue from the sale of our product candidates and harm our business and results of operations.</w:t>
      </w:r>
    </w:p>
    <w:p>
      <w:pPr>
        <w:pStyle w:val="TextBody"/>
        <w:bidi w:val="0"/>
        <w:spacing w:before="360" w:after="283"/>
        <w:jc w:val="left"/>
        <w:rPr>
          <w:rFonts w:ascii="Arial" w:hAnsi="Arial"/>
          <w:b/>
          <w:i/>
          <w:color w:val="000000"/>
          <w:sz w:val="20"/>
        </w:rPr>
      </w:pPr>
      <w:r>
        <w:rPr>
          <w:rFonts w:ascii="Arial" w:hAnsi="Arial"/>
          <w:b/>
          <w:i/>
          <w:color w:val="000000"/>
          <w:sz w:val="20"/>
        </w:rPr>
        <w:t>If we are not successful in discovering, developing and commercializing additional product candidates, our ability to expand our business and achieve our strategic objectives would be impaired.</w:t>
      </w:r>
    </w:p>
    <w:p>
      <w:pPr>
        <w:pStyle w:val="TextBody"/>
        <w:bidi w:val="0"/>
        <w:spacing w:before="120" w:after="283"/>
        <w:jc w:val="left"/>
        <w:rPr>
          <w:rFonts w:ascii="Arial" w:hAnsi="Arial"/>
          <w:color w:val="000000"/>
          <w:sz w:val="20"/>
        </w:rPr>
      </w:pPr>
      <w:r>
        <w:rPr>
          <w:rFonts w:ascii="Arial" w:hAnsi="Arial"/>
          <w:color w:val="000000"/>
          <w:sz w:val="20"/>
        </w:rPr>
        <w:t>Although a substantial amount of our effort will focus on potential clinical testing and potential regulatory approval of our product candidates, an element of our strategy is to discover, develop and commercialize a portfolio of product candidates to treat diseases with high unmet need. We are seeking to do so by utilizing our targeted-design AN2 drug discovery platform, which uses bacterial genomics and state-of-the-art molecular and dynamic models to design active new compounds that target known mechanisms. We focus our clinical development on pathogens, drug targets, and patients with high, unmet medical needs to leverage the development and regulatory paths available for first-in-class or best-in-class therapeutics. Research efforts to identify and develop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research methodology used may not be successful in identifying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competitors may develop alternatives that render our product candidates obsolete or less attractive;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candidates we develop may nevertheless be covered by third parties’ patents or other exclusive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reveal harmful side effects or other characteristics that indicate it is unlikely to be effective or otherwise does not meet applicable regulatory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not be capable of being produced in commercial quantities at an acceptable cost,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product candidate may not be accepted as safe, tolerable and effective by patients, the medical community or third-party payors, if applicable;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other regulatory authorities may not approve or agree with the intended use of a new product candidate.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If we fail to develop and successfully commercialize our product candidates, our business and future prospects may be harmed and our business will be more vulnerable to any problems that we encounter in developing and commercializing our product candidates.</w:t>
      </w:r>
    </w:p>
    <w:p>
      <w:pPr>
        <w:pStyle w:val="TextBody"/>
        <w:bidi w:val="0"/>
        <w:spacing w:before="360" w:after="283"/>
        <w:jc w:val="left"/>
        <w:rPr>
          <w:rFonts w:ascii="Arial" w:hAnsi="Arial"/>
          <w:b/>
          <w:i/>
          <w:color w:val="000000"/>
          <w:sz w:val="20"/>
        </w:rPr>
      </w:pPr>
      <w:r>
        <w:rPr>
          <w:rFonts w:ascii="Arial" w:hAnsi="Arial"/>
          <w:b/>
          <w:i/>
          <w:color w:val="000000"/>
          <w:sz w:val="20"/>
        </w:rPr>
        <w:t>If we experience delays or difficulties in the enrollment of patients in clinical trials, our clinical development activities and receipt of necessary regulatory approvals could be delayed or prevented.</w:t>
      </w:r>
    </w:p>
    <w:p>
      <w:pPr>
        <w:pStyle w:val="TextBody"/>
        <w:bidi w:val="0"/>
        <w:spacing w:before="120" w:after="283"/>
        <w:jc w:val="left"/>
        <w:rPr>
          <w:rFonts w:ascii="Arial" w:hAnsi="Arial"/>
          <w:color w:val="000000"/>
          <w:sz w:val="20"/>
        </w:rPr>
      </w:pPr>
      <w:r>
        <w:rPr>
          <w:rFonts w:ascii="Arial" w:hAnsi="Arial"/>
          <w:color w:val="000000"/>
          <w:sz w:val="20"/>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continue or complete clinical trials of any product candidates that we develop if we are unable to locate and enroll a sufficient number of eligible patients to participate in these trials, as required by the FDA or other comparable regulatory authorities. We have limited experience enrolling patients in our clinical trials and cannot predict how successful we will be in enrolling patients in future clinical trials.</w:t>
      </w:r>
    </w:p>
    <w:p>
      <w:pPr>
        <w:pStyle w:val="TextBody"/>
        <w:bidi w:val="0"/>
        <w:spacing w:before="240" w:after="283"/>
        <w:jc w:val="left"/>
        <w:rPr>
          <w:rFonts w:ascii="Arial" w:hAnsi="Arial"/>
          <w:color w:val="000000"/>
          <w:sz w:val="20"/>
        </w:rPr>
      </w:pPr>
      <w:r>
        <w:rPr>
          <w:rFonts w:ascii="Arial" w:hAnsi="Arial"/>
          <w:color w:val="000000"/>
          <w:sz w:val="20"/>
        </w:rPr>
        <w:t>Patient enrollment is also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and nature of the targeted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proximity and availability of clinical trial sites for prospective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eligibility criteria for participation in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recruit clinical trial investigators with appropriate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efforts to facility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and efficacy of drugs approved to treat the diseases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to monitor patients adequately during and after treatment;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 that patients enrolled in clinical trials will drop out of the trials before completion.</w:t>
      </w:r>
    </w:p>
    <w:p>
      <w:pPr>
        <w:pStyle w:val="TextBody"/>
        <w:bidi w:val="0"/>
        <w:spacing w:before="240" w:after="283"/>
        <w:jc w:val="left"/>
        <w:rPr>
          <w:rFonts w:ascii="Times New Roman" w:hAnsi="Times New Roman"/>
          <w:sz w:val="20"/>
        </w:rPr>
      </w:pPr>
      <w:r>
        <w:rPr>
          <w:rFonts w:ascii="Arial" w:hAnsi="Arial"/>
          <w:color w:val="000000"/>
          <w:sz w:val="20"/>
        </w:rPr>
        <w:t xml:space="preserve">In particular, we may face delays and difficulties in enrollment in our planned trials of certain of our product candidates because PV, </w:t>
      </w:r>
      <w:r>
        <w:rPr>
          <w:rFonts w:ascii="Arial" w:hAnsi="Arial"/>
          <w:i/>
          <w:color w:val="000000"/>
          <w:sz w:val="20"/>
        </w:rPr>
        <w:t xml:space="preserve">M. abscessus, </w:t>
      </w:r>
      <w:r>
        <w:rPr>
          <w:rFonts w:ascii="Arial" w:hAnsi="Arial"/>
          <w:color w:val="000000"/>
          <w:sz w:val="20"/>
        </w:rPr>
        <w:t>Chagas disease and certain other conditions we may target include rare diseases (i.e., the size of the targeted patient population is small). Because of this, we may experience difficulties in recruiting sufficient patients into certain of our planned clinical trials.</w:t>
      </w:r>
    </w:p>
    <w:p>
      <w:pPr>
        <w:pStyle w:val="TextBody"/>
        <w:bidi w:val="0"/>
        <w:spacing w:before="240" w:after="283"/>
        <w:jc w:val="left"/>
        <w:rPr>
          <w:rFonts w:ascii="Arial" w:hAnsi="Arial"/>
          <w:color w:val="000000"/>
          <w:sz w:val="20"/>
        </w:rPr>
      </w:pPr>
      <w:r>
        <w:rPr>
          <w:rFonts w:ascii="Arial" w:hAnsi="Arial"/>
          <w:color w:val="000000"/>
          <w:sz w:val="20"/>
        </w:rPr>
        <w:t>Additionally, other pharmaceutical companies and research institutions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clinical trials would result in significant delays and could require us to abandon one or more clinical trials altogether. We have experienced enrollment delays in the past. Enrollment delays in these clinical trials may result in further increased development costs for our product candidates, which would reduce the capital we have available to support our current and future product candidates and may result in our need to raise additional capital earlier than planned and could cause the value of our common stock to decline and limit our ability to obtain additional financing.</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expend our limited resources to pursue a particular product candidate or indication and fail to capitalize on product candidates or indications that may be more profitable or have a greater likelihood of success.</w:t>
      </w:r>
    </w:p>
    <w:p>
      <w:pPr>
        <w:pStyle w:val="TextBody"/>
        <w:bidi w:val="0"/>
        <w:spacing w:before="120" w:after="283"/>
        <w:jc w:val="left"/>
        <w:rPr>
          <w:rFonts w:ascii="Arial" w:hAnsi="Arial"/>
          <w:color w:val="000000"/>
          <w:sz w:val="20"/>
        </w:rPr>
      </w:pPr>
      <w:r>
        <w:rPr>
          <w:rFonts w:ascii="Arial" w:hAnsi="Arial"/>
          <w:color w:val="000000"/>
          <w:sz w:val="20"/>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left"/>
        <w:rPr>
          <w:rFonts w:ascii="Arial" w:hAnsi="Arial"/>
          <w:b/>
          <w:i/>
          <w:color w:val="000000"/>
          <w:sz w:val="20"/>
        </w:rPr>
      </w:pPr>
      <w:r>
        <w:rPr>
          <w:rFonts w:ascii="Arial" w:hAnsi="Arial"/>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sz w:val="20"/>
        </w:rPr>
      </w:pPr>
      <w:r>
        <w:rPr>
          <w:rFonts w:ascii="Arial" w:hAnsi="Arial"/>
          <w:color w:val="000000"/>
          <w:sz w:val="20"/>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pStyle w:val="TextBody"/>
        <w:bidi w:val="0"/>
        <w:spacing w:before="240" w:after="283"/>
        <w:jc w:val="left"/>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growth prospects.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We may conduct clinical trials for our product candidates outside of the U.S., and the FDA may not accept data from such trials, in which case our development plans may be delayed, which could materially harm our business.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conduct and may in the future conduct one or more of our clinical trials or a portion of our clinical trials for our product candidates outside the U.S. For instance, we will be initiating a PV Phase 2 study in India.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regulatory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relevant jurisdiction. If the FDA or any comparable foreign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spacing w:before="360" w:after="283"/>
        <w:jc w:val="left"/>
        <w:rPr>
          <w:rFonts w:ascii="Arial" w:hAnsi="Arial"/>
          <w:b/>
          <w:color w:val="000000"/>
          <w:sz w:val="20"/>
        </w:rPr>
      </w:pPr>
      <w:r>
        <w:rPr>
          <w:rFonts w:ascii="Arial" w:hAnsi="Arial"/>
          <w:b/>
          <w:color w:val="000000"/>
          <w:sz w:val="20"/>
        </w:rPr>
        <w:t>Risks Related to Our Dependence on Third Parties</w:t>
      </w:r>
    </w:p>
    <w:p>
      <w:pPr>
        <w:pStyle w:val="TextBody"/>
        <w:bidi w:val="0"/>
        <w:spacing w:before="120" w:after="283"/>
        <w:jc w:val="left"/>
        <w:rPr>
          <w:rFonts w:ascii="Arial" w:hAnsi="Arial"/>
          <w:b/>
          <w:i/>
          <w:color w:val="000000"/>
          <w:sz w:val="20"/>
        </w:rPr>
      </w:pPr>
      <w:r>
        <w:rPr>
          <w:rFonts w:ascii="Arial" w:hAnsi="Arial"/>
          <w:b/>
          <w:i/>
          <w:color w:val="000000"/>
          <w:sz w:val="20"/>
        </w:rPr>
        <w:t>We rely on third parties to conduct our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pStyle w:val="TextBody"/>
        <w:bidi w:val="0"/>
        <w:spacing w:before="120" w:after="283"/>
        <w:jc w:val="left"/>
        <w:rPr>
          <w:rFonts w:ascii="Arial" w:hAnsi="Arial"/>
          <w:color w:val="000000"/>
          <w:sz w:val="20"/>
        </w:rPr>
      </w:pPr>
      <w:r>
        <w:rPr>
          <w:rFonts w:ascii="Arial" w:hAnsi="Arial"/>
          <w:color w:val="000000"/>
          <w:sz w:val="20"/>
        </w:rPr>
        <w:t>We are dependent on third parties to conduct our clinical trials, nonclinical studies and preclinical studies. Specifically, we have engaged CROs and consultants to conduct our ongoing and planned preclinical and nonclinical studies and clinical trials, in each case in accordance with trial protocols and regulatory requirements.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preclinical and nonclinical studies, clinical trials, and manufacture of our clinical trial material. Currently, we rely on single source third-party research institutions, laboratories, clinical research and manufacturing organizations for research and development. Agreements with such third parties might terminate for a variety of reasons, including a failure to perform by the third parties. If we need to enter into alternative arrangements, or fail to enter into alternative arrangements in a timely manner, our product development activities would be delayed.</w:t>
      </w:r>
    </w:p>
    <w:p>
      <w:pPr>
        <w:pStyle w:val="TextBody"/>
        <w:bidi w:val="0"/>
        <w:spacing w:before="240" w:after="283"/>
        <w:jc w:val="left"/>
        <w:rPr>
          <w:rFonts w:ascii="Arial" w:hAnsi="Arial"/>
          <w:color w:val="000000"/>
          <w:sz w:val="20"/>
        </w:rPr>
      </w:pPr>
      <w:r>
        <w:rPr>
          <w:rFonts w:ascii="Arial" w:hAnsi="Arial"/>
          <w:color w:val="000000"/>
          <w:sz w:val="20"/>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we and our CROs are required to comply with regulations and comply with good laboratory practice requirements for the conduct of certain preclinical studies and GCP requirements for clinical trials, which are regulations and guidelines enforced by the FDA, for conducting, recording and reporting the results of clinical trials to assure that data and reported results are credible and accurate and that the rights, integrity and confidentiality of trial participants are protected. Similar regulatory requirements apply outside the U.S., including the International Council for Harmonisation of Technical Requirements for the Registration of Pharmaceuticals for Human Use. Regulatory authorities enforce GCPs through periodic inspections of trial sponsors, principal investigators and trial sites. Failure to comply with these requirements by us or by third parties can result in FDA refusal to approve applications based on the clinical data, enforcement actions, adverse publicity and civil and criminal sanctions.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There is no guarantee that any of our CROs, investigators or other third parties will devote adequate time and resources to such trials or studies or perform as contractually required. If any of these third parties fails to meet expected deadlines, adhere to our clinical protocols or meet regulatory requirements, or otherwise perform in a substandard manner, our clinical trials may be extended, delayed or terminated.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product candidates and will not be able to, or may be delayed in our efforts to, successfully commercialize such product candidates.</w:t>
      </w:r>
    </w:p>
    <w:p>
      <w:pPr>
        <w:pStyle w:val="TextBody"/>
        <w:bidi w:val="0"/>
        <w:spacing w:before="240" w:after="283"/>
        <w:jc w:val="left"/>
        <w:rPr>
          <w:rFonts w:ascii="Arial" w:hAnsi="Arial"/>
          <w:color w:val="000000"/>
          <w:sz w:val="20"/>
        </w:rPr>
      </w:pPr>
      <w:r>
        <w:rPr>
          <w:rFonts w:ascii="Arial" w:hAnsi="Arial"/>
          <w:color w:val="000000"/>
          <w:sz w:val="20"/>
        </w:rPr>
        <w:t>In addition, principal investigators for our clinical trials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pStyle w:val="TextBody"/>
        <w:bidi w:val="0"/>
        <w:spacing w:before="240" w:after="283"/>
        <w:jc w:val="left"/>
        <w:rPr>
          <w:rFonts w:ascii="Arial" w:hAnsi="Arial"/>
          <w:color w:val="000000"/>
          <w:sz w:val="20"/>
        </w:rPr>
      </w:pPr>
      <w:r>
        <w:rPr>
          <w:rFonts w:ascii="Arial" w:hAnsi="Arial"/>
          <w:color w:val="000000"/>
          <w:sz w:val="20"/>
        </w:rPr>
        <w:t>We also expect to rely on other third parties to store and distribute product supplies for our clinical trials. Any performance failure or regulatory noncompliance on the part of our distributors could delay clinical development or regulatory approval of our product candidates or commercialization of such product candidates, resulting in additional losses and depriving us of potential product revenue.</w:t>
      </w:r>
    </w:p>
    <w:p>
      <w:pPr>
        <w:pStyle w:val="TextBody"/>
        <w:bidi w:val="0"/>
        <w:spacing w:before="360" w:after="283"/>
        <w:jc w:val="left"/>
        <w:rPr>
          <w:rFonts w:ascii="Arial" w:hAnsi="Arial"/>
          <w:b/>
          <w:i/>
          <w:color w:val="000000"/>
          <w:sz w:val="20"/>
        </w:rPr>
      </w:pPr>
      <w:r>
        <w:rPr>
          <w:rFonts w:ascii="Arial" w:hAnsi="Arial"/>
          <w:b/>
          <w:i/>
          <w:color w:val="000000"/>
          <w:sz w:val="20"/>
        </w:rPr>
        <w:t>Our reliance on single-sourced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120" w:after="283"/>
        <w:jc w:val="left"/>
        <w:rPr>
          <w:rFonts w:ascii="Arial" w:hAnsi="Arial"/>
          <w:color w:val="000000"/>
          <w:sz w:val="20"/>
        </w:rPr>
      </w:pPr>
      <w:r>
        <w:rPr>
          <w:rFonts w:ascii="Arial" w:hAnsi="Arial"/>
          <w:color w:val="000000"/>
          <w:sz w:val="20"/>
        </w:rPr>
        <w:t>We do not own or operate manufacturing facilities for the production of clinical or commercial supplies of the product candidates that we are developing or evaluating, nor are we contemplating plans to do so. We have limited personnel with experience in drug manufacturing and lack the resources and the capabilities to manufacture any of our product candidates on a clinical or commercial scale. Our strategy is to continue to outsource all manufacturing of our product candidates and approved products, if any, to third parties.</w:t>
      </w:r>
    </w:p>
    <w:p>
      <w:pPr>
        <w:pStyle w:val="TextBody"/>
        <w:bidi w:val="0"/>
        <w:spacing w:before="240" w:after="283"/>
        <w:jc w:val="left"/>
        <w:rPr>
          <w:rFonts w:ascii="Arial" w:hAnsi="Arial"/>
          <w:color w:val="000000"/>
          <w:sz w:val="20"/>
        </w:rPr>
      </w:pPr>
      <w:r>
        <w:rPr>
          <w:rFonts w:ascii="Arial" w:hAnsi="Arial"/>
          <w:color w:val="000000"/>
          <w:sz w:val="20"/>
        </w:rPr>
        <w:t>In order to conduct clinical trials of our product candidates and prepare for commercialization, we will need to identify suitable manufacturers with the capabilities to manufacture our compounds in large quantities in a manner consistent with existing regulations. Our current and future third-party manufacturers may be unable to successfully increase the manufacturing capacity for any of our product candidates in a timely or cost-effective manner, or at all. In addition, quality issues may arise during scale-up activities at any other time. If our manufacturers are unable to successfully scale up the manufacture of our current or future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Arial" w:hAnsi="Arial"/>
          <w:color w:val="000000"/>
          <w:sz w:val="20"/>
        </w:rPr>
      </w:pPr>
      <w:r>
        <w:rPr>
          <w:rFonts w:ascii="Arial" w:hAnsi="Arial"/>
          <w:color w:val="000000"/>
          <w:sz w:val="20"/>
        </w:rPr>
        <w:t>We do not currently have any agreements with third-party manufacturers for the long-term commercial supply of any of our product candidates. In the future, we may be unable to enter into agreements with third-party manufacturers for commercial supplies of such product candidates or may be unable to do so on acceptable terms.</w:t>
      </w:r>
    </w:p>
    <w:p>
      <w:pPr>
        <w:pStyle w:val="TextBody"/>
        <w:bidi w:val="0"/>
        <w:spacing w:before="240" w:after="283"/>
        <w:jc w:val="left"/>
        <w:rPr>
          <w:rFonts w:ascii="Arial" w:hAnsi="Arial"/>
          <w:color w:val="000000"/>
          <w:sz w:val="20"/>
        </w:rPr>
      </w:pPr>
      <w:r>
        <w:rPr>
          <w:rFonts w:ascii="Arial" w:hAnsi="Arial"/>
          <w:color w:val="000000"/>
          <w:sz w:val="20"/>
        </w:rPr>
        <w:t>Even if we are able to establish and maintain arrangements with third-party manufacturers, reliance on third-party manufacturers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failure of such parties to manufacture product candidates according to our specifications or on schedule;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possible termination or nonrenewal of the agreement by the third party at a time that is costly or inconvenient for us.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The facilities used by our third-party manufacturers must be approved for the manufacture of our product candidates by the FDA, or any comparable foreign regulatory authority, pursuant to inspections that will be conducted after we submit an NDA to the FDA, or submit a comparable marketing application to a foreign regulatory authority. We do not control the manufacturing process of, and are completely dependent on, third-party manufacturers for compliance with cGMP requirements for manufacture of our product candidates.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 use of their manufacturing facilities.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addition, we have no control over the ability of third-party manufacturers to maintain adequate quality control, quality assurance and qualified personnel.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pStyle w:val="TextBody"/>
        <w:bidi w:val="0"/>
        <w:spacing w:before="240" w:after="283"/>
        <w:jc w:val="left"/>
        <w:rPr>
          <w:rFonts w:ascii="Arial" w:hAnsi="Arial"/>
          <w:color w:val="000000"/>
          <w:sz w:val="20"/>
        </w:rPr>
      </w:pPr>
      <w:r>
        <w:rPr>
          <w:rFonts w:ascii="Arial" w:hAnsi="Arial"/>
          <w:color w:val="000000"/>
          <w:sz w:val="20"/>
        </w:rPr>
        <w:t>Our product candidates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240" w:after="283"/>
        <w:jc w:val="left"/>
        <w:rPr>
          <w:rFonts w:ascii="Arial" w:hAnsi="Arial"/>
          <w:color w:val="000000"/>
          <w:sz w:val="20"/>
        </w:rPr>
      </w:pPr>
      <w:r>
        <w:rPr>
          <w:rFonts w:ascii="Arial" w:hAnsi="Arial"/>
          <w:color w:val="000000"/>
          <w:sz w:val="20"/>
        </w:rPr>
        <w:t>If the third parties that we engage to supply any materials or manufacture product for our preclinical and nonclinical studies and clinical trials should cease to continue to do so for any reason, we likely would experience delays in advancing these studies and trials while we identify and qualify replacement suppliers, and we may be unable to obtain replacement supplies on terms that are favorable to us. In addition, if we are not able to obtain adequate supplies of our product candidates or the substances used to manufacture them, it will be more difficult for us to develop such product candidates and compete effectively.</w:t>
      </w:r>
    </w:p>
    <w:p>
      <w:pPr>
        <w:pStyle w:val="TextBody"/>
        <w:bidi w:val="0"/>
        <w:spacing w:before="240" w:after="283"/>
        <w:jc w:val="left"/>
        <w:rPr>
          <w:rFonts w:ascii="Arial" w:hAnsi="Arial"/>
          <w:color w:val="000000"/>
          <w:sz w:val="20"/>
        </w:rPr>
      </w:pPr>
      <w:r>
        <w:rPr>
          <w:rFonts w:ascii="Arial" w:hAnsi="Arial"/>
          <w:color w:val="000000"/>
          <w:sz w:val="20"/>
        </w:rPr>
        <w:t>Our current and anticipated future dependence upon others for the manufacture of our product candidates may adversely affect our future profit margins and our ability to develop product candidates and commercialize any products that receive regulatory approval on a timely and competitive basis.</w:t>
      </w:r>
    </w:p>
    <w:p>
      <w:pPr>
        <w:pStyle w:val="TextBody"/>
        <w:bidi w:val="0"/>
        <w:spacing w:before="360" w:after="283"/>
        <w:jc w:val="left"/>
        <w:rPr>
          <w:rFonts w:ascii="Arial" w:hAnsi="Arial"/>
          <w:b/>
          <w:i/>
          <w:color w:val="000000"/>
          <w:sz w:val="20"/>
        </w:rPr>
      </w:pPr>
      <w:r>
        <w:rPr>
          <w:rFonts w:ascii="Arial" w:hAnsi="Arial"/>
          <w:b/>
          <w:i/>
          <w:color w:val="000000"/>
          <w:sz w:val="20"/>
        </w:rPr>
        <w:t>Evaluation of our product candidates in investigator-initiated clinical trials (“IITs”) may expose us to additional risks that could impair the development of our product candidates.</w:t>
      </w:r>
    </w:p>
    <w:p>
      <w:pPr>
        <w:pStyle w:val="TextBody"/>
        <w:bidi w:val="0"/>
        <w:spacing w:before="120" w:after="283"/>
        <w:jc w:val="left"/>
        <w:rPr>
          <w:rFonts w:ascii="Times New Roman" w:hAnsi="Times New Roman"/>
          <w:sz w:val="20"/>
        </w:rPr>
      </w:pPr>
      <w:r>
        <w:rPr>
          <w:rFonts w:ascii="Arial" w:hAnsi="Arial"/>
          <w:color w:val="000000"/>
          <w:sz w:val="20"/>
        </w:rPr>
        <w:t xml:space="preserve">We are currently supporting an IIT evaluating epetraborole in patients with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lung disease, and may in the future support other IITs for our product candidates that are designed and managed by independent investigators or institutions. While we believe these clinical trials have the potential to provide supportive data that may further the development of our product candidates, we do not directly control the clinical development process, including, but not limited to, the initiation, enrollment, safety reporting, or conduct of these trials. As a result, investigator-sponsored trials may be subject to significant delays. fail to comply with GCP or other regulatory requirements. be terminated prematurely by the investigator or applicable IRBs or ethics committees, or produce data that is not useful for, or acceptable to, regulatory authorities for purposes of obtaining regulatory approval. IITs may also identify safety or tolerability concerns that could adversely affect the development of our product candidates, including through the imposition of clinical holds, or otherwise subject us to liability. Moreover, if the data from IITs differ from the data we have observed in our sponsored clinical studies, such differences could potentially require us to conduct additional clinical trials or otherwise delay or prevent regulatory approval from the FDA or other regulatory authorities. Any of these factors could adversely impact our reputation, delay our development timelines, or negatively affect our ability to obtain regulatory approval.</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Risks Related to the Commercialization of Our Product Candidates</w:t>
      </w:r>
    </w:p>
    <w:p>
      <w:pPr>
        <w:pStyle w:val="TextBody"/>
        <w:bidi w:val="0"/>
        <w:spacing w:before="120" w:after="283"/>
        <w:jc w:val="left"/>
        <w:rPr>
          <w:rFonts w:ascii="Arial" w:hAnsi="Arial"/>
          <w:b/>
          <w:i/>
          <w:color w:val="000000"/>
          <w:sz w:val="20"/>
        </w:rPr>
      </w:pPr>
      <w:r>
        <w:rPr>
          <w:rFonts w:ascii="Arial" w:hAnsi="Arial"/>
          <w:b/>
          <w:i/>
          <w:color w:val="000000"/>
          <w:sz w:val="20"/>
        </w:rPr>
        <w:t>Even if any of our product candidates receive regulatory approval, it may fail to achieve the degree of market acceptance by physicians, patients, third-party payors, and others in the medical community necessary for commercial success.</w:t>
      </w:r>
    </w:p>
    <w:p>
      <w:pPr>
        <w:pStyle w:val="TextBody"/>
        <w:bidi w:val="0"/>
        <w:spacing w:before="120" w:after="283"/>
        <w:jc w:val="left"/>
        <w:rPr>
          <w:rFonts w:ascii="Arial" w:hAnsi="Arial"/>
          <w:color w:val="000000"/>
          <w:sz w:val="20"/>
        </w:rPr>
      </w:pPr>
      <w:r>
        <w:rPr>
          <w:rFonts w:ascii="Arial" w:hAnsi="Arial"/>
          <w:color w:val="000000"/>
          <w:sz w:val="20"/>
        </w:rPr>
        <w:t>Even if we obtain approvals from the FDA or other comparable regulatory agencies and are able to initiate commercialization of any of our product candidates, such product candidates may not achieve market acceptance among physicians, patients and third-party payors and, ultimately, may not be commercially successful. The degree of market acceptance of our product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safety, tolerability, efficacy and ease of use of a once-a-day oral dose and other potential 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and perceived advantages and disadvantages of the product candidates, including cost and clinical benefit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convenience and ease of once-a-day oral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acceptance by physicians, patients, payor-formularies and treatment facilities and parties responsible for coverage and reimbursement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manufacture the product candidates in sufficient quantities and yields;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strength and effectiveness of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limitations or warnings, including distribution or use restrictions, contained in the product’s approved labeling or an approved REMS;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the product is designated under physician treatment guidelines as a first-line therapy or as a second- or third-line therapy for particular infections;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the product is safe, tolerable and efficacious when used in combination therapy with the current multi-drug standard of care regimen;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approval of other new products for the same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market introduction of the approved product as well as competitive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emergence of bacterial resistance to the product.</w:t>
      </w:r>
    </w:p>
    <w:p>
      <w:pPr>
        <w:pStyle w:val="TextBody"/>
        <w:bidi w:val="0"/>
        <w:spacing w:before="240" w:after="283"/>
        <w:jc w:val="left"/>
        <w:rPr>
          <w:rFonts w:ascii="Arial" w:hAnsi="Arial"/>
          <w:color w:val="000000"/>
          <w:sz w:val="20"/>
        </w:rPr>
      </w:pPr>
      <w:r>
        <w:rPr>
          <w:rFonts w:ascii="Arial" w:hAnsi="Arial"/>
          <w:color w:val="000000"/>
          <w:sz w:val="20"/>
        </w:rPr>
        <w:t>If the market size of any product candidate that obtains regulatory approval is significantly smaller than we anticipate, it may not achieve market acceptance or commercial success. This could significantly and negatively impact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rFonts w:ascii="Arial" w:hAnsi="Arial"/>
          <w:color w:val="000000"/>
          <w:sz w:val="20"/>
        </w:rPr>
      </w:pPr>
      <w:r>
        <w:rPr>
          <w:rFonts w:ascii="Arial" w:hAnsi="Arial"/>
          <w:color w:val="000000"/>
          <w:sz w:val="20"/>
        </w:rPr>
        <w:t>The development and commercialization of new drug products is highly competitive. We face competition from major multi-national pharmaceutical companies, biotechnology companies, specialty pharmaceutical companies and generic drug companies with respect to the product candidates that we intend to develop and commercialize. Potential competitors also include academic institutions, government agencies and other public and private research organizations. If our competitors obtain regulatory approval from the FDA or other comparable regulatory authorities for their product candidates more rapidly than we do, it could result in our competitors establishing a strong market position before we are able to enter the market. Our competitors may also succeed in developing, acquiring or licensing technologies and drug products that are more effective, more effectively marketed and sold, or less costly than any product candidates that we may develop, which could render our product candidate non-competitive and obsolete.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Many of our competitors have significantly greater financial resources and expertise in research and development, manufacturing, preclinical and nonclinical testing, conducting clinical trials, obtaining regulatory approvals, and marketing approved products than we do as an organization.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following the August 2024 announcement of topline data from the Phase 2 portion of our Phase 2/3 clinical trial evaluating epetraborole, we effected a restructuring resulting in the elimination of a significant portion of the workforce and could result in additional unplanned loss of personnel. Continued disruption caused by the transition or by the loss of ongoing services of any qualified scientific and management personnel could delay or prevent the successful development of our current and future product candidates.</w:t>
      </w:r>
    </w:p>
    <w:p>
      <w:pPr>
        <w:pStyle w:val="TextBody"/>
        <w:bidi w:val="0"/>
        <w:spacing w:before="240" w:after="283"/>
        <w:jc w:val="left"/>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approval from the FDA or other comparable regulatory agencies for their product candidates more rapidly than we may obtain approval for ours, which could result in product approval delays if a competitor obtains market exclusivity from the FDA or any comparable regulatory agencies or our competitors establish a strong market position before we are able to enter the market. In addition, our ability to compete may be affected in many cases by insurers or other third-party payors seeking to encourage the use of generic drugs. Additional drugs may become available on a generic basis over the coming years. If any of our product candidates achieve regulatory approval, we expect that they will be priced at a significant premium over competitive generic drugs.</w:t>
      </w:r>
    </w:p>
    <w:p>
      <w:pPr>
        <w:pStyle w:val="TextBody"/>
        <w:bidi w:val="0"/>
        <w:spacing w:before="360" w:after="283"/>
        <w:jc w:val="left"/>
        <w:rPr>
          <w:rFonts w:ascii="Arial" w:hAnsi="Arial"/>
          <w:b/>
          <w:i/>
          <w:color w:val="000000"/>
          <w:sz w:val="20"/>
        </w:rPr>
      </w:pPr>
      <w:r>
        <w:rPr>
          <w:rFonts w:ascii="Arial" w:hAnsi="Arial"/>
          <w:b/>
          <w:i/>
          <w:color w:val="000000"/>
          <w:sz w:val="20"/>
        </w:rPr>
        <w:t>If we are unable to establish sales, marketing and distribution capabilities for our product candidates, or enter into sales, marketing and distribution agreements with third parties, we may not be successful in commercializing our product candidates, if and when they are approved.</w:t>
      </w:r>
    </w:p>
    <w:p>
      <w:pPr>
        <w:pStyle w:val="TextBody"/>
        <w:bidi w:val="0"/>
        <w:spacing w:before="120" w:after="283"/>
        <w:jc w:val="left"/>
        <w:rPr>
          <w:rFonts w:ascii="Arial" w:hAnsi="Arial"/>
          <w:color w:val="000000"/>
          <w:sz w:val="20"/>
        </w:rPr>
      </w:pPr>
      <w:r>
        <w:rPr>
          <w:rFonts w:ascii="Arial" w:hAnsi="Arial"/>
          <w:color w:val="000000"/>
          <w:sz w:val="20"/>
        </w:rPr>
        <w:t>We do not have a sales or marketing infrastructure and have limited experience in the sale, marketing, or distribution of pharmaceutical products. To achieve commercial success for any product candidate for which we may obtain regulatory approval, we will need to establish a sales and marketing organization or enter into collaboration, distribution and other marketing arrangements with one or more third parties to commercialize such product candidate. In the U.S. and other key markets, we intend to build a commercial organization to target areas with the greatest incidence of conditions for which we may at some point obtain regulatory approval and recruit experienced sales, marketing and distribution professionals. The development of sales, marketing and distribution capabilities will require substantial resources, will be time-consuming and could delay any product launch. We may decide to work with regional specialty pharmacies, distributors, and/or multi-national pharmaceutical companies to leverage their commercialization capabilities to commercialize any product candidate for which we may obtain regulatory approval outside of the U.S.</w:t>
      </w:r>
    </w:p>
    <w:p>
      <w:pPr>
        <w:pStyle w:val="TextBody"/>
        <w:bidi w:val="0"/>
        <w:spacing w:before="240" w:after="283"/>
        <w:jc w:val="left"/>
        <w:rPr>
          <w:rFonts w:ascii="Arial" w:hAnsi="Arial"/>
          <w:color w:val="000000"/>
          <w:sz w:val="20"/>
        </w:rPr>
      </w:pPr>
      <w:r>
        <w:rPr>
          <w:rFonts w:ascii="Arial" w:hAnsi="Arial"/>
          <w:color w:val="000000"/>
          <w:sz w:val="20"/>
        </w:rPr>
        <w:t>If the commercial launch of a product candidate for which we recruit a sales force and establish marketing and distribution capabilities is delayed or does not occur for any reason, we would have prematurely or unnecessarily incurred these commercialization costs. This may be costly, and our investment would be lost if we cannot retain or reposition our sales and marketing personnel. In addition, we may not be able to hire a sales force in the U.S. that is sufficient in size or has adequate expertise to target the areas that we intend to target. If we are unable to establish a sales force and marketing and distribution capabilities, our operating results may be adversely affected.</w:t>
      </w:r>
    </w:p>
    <w:p>
      <w:pPr>
        <w:pStyle w:val="TextBody"/>
        <w:bidi w:val="0"/>
        <w:spacing w:before="240" w:after="283"/>
        <w:jc w:val="left"/>
        <w:rPr>
          <w:rFonts w:ascii="Arial" w:hAnsi="Arial"/>
          <w:color w:val="000000"/>
          <w:sz w:val="20"/>
        </w:rPr>
      </w:pPr>
      <w:r>
        <w:rPr>
          <w:rFonts w:ascii="Arial" w:hAnsi="Arial"/>
          <w:color w:val="000000"/>
          <w:sz w:val="20"/>
        </w:rPr>
        <w:t>Factors that may inhibit our efforts to commercialize our drugs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of sales personnel to obtain access to physicians or persuade adequate numbers of physicians to prescribe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lack of complementary products to be offered by sales personnel, which may put us at a competitive disadvantage compared to companies with more extensive product lines;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unforeseen costs and expenses associated with creating an independent sales and marketing organization;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unforeseen costs and limitations with regard to setting up a distribution network.</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If we are unable to establish our own sales, marketing and distribution capabilities in the U.S. and other jurisdictions in which any of our product candidates are approved and, instead, enter into arrangements with third parties to perform these services, our revenues and profitability, if any, are likely to be lower than if we were to sell, market and distribute any product candidates that we develop ourselves.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any product candidates.</w:t>
      </w:r>
    </w:p>
    <w:p>
      <w:pPr>
        <w:pStyle w:val="TextBody"/>
        <w:bidi w:val="0"/>
        <w:spacing w:before="360" w:after="283"/>
        <w:jc w:val="left"/>
        <w:rPr>
          <w:rFonts w:ascii="Arial" w:hAnsi="Arial"/>
          <w:b/>
          <w:i/>
          <w:color w:val="000000"/>
          <w:sz w:val="20"/>
        </w:rPr>
      </w:pPr>
      <w:r>
        <w:rPr>
          <w:rFonts w:ascii="Arial" w:hAnsi="Arial"/>
          <w:b/>
          <w:i/>
          <w:color w:val="000000"/>
          <w:sz w:val="20"/>
        </w:rPr>
        <w:t>Coverage and adequate reimbursement may not be available for any of our product candidates, which could make it difficult for us to sell profitably, if approved.</w:t>
      </w:r>
    </w:p>
    <w:p>
      <w:pPr>
        <w:pStyle w:val="TextBody"/>
        <w:bidi w:val="0"/>
        <w:spacing w:before="120" w:after="283"/>
        <w:jc w:val="left"/>
        <w:rPr>
          <w:rFonts w:ascii="Arial" w:hAnsi="Arial"/>
          <w:color w:val="000000"/>
          <w:sz w:val="20"/>
        </w:rPr>
      </w:pPr>
      <w:r>
        <w:rPr>
          <w:rFonts w:ascii="Arial" w:hAnsi="Arial"/>
          <w:color w:val="000000"/>
          <w:sz w:val="20"/>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pStyle w:val="TextBody"/>
        <w:bidi w:val="0"/>
        <w:spacing w:before="240" w:after="283"/>
        <w:jc w:val="left"/>
        <w:rPr>
          <w:rFonts w:ascii="Arial" w:hAnsi="Arial"/>
          <w:color w:val="000000"/>
          <w:sz w:val="20"/>
        </w:rPr>
      </w:pPr>
      <w:r>
        <w:rPr>
          <w:rFonts w:ascii="Arial" w:hAnsi="Arial"/>
          <w:color w:val="000000"/>
          <w:sz w:val="20"/>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regulatory approval. If coverage and adequate reimbursement are not available, or are available only to limited levels, we may not be able to successfully commercialize any product candidates that we develop.</w:t>
      </w:r>
    </w:p>
    <w:p>
      <w:pPr>
        <w:pStyle w:val="TextBody"/>
        <w:bidi w:val="0"/>
        <w:spacing w:before="360" w:after="283"/>
        <w:jc w:val="left"/>
        <w:rPr>
          <w:rFonts w:ascii="Arial" w:hAnsi="Arial"/>
          <w:b/>
          <w:i/>
          <w:color w:val="000000"/>
          <w:sz w:val="20"/>
        </w:rPr>
      </w:pPr>
      <w:r>
        <w:rPr>
          <w:rFonts w:ascii="Arial" w:hAnsi="Arial"/>
          <w:b/>
          <w:i/>
          <w:color w:val="000000"/>
          <w:sz w:val="20"/>
        </w:rPr>
        <w:t>Product liability lawsuits against us could cause us to incur substantial liabilities and to limit commercialization of any products that we may develop.</w:t>
      </w:r>
    </w:p>
    <w:p>
      <w:pPr>
        <w:pStyle w:val="TextBody"/>
        <w:bidi w:val="0"/>
        <w:spacing w:before="120" w:after="283"/>
        <w:jc w:val="left"/>
        <w:rPr>
          <w:rFonts w:ascii="Arial" w:hAnsi="Arial"/>
          <w:color w:val="000000"/>
          <w:sz w:val="20"/>
        </w:rPr>
      </w:pPr>
      <w:r>
        <w:rPr>
          <w:rFonts w:ascii="Arial" w:hAnsi="Arial"/>
          <w:color w:val="000000"/>
          <w:sz w:val="20"/>
        </w:rPr>
        <w:t>We face an inherent risk of product liability exposure related to the testing of our product candidates in human clinical trials and will face an even greater risk if we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resources of our management to pursue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decreased demand for any product candidates or products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significant costs to defend the resulting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substantial monetary awards paid to clinical trial participants or patients;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to commercialize any drugs that we may develop;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decline in our share price.</w:t>
      </w:r>
    </w:p>
    <w:p>
      <w:pPr>
        <w:pStyle w:val="TextBody"/>
        <w:bidi w:val="0"/>
        <w:spacing w:before="240" w:after="283"/>
        <w:jc w:val="left"/>
        <w:rPr>
          <w:rFonts w:ascii="Arial" w:hAnsi="Arial"/>
          <w:color w:val="000000"/>
          <w:sz w:val="20"/>
        </w:rPr>
      </w:pPr>
      <w:r>
        <w:rPr>
          <w:rFonts w:ascii="Arial" w:hAnsi="Arial"/>
          <w:color w:val="000000"/>
          <w:sz w:val="20"/>
        </w:rPr>
        <w:t>Our product liability insurance coverage may not be adequate to cover all liabilities that we may incur.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pStyle w:val="TextBody"/>
        <w:bidi w:val="0"/>
        <w:spacing w:before="360" w:after="283"/>
        <w:jc w:val="left"/>
        <w:rPr>
          <w:rFonts w:ascii="Arial" w:hAnsi="Arial"/>
          <w:b/>
          <w:i/>
          <w:color w:val="000000"/>
          <w:sz w:val="20"/>
        </w:rPr>
      </w:pPr>
      <w:r>
        <w:rPr>
          <w:rFonts w:ascii="Arial" w:hAnsi="Arial"/>
          <w:b/>
          <w:i/>
          <w:color w:val="000000"/>
          <w:sz w:val="20"/>
        </w:rPr>
        <w:t>There are a variety of risks associated with marketing our product candidates internationally, which could affect our business.</w:t>
      </w:r>
    </w:p>
    <w:p>
      <w:pPr>
        <w:pStyle w:val="TextBody"/>
        <w:bidi w:val="0"/>
        <w:spacing w:before="120" w:after="283"/>
        <w:jc w:val="left"/>
        <w:rPr>
          <w:rFonts w:ascii="Arial" w:hAnsi="Arial"/>
          <w:color w:val="000000"/>
          <w:sz w:val="20"/>
        </w:rPr>
      </w:pPr>
      <w:r>
        <w:rPr>
          <w:rFonts w:ascii="Arial" w:hAnsi="Arial"/>
          <w:color w:val="000000"/>
          <w:sz w:val="20"/>
        </w:rPr>
        <w:t>We may seek regulatory approval for our product candidates outside of the U.S.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differing regulatory requirements and reimbursement landscapes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workforce uncertainty in countries where labor unrest is more common than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liability under the U.S. Foreign Corrupt Practices Act of 1977, as amended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left"/>
        <w:rPr>
          <w:rFonts w:ascii="Arial" w:hAnsi="Arial"/>
          <w:color w:val="000000"/>
          <w:sz w:val="20"/>
        </w:rPr>
      </w:pPr>
      <w:r>
        <w:rPr>
          <w:rFonts w:ascii="Arial" w:hAnsi="Arial"/>
          <w:color w:val="000000"/>
          <w:sz w:val="20"/>
        </w:rPr>
        <w:t>These and other risks associated with our international operations may compromise our ability to achieve or maintain profitability.</w:t>
      </w:r>
    </w:p>
    <w:p>
      <w:pPr>
        <w:pStyle w:val="TextBody"/>
        <w:bidi w:val="0"/>
        <w:spacing w:before="360" w:after="283"/>
        <w:jc w:val="left"/>
        <w:rPr>
          <w:rFonts w:ascii="Arial" w:hAnsi="Arial"/>
          <w:b/>
          <w:color w:val="000000"/>
          <w:sz w:val="20"/>
        </w:rPr>
      </w:pPr>
      <w:r>
        <w:rPr>
          <w:rFonts w:ascii="Arial" w:hAnsi="Arial"/>
          <w:b/>
          <w:color w:val="000000"/>
          <w:sz w:val="20"/>
        </w:rPr>
        <w:t>Risks Related to Our Business, Industry and Managing Our Growth</w:t>
      </w:r>
    </w:p>
    <w:p>
      <w:pPr>
        <w:pStyle w:val="TextBody"/>
        <w:bidi w:val="0"/>
        <w:spacing w:before="120" w:after="283"/>
        <w:jc w:val="left"/>
        <w:rPr>
          <w:rFonts w:ascii="Arial" w:hAnsi="Arial"/>
          <w:b/>
          <w:i/>
          <w:color w:val="000000"/>
          <w:sz w:val="20"/>
        </w:rPr>
      </w:pPr>
      <w:r>
        <w:rPr>
          <w:rFonts w:ascii="Arial" w:hAnsi="Arial"/>
          <w:b/>
          <w:i/>
          <w:color w:val="000000"/>
          <w:sz w:val="20"/>
        </w:rPr>
        <w:t>We operate with a small team and our future success depends on our ability to retain key executives and to attract, retain and motivate qualified personnel.</w:t>
      </w:r>
    </w:p>
    <w:p>
      <w:pPr>
        <w:pStyle w:val="TextBody"/>
        <w:bidi w:val="0"/>
        <w:spacing w:before="120" w:after="283"/>
        <w:jc w:val="left"/>
        <w:rPr>
          <w:rFonts w:ascii="Times New Roman" w:hAnsi="Times New Roman"/>
          <w:sz w:val="20"/>
        </w:rPr>
      </w:pPr>
      <w:r>
        <w:rPr>
          <w:rFonts w:ascii="Arial" w:hAnsi="Arial"/>
          <w:color w:val="000000"/>
          <w:sz w:val="20"/>
        </w:rPr>
        <w:t>We are highly dependent on the management, research and development, financial and business development expertise of our key executives, as well as the other members of our research, development, and business teams. Each may terminate employment with us at any time. We do not maintain “key person” insurance for any of our executives or employees.</w:t>
      </w:r>
      <w:r>
        <w:rPr>
          <w:rFonts w:ascii="Times New Roman" w:hAnsi="Times New Roman"/>
          <w:color w:val="000000"/>
          <w:sz w:val="20"/>
        </w:rPr>
        <w:t xml:space="preserv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Our limited personnel and resources may result in greater workloads for our employees compared to those at companies with which we compete for personnel, which may lead to higher levels of employee dissatisfaction and turnover. Recruiting and retaining qualified research, development, and business personnel and, if we progress the development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research and development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before="360" w:after="283"/>
        <w:jc w:val="left"/>
        <w:rPr>
          <w:rFonts w:ascii="Arial" w:hAnsi="Arial"/>
          <w:b/>
          <w:i/>
          <w:color w:val="000000"/>
          <w:sz w:val="20"/>
        </w:rPr>
      </w:pPr>
      <w:r>
        <w:rPr>
          <w:rFonts w:ascii="Arial" w:hAnsi="Arial"/>
          <w:b/>
          <w:i/>
          <w:color w:val="000000"/>
          <w:sz w:val="20"/>
        </w:rPr>
        <w:t>Macroeconomic uncertainties have in the past and may continue to adversely impact our business, financial condition, results of operations and growth prospects.</w:t>
      </w:r>
    </w:p>
    <w:p>
      <w:pPr>
        <w:pStyle w:val="TextBody"/>
        <w:bidi w:val="0"/>
        <w:spacing w:before="120" w:after="283"/>
        <w:jc w:val="left"/>
        <w:rPr>
          <w:rFonts w:ascii="Times New Roman" w:hAnsi="Times New Roman"/>
          <w:sz w:val="20"/>
        </w:rPr>
      </w:pPr>
      <w:r>
        <w:rPr>
          <w:rFonts w:ascii="Arial" w:hAnsi="Arial"/>
          <w:color w:val="000000"/>
          <w:sz w:val="20"/>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Higher interest rates, coupled with reduced government spending and volatility in financial markets may increase economic uncertainty and affect consumer spending. Similarly, volatility and disruptions in global markets and supply chains, tariffs, and global conflicts may adversely affect our business or the third parties on whom we rely. If the equity and credit markets deteriorate, including as a result of political unrest or war, or new tariffs</w:t>
      </w:r>
      <w:r>
        <w:rPr>
          <w:rFonts w:ascii="Times New Roman" w:hAnsi="Times New Roman"/>
          <w:color w:val="000000"/>
          <w:sz w:val="20"/>
        </w:rPr>
        <w:t xml:space="preserve"> </w:t>
      </w:r>
      <w:r>
        <w:rPr>
          <w:rFonts w:ascii="Arial" w:hAnsi="Arial"/>
          <w:color w:val="000000"/>
          <w:sz w:val="20"/>
        </w:rPr>
        <w:t>and any retaliatory trade protection measures or trade wars that ensue, it may make any necessary debt or equity financing more difficult to obtain in a timely manner or on favorable terms, more costly or more dilutive. Increased inflation rates can adversely affect us by increasing our costs, including labor and employee benefit costs. To the extent that macroeconomic uncertainties continue to harm our business, financial condition, results of operations and growth prospects, many of the other risks described in this “Risk Factors” section will be exacerbated.</w:t>
      </w:r>
    </w:p>
    <w:p>
      <w:pPr>
        <w:pStyle w:val="TextBody"/>
        <w:bidi w:val="0"/>
        <w:spacing w:before="360" w:after="283"/>
        <w:jc w:val="left"/>
        <w:rPr>
          <w:rFonts w:ascii="Arial" w:hAnsi="Arial"/>
          <w:b/>
          <w:i/>
          <w:color w:val="000000"/>
          <w:sz w:val="20"/>
        </w:rPr>
      </w:pPr>
      <w:r>
        <w:rPr>
          <w:rFonts w:ascii="Arial" w:hAnsi="Arial"/>
          <w:b/>
          <w:i/>
          <w:color w:val="000000"/>
          <w:sz w:val="20"/>
        </w:rPr>
        <w:t>We have identified material weaknesses in our internal control over financial reporting. Due to our failure to maintain effective internal control over financial reporting, we may not be able to accurately or timely report our financial condition or results of operations, which may adversely affect our business.</w:t>
      </w:r>
    </w:p>
    <w:p>
      <w:pPr>
        <w:pStyle w:val="TextBody"/>
        <w:bidi w:val="0"/>
        <w:spacing w:before="120" w:after="283"/>
        <w:jc w:val="left"/>
        <w:rPr>
          <w:rFonts w:ascii="Arial" w:hAnsi="Arial"/>
          <w:color w:val="000000"/>
          <w:sz w:val="20"/>
        </w:rPr>
      </w:pPr>
      <w:r>
        <w:rPr>
          <w:rFonts w:ascii="Arial" w:hAnsi="Arial"/>
          <w:color w:val="000000"/>
          <w:sz w:val="20"/>
        </w:rPr>
        <w:t>Prior to the completion of the IPO, we had been a private company with limited accounting personnel to adequately execute our accounting processes and other supervisory resources with which to address our internal control over financial reporting. In connection with the preparation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related to the accounting for certain non-routine or complex transactions, including the proper application of U.S. GAAP to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240" w:after="283"/>
        <w:jc w:val="left"/>
        <w:rPr>
          <w:rFonts w:ascii="Arial" w:hAnsi="Arial"/>
          <w:color w:val="000000"/>
          <w:sz w:val="20"/>
        </w:rPr>
      </w:pPr>
      <w:r>
        <w:rPr>
          <w:rFonts w:ascii="Arial" w:hAnsi="Arial"/>
          <w:color w:val="000000"/>
          <w:sz w:val="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pStyle w:val="TextBody"/>
        <w:bidi w:val="0"/>
        <w:spacing w:before="240" w:after="283"/>
        <w:jc w:val="left"/>
        <w:rPr>
          <w:rFonts w:ascii="Arial" w:hAnsi="Arial"/>
          <w:color w:val="000000"/>
          <w:sz w:val="20"/>
        </w:rPr>
      </w:pPr>
      <w:r>
        <w:rPr>
          <w:rFonts w:ascii="Arial" w:hAnsi="Arial"/>
          <w:color w:val="000000"/>
          <w:sz w:val="20"/>
        </w:rPr>
        <w:t>We cannot assure you that there will not be future material weaknesses in our internal control over financial reporting in the future. The failure to maintain effective internal control over financial reporting could severely inhibit our ability to accurately report our financial condition, results of operations, or cash flows. These identified material weaknesses, or any additional material weaknesses, in our internal control over financial reporting may cause investors to lose confidence in the accuracy and completeness of our financial reports and/or cause the market price of our common stock to decline, and we could be subject to sanctions or investigations by Nasdaq Global Select Market, the SEC or other regulatory authorities. Failure to remediate material weaknesses in our internal control over financial reporting, or to implement or maintain other effective control systems required of public companies, could also restrict our future access to the capital markets.</w:t>
      </w:r>
    </w:p>
    <w:p>
      <w:pPr>
        <w:pStyle w:val="TextBody"/>
        <w:bidi w:val="0"/>
        <w:spacing w:before="360" w:after="283"/>
        <w:jc w:val="left"/>
        <w:rPr>
          <w:rFonts w:ascii="Arial" w:hAnsi="Arial"/>
          <w:b/>
          <w:i/>
          <w:color w:val="000000"/>
          <w:sz w:val="20"/>
        </w:rPr>
      </w:pPr>
      <w:r>
        <w:rPr>
          <w:rFonts w:ascii="Arial" w:hAnsi="Arial"/>
          <w:b/>
          <w:i/>
          <w:color w:val="000000"/>
          <w:sz w:val="20"/>
        </w:rPr>
        <w:t>If in the future, we need to expand our research, development, and business capabilities and implement sales, marketing, and distribution capabilities, we may encounter difficulties in managing such growth, which could disrupt our operations.</w:t>
      </w:r>
    </w:p>
    <w:p>
      <w:pPr>
        <w:pStyle w:val="TextBody"/>
        <w:bidi w:val="0"/>
        <w:spacing w:before="120" w:after="283"/>
        <w:jc w:val="left"/>
        <w:rPr>
          <w:rFonts w:ascii="Arial" w:hAnsi="Arial"/>
          <w:color w:val="000000"/>
          <w:sz w:val="20"/>
        </w:rPr>
      </w:pPr>
      <w:r>
        <w:rPr>
          <w:rFonts w:ascii="Arial" w:hAnsi="Arial"/>
          <w:color w:val="000000"/>
          <w:sz w:val="20"/>
        </w:rPr>
        <w:t>Although we effected a 2024 restructuring to reduce our workforce by approximately 50%, if the development of our product candidates progresses, we may experience growth in the scope of our operations, particularly in the areas of research, drug development, regulatory affairs and, if any of our product candidates receives regulatory approval, sales, marketing and distribution. To manage any such growth, we will need to implement and improve our managerial, operational, and financial systems, expand our facilities and recruit and train additional qualified personnel. Due to our limited financial resources and the limited experience of our management team in managing a company with such growth, we may not be able to effectively manage such an expansion of our operations or recruit and train additional qualified personnel. The expansion of our operations may also lead to significant costs and may divert our management and research and development resources. Any inability to manage growth could delay the execution of our business plans or disrupt our operations.</w:t>
      </w:r>
    </w:p>
    <w:p>
      <w:pPr>
        <w:pStyle w:val="TextBody"/>
        <w:bidi w:val="0"/>
        <w:spacing w:before="360" w:after="283"/>
        <w:jc w:val="left"/>
        <w:rPr>
          <w:rFonts w:ascii="Arial" w:hAnsi="Arial"/>
          <w:b/>
          <w:i/>
          <w:color w:val="000000"/>
          <w:sz w:val="20"/>
        </w:rPr>
      </w:pPr>
      <w:r>
        <w:rPr>
          <w:rFonts w:ascii="Arial" w:hAnsi="Arial"/>
          <w:b/>
          <w:i/>
          <w:color w:val="000000"/>
          <w:sz w:val="20"/>
        </w:rPr>
        <w:t>If we engage in future acquisitions or strategic collaborations, this may increase our capital requirements, dilute our stockholders, cause us to incur debt or assume contingent liabilities, and subject us to other risks.</w:t>
      </w:r>
    </w:p>
    <w:p>
      <w:pPr>
        <w:pStyle w:val="TextBody"/>
        <w:bidi w:val="0"/>
        <w:spacing w:before="120" w:after="200"/>
        <w:jc w:val="left"/>
        <w:rPr>
          <w:rFonts w:ascii="Arial" w:hAnsi="Arial"/>
          <w:color w:val="000000"/>
          <w:sz w:val="20"/>
        </w:rPr>
      </w:pPr>
      <w:r>
        <w:rPr>
          <w:rFonts w:ascii="Arial" w:hAnsi="Arial"/>
          <w:color w:val="000000"/>
          <w:sz w:val="20"/>
        </w:rPr>
        <w:t>We have in the past and may from time to time in the future evaluate various acquisitions and strategic collaborations, including licensing or acquiring complementary drug products, intellectual property rights, technologies or businesses, as deemed appropriate to carry out our business plan. Any potential acquisition or strategic collaboration may entail numerous risks, including: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issuance of our equity securities which would result in dilution to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assimilation of operations, intellectual property and drug products of an acquired company, including difficulties associated with integrating new personnel;</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diversion of our management’s attention from our existing drug development programs and initiatives in pursuing such a strategic partnership, merger, or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drugs or drug candidates and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generate revenue from acquired technology and/or drugs sufficient to meet our objectives in undertaking the acquisition or even to offset the associated acquisition and maintenance costs.</w:t>
      </w:r>
    </w:p>
    <w:p>
      <w:pPr>
        <w:pStyle w:val="TextBody"/>
        <w:bidi w:val="0"/>
        <w:spacing w:before="240" w:after="283"/>
        <w:jc w:val="left"/>
        <w:rPr>
          <w:rFonts w:ascii="Arial" w:hAnsi="Arial"/>
          <w:color w:val="000000"/>
          <w:sz w:val="20"/>
        </w:rPr>
      </w:pPr>
      <w:r>
        <w:rPr>
          <w:rFonts w:ascii="Arial" w:hAnsi="Arial"/>
          <w:color w:val="000000"/>
          <w:sz w:val="20"/>
        </w:rPr>
        <w:t>In addition, if we undertake such a transaction, we may incur large one-time expenses and acquire intangible assets that could result in significant future amortization expense.</w:t>
      </w:r>
    </w:p>
    <w:p>
      <w:pPr>
        <w:pStyle w:val="TextBody"/>
        <w:bidi w:val="0"/>
        <w:spacing w:before="360" w:after="283"/>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120" w:after="283"/>
        <w:jc w:val="left"/>
        <w:rPr>
          <w:rFonts w:ascii="Arial" w:hAnsi="Arial"/>
          <w:b/>
          <w:i/>
          <w:color w:val="000000"/>
          <w:sz w:val="20"/>
        </w:rPr>
      </w:pPr>
      <w:r>
        <w:rPr>
          <w:rFonts w:ascii="Arial" w:hAnsi="Arial"/>
          <w:b/>
          <w:i/>
          <w:color w:val="000000"/>
          <w:sz w:val="20"/>
        </w:rPr>
        <w:t>If we are unable to obtain and maintain patent and other intellectual property protection for our technology, or for our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pStyle w:val="TextBody"/>
        <w:bidi w:val="0"/>
        <w:spacing w:before="120" w:after="283"/>
        <w:jc w:val="left"/>
        <w:rPr>
          <w:rFonts w:ascii="Arial" w:hAnsi="Arial"/>
          <w:color w:val="000000"/>
          <w:sz w:val="20"/>
        </w:rPr>
      </w:pPr>
      <w:r>
        <w:rPr>
          <w:rFonts w:ascii="Arial" w:hAnsi="Arial"/>
          <w:color w:val="000000"/>
          <w:sz w:val="20"/>
        </w:rPr>
        <w:t>Our success depends in large part on our ability to obtain and maintain patent protection in the U.S. and other countries with respect to our product candidates. We seek to protect our proprietary position by developing and in-licensing intellectual property relating to our product candidates including patent applications in the U.S. and abroad related to our technology and product candidates that are important to our business. If we or our licensors do not adequately protect the intellectual property we in-license or own, competitors may be able to use our technologies and erode or negate any competitive advantage that we may have, which could harm our business and ability to achieve profitability. To protect our proprietary positions, we and our licensors file patent applications in the U.S. and abroad related to our novel technologies and product candidates that are important to our business. The patent application and prosecution process is expensive and time-consuming. We and our current licensors and licensees, or any future licensors and licensees, may not be able to file and prosecute all necessary or desirable patent applications at a reasonable cost or in a timely manner. We or our current licensors and licensees, or any future licensors or licensees may also fail to identify patentable aspects of our research and development before it is too late to obtain patent protection, or fail to continue to prosecute patents relating to our product candidates. Therefore, these and any of our in-licensed patents and patent applications may not be prosecuted and enforced in a manner consistent with the best interests of our business. It is possible that defects of form in the preparation or filing of our licensors’ patents or our patent applications may exist, or may arise in the future, such as with respect to proper priority claims, inventorship, claim scope or patent term adjustments. If our current licensors and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We cannot predict whether the patent applications we and our licensors or licensees are currently pursuing will issue as patents in any particular jurisdiction or whether the claims of any issued patents will provide sufficient protection from competitors. If there are material defects in the form or preparation of our or our licensors’ patents or patent applications, such patents or applications may be invalid and unenforceable. Moreover, our competitors may independently develop equivalent knowledge, methods, and know-how, and we may not be able to prevent such competitors from commercializing such equivalent knowledge, methods, and know-how. Any of these outcomes could impair our ability to prevent competition from third parties and could have a material adverse effect on our business, financial condition, results of operations and growth prospects. The patent position of biotechnology and pharmaceutical companies generally is highly uncertain and has been the subject of much litigation in recent years. Changes in either the patent laws or interpretation of the patent laws in the U.S. and other countries may diminish the value of our patents or narrow the scope of our patent protection. In addition, the laws of foreign countries may not protect our rights to the same extent as the laws of the U.S. No consistent policy regarding the breadth of claims allowed in biotechnology and pharmaceutical patents has emerged to date in the U.S.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U.S., including the America Invents Act of 2011, and future changes in patent laws in or outside the U.S. may affect the scope, strength and enforceability of our patent rights or the nature of proceedings that may be brought by us related to our patent rights.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may not be aware of all third-party intellectual property rights potentially relating to our product candidates.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patents or pending patent applications that we in-license or own, or that we or our licensors were the first to file for patent protection of such inventions. As a result, the issuance, scope, validity and commercial value of our patent rights cannot be predicted with any certainty. Moreover, we or our licensors may be subject to a third-party pre-issuance submission of prior art to the U.S. Patent and Trademark Office (“USPTO”), or become involved in opposition, derivation, reexamination, inter partes review, or interference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w:t>
      </w:r>
    </w:p>
    <w:p>
      <w:pPr>
        <w:pStyle w:val="TextBody"/>
        <w:bidi w:val="0"/>
        <w:spacing w:before="240" w:after="283"/>
        <w:jc w:val="left"/>
        <w:rPr>
          <w:rFonts w:ascii="Arial" w:hAnsi="Arial"/>
          <w:color w:val="000000"/>
          <w:sz w:val="20"/>
        </w:rPr>
      </w:pPr>
      <w:r>
        <w:rPr>
          <w:rFonts w:ascii="Arial" w:hAnsi="Arial"/>
          <w:color w:val="000000"/>
          <w:sz w:val="20"/>
        </w:rPr>
        <w:t>Our licensors’ pending and future patent applications and our own pending and future patent applications may not result in patents being issued that protect our technology or product candidates, in whole or in part, or which effectively prevent others from commercializing competitive technologies and products. Even if our or our licensors’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in-licensed patents or any patents we may own in the future by developing similar or alternative technologies or products in a non-infringing manner. Our competitors may seek to market generic versions of any approved products by submitting abbreviated NDAs to the FDA in which they claim that patents licensed by us or may be owned by us in the future are invalid, unenforceable, and/or not infringed. Alternatively, our competitors may seek approval to market their own products similar to or otherwise competitive with our product candidates. In these circumstances, we may need to defend and/or assert our in-licensed or owned patents, including by filing lawsuits alleging patent infringement. In any of these types of proceedings, a court, or other agency with jurisdiction may find our in-licensed patents or any owned patents, should such patents issue in the future, not infringed, invalid and/or unenforceable.</w:t>
      </w:r>
    </w:p>
    <w:p>
      <w:pPr>
        <w:pStyle w:val="TextBody"/>
        <w:bidi w:val="0"/>
        <w:spacing w:before="240" w:after="283"/>
        <w:jc w:val="left"/>
        <w:rPr>
          <w:rFonts w:ascii="Arial" w:hAnsi="Arial"/>
          <w:color w:val="000000"/>
          <w:sz w:val="20"/>
        </w:rPr>
      </w:pPr>
      <w:r>
        <w:rPr>
          <w:rFonts w:ascii="Arial" w:hAnsi="Arial"/>
          <w:color w:val="000000"/>
          <w:sz w:val="20"/>
        </w:rPr>
        <w:t>The issuance of a patent is not conclusive as to its inventorship, scope, validity, or enforceability, and our in-licensed patents or patents we may own in the future may be challenged in the courts or patent offices in the U.S. and abroad. Such challenges may result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In addition, given the amount of time required for the development, testing, and regulatory review of new product candidates, patents protecting such candidates might expire before or shortly after such candidates are commercialized. Any impairment of our intellectual property rights, or our failure to protect our intellectual property rights adequately, could give third parties access to our technology and product candidates and could materially and adversely impact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Our rights to develop and commercialize our technology and our other product candidates are subject, in large part, to the terms and conditions of licenses granted to us by others, such as Anacor. If we fail to comply with our obligations in the agreements under which we in-license or acquire development or commercialization rights to products, technology, or data from third parties, we could lose such rights that are important to our business.</w:t>
      </w:r>
    </w:p>
    <w:p>
      <w:pPr>
        <w:pStyle w:val="TextBody"/>
        <w:bidi w:val="0"/>
        <w:spacing w:before="120" w:after="283"/>
        <w:jc w:val="left"/>
        <w:rPr>
          <w:rFonts w:ascii="Arial" w:hAnsi="Arial"/>
          <w:color w:val="000000"/>
          <w:sz w:val="20"/>
        </w:rPr>
      </w:pPr>
      <w:r>
        <w:rPr>
          <w:rFonts w:ascii="Arial" w:hAnsi="Arial"/>
          <w:color w:val="000000"/>
          <w:sz w:val="20"/>
        </w:rPr>
        <w:t>For certain product candidates, we rely on licenses to certain patent rights and other intellectual property that are important or necessary to the development of these product candidates. For example, we depend on a license agreement from Anacor, a biopharmaceutical company that originally developed epetraborole and is currently a wholly-owned subsidiary of Pfizer. Additionally, we have licensed our rights under the Anacor agreement in China, Hong Kong, Taiwan and Macau to Brii Biosciences.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Anacor has relied upon, our other licensors may have relied upon, and any future licensors may rely upon, third-party companies, consultants or collaborators, or on funds from third parties such that our licensors are not the sole and exclusive owners of the patents we in-licensed. We have sublicensed certain patents from Anacor that are owned, maintained and prosecuted by GlaxoSmithKline plc (“GSK”). If third-party companies such as GSK fail to prosecute, maintain, enforce and defend such patents, or lose rights to those patents, the rights we have licensed may be reduced or eliminated, and our right to develop and commercialize our product candidates that are the subject of such licensed rights could be adversely affected. Further, we rely upon Anacor’s compliance with its license agreement with GSK to maintain our sublicense to such patents owned by GSK, and any termination of Anacor’s license agreement with GSK could result in us losing our license to epetraborole. Further development and commercialization of our product candidates may require us to enter into additional license or collaboration agreements. Our future licenses may not provide us with exclusive rights to use the licensed patent rights and other intellectual property, or may not provide us with exclusive rights to use such patent rights and intellectual property in all relevant fields of use and in all territories in which we wish to develop or commercialize our product candidates in the future.</w:t>
      </w:r>
    </w:p>
    <w:p>
      <w:pPr>
        <w:pStyle w:val="TextBody"/>
        <w:bidi w:val="0"/>
        <w:spacing w:before="240" w:after="283"/>
        <w:jc w:val="left"/>
        <w:rPr>
          <w:rFonts w:ascii="Arial" w:hAnsi="Arial"/>
          <w:color w:val="000000"/>
          <w:sz w:val="20"/>
        </w:rPr>
      </w:pPr>
      <w:r>
        <w:rPr>
          <w:rFonts w:ascii="Arial" w:hAnsi="Arial"/>
          <w:color w:val="000000"/>
          <w:sz w:val="20"/>
        </w:rPr>
        <w:t>Our license agreement with Anacor, and other intellectual property-related agreements we have entered into and may in the future enter into may impose diligence and other obligations, including payment of milestones and royalties. For example, our license agreement from Anacor requires us to satisfy diligence requirements, including using commercially reasonable efforts to develop and commercialize products. If we fail to comply with our obligations to Anacor or any other or future licensors, those counterparties may have the right to terminate the license agreements, in which event we might not be able to develop, manufacture, or market any product candidate licensed under the agreements, which could materially adversely affect the value of the product candidate being developed under any such agreement and further involve termination of our rights to important intellectual property or technology.</w:t>
      </w:r>
    </w:p>
    <w:p>
      <w:pPr>
        <w:pStyle w:val="TextBody"/>
        <w:bidi w:val="0"/>
        <w:spacing w:before="240" w:after="283"/>
        <w:jc w:val="left"/>
        <w:rPr>
          <w:rFonts w:ascii="Arial" w:hAnsi="Arial"/>
          <w:color w:val="000000"/>
          <w:sz w:val="20"/>
        </w:rPr>
      </w:pPr>
      <w:r>
        <w:rPr>
          <w:rFonts w:ascii="Arial" w:hAnsi="Arial"/>
          <w:color w:val="000000"/>
          <w:sz w:val="20"/>
        </w:rPr>
        <w:t>In spite of our efforts, Anacor might conclude, or any other or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business, financial condition, results of operations and growth prospects.</w:t>
      </w:r>
    </w:p>
    <w:p>
      <w:pPr>
        <w:pStyle w:val="TextBody"/>
        <w:bidi w:val="0"/>
        <w:spacing w:before="240" w:after="283"/>
        <w:jc w:val="left"/>
        <w:rPr>
          <w:rFonts w:ascii="Arial" w:hAnsi="Arial"/>
          <w:color w:val="000000"/>
          <w:sz w:val="20"/>
        </w:rPr>
      </w:pPr>
      <w:r>
        <w:rPr>
          <w:rFonts w:ascii="Arial" w:hAnsi="Arial"/>
          <w:color w:val="000000"/>
          <w:sz w:val="20"/>
        </w:rPr>
        <w:t>Under our license agreement with Anacor, and any other or future license agreements, disputes may arise regarding intellectual property subject to a licensing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sublicensing of patent and other rights under our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priority of invention of patented technology.</w:t>
      </w:r>
    </w:p>
    <w:p>
      <w:pPr>
        <w:pStyle w:val="TextBody"/>
        <w:bidi w:val="0"/>
        <w:spacing w:before="240" w:after="283"/>
        <w:jc w:val="left"/>
        <w:rPr>
          <w:rFonts w:ascii="Arial" w:hAnsi="Arial"/>
          <w:color w:val="000000"/>
          <w:sz w:val="20"/>
        </w:rPr>
      </w:pPr>
      <w:r>
        <w:rPr>
          <w:rFonts w:ascii="Arial" w:hAnsi="Arial"/>
          <w:color w:val="000000"/>
          <w:sz w:val="20"/>
        </w:rPr>
        <w:t>In addition, the license agreements involving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growth prospects.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not be successful in obtaining necessary rights to any product candidates we may develop through acquisitions and in-licenses.</w:t>
      </w:r>
    </w:p>
    <w:p>
      <w:pPr>
        <w:pStyle w:val="TextBody"/>
        <w:bidi w:val="0"/>
        <w:spacing w:before="120" w:after="283"/>
        <w:jc w:val="left"/>
        <w:rPr>
          <w:rFonts w:ascii="Arial" w:hAnsi="Arial"/>
          <w:color w:val="000000"/>
          <w:sz w:val="20"/>
        </w:rPr>
      </w:pPr>
      <w:r>
        <w:rPr>
          <w:rFonts w:ascii="Arial" w:hAnsi="Arial"/>
          <w:color w:val="000000"/>
          <w:sz w:val="20"/>
        </w:rPr>
        <w:t>We currently have rights to intellectual property through licenses from third parties, including Anacor, to identify and develop product candidates. We may find it necessary or prudent to obtain licenses from other third-party intellectual property holders in order to avoid infringing these third-party patents. For example, many pharmaceutical companies, biotechnology companies and academic institutions compete with us and may be filing patent applications that are potentially relevant to our business.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license any intellectual property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become involved in lawsuits to protect or enforce our owned or in-licensed patents or other intellectual property, which could be expensive, time-consuming and unsuccessful.</w:t>
      </w:r>
    </w:p>
    <w:p>
      <w:pPr>
        <w:pStyle w:val="TextBody"/>
        <w:bidi w:val="0"/>
        <w:spacing w:before="120" w:after="283"/>
        <w:jc w:val="left"/>
        <w:rPr>
          <w:rFonts w:ascii="Arial" w:hAnsi="Arial"/>
          <w:color w:val="000000"/>
          <w:sz w:val="20"/>
        </w:rPr>
      </w:pPr>
      <w:r>
        <w:rPr>
          <w:rFonts w:ascii="Arial" w:hAnsi="Arial"/>
          <w:color w:val="000000"/>
          <w:sz w:val="20"/>
        </w:rPr>
        <w:t>Competitors or other third parties may infringe, misappropriate or otherwise violate our in-licensed issued patents or other intellectual property rights we may own. To counter such infringement, misappropriation, violation or other unauthorized use, we may be required to file infringement claims, which can be expensive and time-consuming and divert the time and attention of our management and scientific personnel. Any claims we assert against third parties could provoke these parties to assert counterclaims against us alleging that we infringe, misappropriate or otherwise violate their patents, trademarks, copyrights or other intellectual property rights. In addition, our in-licensed patents may become involved in inventorship or priority disputes. Third parties may raise challenges to the validity of certain of our in-licensed patent claims and may in the future raise similar claims before administrative bodies in the U.S. or abroad, even outside the context of litigation. For example, we may be subject to a third-party pre-issuance submission of prior art to the USPTO, or become involved in derivation, revocation, reexamination, post-grant review (“PGR”), inter partes review (“IPR”), interference proceedings and equivalent proceedings in foreign jurisdictions, such as opposition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In a patent infringement proceeding, there is a risk that a court will decide that a patent we own or in-license is invalid or unenforceable, in whole or in part, and that we do not have the right to stop the other party from using the invention at issue. There is also a risk that, even if the validity of such patents are upheld, the court will construe the patent’s claims narrowly or decide that we do not have the right to stop the other party from using the invention at issue on the grounds that our owned or in-licensed patents do not cover the invention. An adverse outcome in a litigation or proceeding involving our owned or in-licensed patents could limit our ability to assert our owned or in-licensed patents against those parties or other competitors and may curtail or preclude our ability to exclude third parties from making and selling similar or competitive products. Similarly, in the future, we expect to rely on trademarks to distinguish our product candidates that are approved for marketing, if any, and if we assert trademark infringement claims, a court may determine that the marks we have asserted are invalid or unenforceable, or that the third party against whom we have asserted trademark infringement has superior rights to the marks in question. In this case, we could ultimately be forced to cease use of such trademarks.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or trade secrets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adequately file and pursue such infringement claims, which typically last for years before they are concluded. Some of our competitors and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otherwise violating or successfully challenging our intellectual property rights. Uncertainties resulting from the initiation and continuation of patent litigation or other proceedings could have a negative impact on our ability to compete in the marketplace, which could have a material adverse effect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Third parties may initiate legal proceedings alleging that we are infringing, misappropriating, or otherwise violating their intellectual property rights, the outcome of which would be uncertain and could significantly harm our business.</w:t>
      </w:r>
    </w:p>
    <w:p>
      <w:pPr>
        <w:pStyle w:val="TextBody"/>
        <w:bidi w:val="0"/>
        <w:spacing w:before="120" w:after="283"/>
        <w:jc w:val="left"/>
        <w:rPr>
          <w:rFonts w:ascii="Arial" w:hAnsi="Arial"/>
          <w:color w:val="000000"/>
          <w:sz w:val="20"/>
        </w:rPr>
      </w:pPr>
      <w:r>
        <w:rPr>
          <w:rFonts w:ascii="Arial" w:hAnsi="Arial"/>
          <w:color w:val="000000"/>
          <w:sz w:val="20"/>
        </w:rPr>
        <w:t>Our commercial success depends, in part, on our ability to develop, manufacture, market and sell our product candidates and use our proprietary chemistry technology without infringing, misappropriating or otherwise violating the intellectual property rights of third parties. Numerous third-party U.S. and non-U.S. issued patents exist in the area of antibacterial treatment, including compounds, formulations, treatment methods and synthetic processes that may be applied towards the synthesis of antibiotics. If any such patents of third parties cover our product candidates or technologies, we may not be free to manufacture or market our product candidates as planned.</w:t>
      </w:r>
    </w:p>
    <w:p>
      <w:pPr>
        <w:pStyle w:val="TextBody"/>
        <w:bidi w:val="0"/>
        <w:spacing w:before="240" w:after="283"/>
        <w:jc w:val="left"/>
        <w:rPr>
          <w:rFonts w:ascii="Arial" w:hAnsi="Arial"/>
          <w:color w:val="000000"/>
          <w:sz w:val="20"/>
        </w:rPr>
      </w:pPr>
      <w:r>
        <w:rPr>
          <w:rFonts w:ascii="Arial" w:hAnsi="Arial"/>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Third parties may assert claims against us based on existing or future intellectual property rights. The outcome of intellectual property litigation is subject to uncertainties that cannot be adequately quantified in advance.</w:t>
      </w:r>
    </w:p>
    <w:p>
      <w:pPr>
        <w:pStyle w:val="TextBody"/>
        <w:bidi w:val="0"/>
        <w:spacing w:before="240" w:after="283"/>
        <w:jc w:val="left"/>
        <w:rPr>
          <w:rFonts w:ascii="Arial" w:hAnsi="Arial"/>
          <w:color w:val="000000"/>
          <w:sz w:val="20"/>
        </w:rPr>
      </w:pPr>
      <w:r>
        <w:rPr>
          <w:rFonts w:ascii="Arial" w:hAnsi="Arial"/>
          <w:color w:val="000000"/>
          <w:sz w:val="20"/>
        </w:rPr>
        <w:t>If we are found to have infringed, misappropriated or otherwise violated any third party’s intellectual property rights, we could be forced, including by court order, to cease developing, manufacturing, or commercializing our product candidates. Alternatively, we may be required to obtain a license from such third party in order to use technology and continue developing, manufacturing or marketing product candidates that infringe, misappropriate or otherwise violate such third party’s intellectual property rights. However, we may not be able to obtain any such required license on commercially reasonable terms or at all. Even if we were able to obtain a license, it could be non-exclusive, thereby giving our competitors access to the same technologies licensed to us. We may also be required to pay substantial ongoing royalty or license payments or fees or comply with other unfavorable terms.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we were to prevail in such a dispute, any litigation regarding our intellectual property rights could be costly and time-consuming and divert the attention of our management and key personnel from our business operations. Furthermore, because of the substantial amount of discovery required in connection with intellectual property litigation, there is a risk that some of our confidential information or trade secrets could be compromised by disclosure during this type of litigation. During the course of litigation, there could be public announcements or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customer or former customer, regardless of its accuracy, may adversely impact our other customer relationships or prospective customer relationships, harm our brand and business and could cause the market price of our common stock to decline. Any of the foregoing arising from uncertainty in legal proceedings could materially and adversely impact our business, financial condition, results of operations and growth prospects.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may be subject to claims by third parties asserting that we or our employees, consultants and advisors have misappropriated their intellectual property rights or claiming ownership of what we regard as our own intellectual property rights.</w:t>
      </w:r>
    </w:p>
    <w:p>
      <w:pPr>
        <w:pStyle w:val="TextBody"/>
        <w:bidi w:val="0"/>
        <w:spacing w:before="120" w:after="283"/>
        <w:jc w:val="left"/>
        <w:rPr>
          <w:rFonts w:ascii="Arial" w:hAnsi="Arial"/>
          <w:color w:val="000000"/>
          <w:sz w:val="20"/>
        </w:rPr>
      </w:pPr>
      <w:r>
        <w:rPr>
          <w:rFonts w:ascii="Arial" w:hAnsi="Arial"/>
          <w:color w:val="000000"/>
          <w:sz w:val="20"/>
        </w:rPr>
        <w:t>Many of our employees, consultants and advisors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such employees, consultants and advisors have inadvertently or otherwise used or disclosed intellectual property, including trade secrets or other proprietary information, of any such individual’s former employer. We may also in the future be subject to claims that we have caused an employee to breach the terms of his or her non-competition or non-solicitation agreement. Litigation may be necessary to defend against these potential claims.</w:t>
      </w:r>
    </w:p>
    <w:p>
      <w:pPr>
        <w:pStyle w:val="TextBody"/>
        <w:bidi w:val="0"/>
        <w:spacing w:before="240" w:after="283"/>
        <w:jc w:val="left"/>
        <w:rPr>
          <w:rFonts w:ascii="Arial" w:hAnsi="Arial"/>
          <w:color w:val="000000"/>
          <w:sz w:val="20"/>
        </w:rPr>
      </w:pPr>
      <w:r>
        <w:rPr>
          <w:rFonts w:ascii="Arial" w:hAnsi="Arial"/>
          <w:color w:val="000000"/>
          <w:sz w:val="20"/>
        </w:rPr>
        <w:t>In addition, while it is our policy to require our employees and contractors who may be involved in the development of intellectual property rights to execute agreements assigning such intellectual property rights to us, such employees and contractors may breach the agreement and claim the developed intellectual property as their own. Further, we may be unsuccessful in executing such agreements with each party who, in fact, conceives, or develops intellectual property that we regard as our own. The assignment of intellectual property may not be self-executing and we may be forced to bring claims against third parties, or defend claims that they may bring against us, to determine the ownership of what we regard as our intellectual property.</w:t>
      </w:r>
    </w:p>
    <w:p>
      <w:pPr>
        <w:pStyle w:val="TextBody"/>
        <w:bidi w:val="0"/>
        <w:spacing w:before="240" w:after="283"/>
        <w:jc w:val="left"/>
        <w:rPr>
          <w:rFonts w:ascii="Arial" w:hAnsi="Arial"/>
          <w:color w:val="000000"/>
          <w:sz w:val="20"/>
        </w:rPr>
      </w:pPr>
      <w:r>
        <w:rPr>
          <w:rFonts w:ascii="Arial" w:hAnsi="Arial"/>
          <w:color w:val="000000"/>
          <w:sz w:val="20"/>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 candidates. Any of the foregoing could have a material adverse impact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Any trademarks we may obtain may be infringed or successfully challenged, resulting in harm to our business.</w:t>
      </w:r>
    </w:p>
    <w:p>
      <w:pPr>
        <w:pStyle w:val="TextBody"/>
        <w:bidi w:val="0"/>
        <w:spacing w:before="120" w:after="283"/>
        <w:jc w:val="left"/>
        <w:rPr>
          <w:rFonts w:ascii="Arial" w:hAnsi="Arial"/>
          <w:color w:val="000000"/>
          <w:sz w:val="20"/>
        </w:rPr>
      </w:pPr>
      <w:r>
        <w:rPr>
          <w:rFonts w:ascii="Arial" w:hAnsi="Arial"/>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who have prior rights to our trademarks or third parties who have prior rights to similar trademarks may oppose our trademark applications, or otherwise challenge our use of the trademarks.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diluting or impeding our ability to build brand identity and possibly leading to market confusion. Our competitors may infringe our trademarks and we may not have adequate resources to enforce our trademarks and may not be able to prevent such third parties from using and marketing any such trademarks.</w:t>
      </w:r>
    </w:p>
    <w:p>
      <w:pPr>
        <w:pStyle w:val="TextBody"/>
        <w:bidi w:val="0"/>
        <w:spacing w:before="240" w:after="283"/>
        <w:jc w:val="left"/>
        <w:rPr>
          <w:rFonts w:ascii="Arial" w:hAnsi="Arial"/>
          <w:color w:val="000000"/>
          <w:sz w:val="20"/>
        </w:rPr>
      </w:pPr>
      <w:r>
        <w:rPr>
          <w:rFonts w:ascii="Arial" w:hAnsi="Arial"/>
          <w:color w:val="000000"/>
          <w:sz w:val="20"/>
        </w:rPr>
        <w:t>In addition, any proprietary name we propose to use with any product candidate in the U.S.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If we are unable to establish name recognition based on our trademarks, we may not be able to compete effectively and our business, financial condition, results of operations and growth prospects may be adversely affected.</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are unable to protect the confidentiality of our proprietary information, know-how and trade secrets, the value of our product candidates could be adversely affected and our business and competitive position would be harmed.</w:t>
      </w:r>
    </w:p>
    <w:p>
      <w:pPr>
        <w:pStyle w:val="TextBody"/>
        <w:bidi w:val="0"/>
        <w:spacing w:before="120" w:after="283"/>
        <w:jc w:val="left"/>
        <w:rPr>
          <w:rFonts w:ascii="Arial" w:hAnsi="Arial"/>
          <w:color w:val="000000"/>
          <w:sz w:val="20"/>
        </w:rPr>
      </w:pPr>
      <w:r>
        <w:rPr>
          <w:rFonts w:ascii="Arial" w:hAnsi="Arial"/>
          <w:color w:val="000000"/>
          <w:sz w:val="20"/>
        </w:rPr>
        <w:t>In addition to seeking patent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agreements may be inadequate to protect our proprietary and intellectual property rights. Despite these efforts, any of these parties may breach the agreements and disclose our proprietary information, including our trade secrets. In addition, we may not be able to obtain adequate remedies for any such breaches. Although we use reasonable efforts to protect this proprietary information and technology, we also cannot guarantee that we have entered into such agreements with each party that may have or have had access to our confidential information, know-how, trade secrets or other proprietary information or each individual who has developed intellectual property on our behalf. Monitoring unauthorized uses and disclosures of our intellectual property is difficult, and we do not know whether the steps we have taken to protect our intellectual property rights will be effective. Enforcing a claim that a party illegally disclosed or misappropriated a trade secret is difficult, expensive, distracting to management, and time-consuming, and the outcome is unpredictable and varied depending on the jurisdiction. In addition, some courts inside and outside the U.S., in countries in which we operate or intend to operate, are less willing, or unwilling, to protect trade secrets, know-how and other proprietary information. Any claims or litigation could cause us to incur significant expenses. Some third parties may be able to sustain the costs of complex litigation more effectively than we can because they have substantially greater resources.</w:t>
      </w:r>
    </w:p>
    <w:p>
      <w:pPr>
        <w:pStyle w:val="TextBody"/>
        <w:bidi w:val="0"/>
        <w:spacing w:before="240" w:after="283"/>
        <w:jc w:val="left"/>
        <w:rPr>
          <w:rFonts w:ascii="Arial" w:hAnsi="Arial"/>
          <w:color w:val="000000"/>
          <w:sz w:val="20"/>
        </w:rPr>
      </w:pPr>
      <w:r>
        <w:rPr>
          <w:rFonts w:ascii="Arial" w:hAnsi="Arial"/>
          <w:color w:val="000000"/>
          <w:sz w:val="20"/>
        </w:rPr>
        <w:t>Our employees, consultants, and other parties may unintentionally or willfully disclose our information or technology to competitors and there can be no assurance that the legal protections and precaution taken by us will be adequate to prevent misappropriation of our technology or that competitors will not independently develop technologies equivalent or superior to ours. Trade secrets and know-how can be difficult to protect. Our competitors or other third parties may independently develop knowledge, methods and know-how equivalent to our trade secrets. Additionally, competitors could purchase our product candidates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from using that technology or information to compete with us. If any of our trade secrets were to be disclosed to or independently developed by a competitor, our competitive position would be harmed, which could have a material adverse effect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If we or our licensors do not obtain patent term extension and data exclusivity for any product candidates we or our licensors may develop, our business may be materially harmed.</w:t>
      </w:r>
    </w:p>
    <w:p>
      <w:pPr>
        <w:pStyle w:val="TextBody"/>
        <w:bidi w:val="0"/>
        <w:spacing w:before="120" w:after="283"/>
        <w:jc w:val="left"/>
        <w:rPr>
          <w:rFonts w:ascii="Arial" w:hAnsi="Arial"/>
          <w:color w:val="000000"/>
          <w:sz w:val="20"/>
        </w:rPr>
      </w:pPr>
      <w:r>
        <w:rPr>
          <w:rFonts w:ascii="Arial" w:hAnsi="Arial"/>
          <w:color w:val="000000"/>
          <w:sz w:val="20"/>
        </w:rPr>
        <w:t>Given the amount of time required for the development, testing, and regulatory review of new product candidates, patents we license or may own in the future protecting such candidates might expire before or shortly after such candidates are commercialized. As a result, our intellectual property may not provide us with sufficient rights to exclude others from commercializing products similar or identical to our product candidates. Depending upon the timing, duration, and specifics of any FDA approval of any of our product candidates, one or more of our in-licensed U.S. patents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patent term extension is less than we request, our competitors may obtain approval of competing products following our patent expiration, and our business, financial condition, results of operations and growth prospects could be materially harmed.</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left"/>
        <w:rPr>
          <w:rFonts w:ascii="Arial" w:hAnsi="Arial"/>
          <w:color w:val="000000"/>
          <w:sz w:val="20"/>
        </w:rPr>
      </w:pPr>
      <w:r>
        <w:rPr>
          <w:rFonts w:ascii="Arial" w:hAnsi="Arial"/>
          <w:color w:val="000000"/>
          <w:sz w:val="20"/>
        </w:rPr>
        <w:t>Periodic maintenance fees, renewal fees, annuity fees and various other government fees on patents and patent applications will be due to be paid to the USPTO and various government patent agencies outside of the U.S. over the lifetime of our owned or in-licensed patents and patent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may not be able to protect our intellectual property rights throughout the world.</w:t>
      </w:r>
    </w:p>
    <w:p>
      <w:pPr>
        <w:pStyle w:val="TextBody"/>
        <w:bidi w:val="0"/>
        <w:spacing w:before="120" w:after="283"/>
        <w:jc w:val="left"/>
        <w:rPr>
          <w:rFonts w:ascii="Arial" w:hAnsi="Arial"/>
          <w:color w:val="000000"/>
          <w:sz w:val="20"/>
        </w:rPr>
      </w:pPr>
      <w:r>
        <w:rPr>
          <w:rFonts w:ascii="Arial" w:hAnsi="Arial"/>
          <w:color w:val="000000"/>
          <w:sz w:val="20"/>
        </w:rPr>
        <w:t>Filing, prosecuting, enforcing and defending patents on product candidates in all countries throughout the world would be prohibitively expensive, and our intellectual property rights in some countries outside the U.S. could be less extensive than those in the U.S. In some cases, we or our licensors may not be able to obtain patent protection for certain licensed technology outside the U.S. In addition, the laws of some foreign countries do not protect intellectual property rights to the same extent as federal and state laws in the U.S., even in jurisdictions where we or our licensors do pursue patent protection. Consequently, we may not be able to prevent third parties from practicing our in-licensed inventions in all countries outside the U.S., even in jurisdictions where our licensors do pursue patent protection or from selling or importing products made using our inventions in and into the U.S. or other jurisdictions.</w:t>
      </w:r>
    </w:p>
    <w:p>
      <w:pPr>
        <w:pStyle w:val="TextBody"/>
        <w:bidi w:val="0"/>
        <w:spacing w:before="120" w:after="283"/>
        <w:jc w:val="left"/>
        <w:rPr>
          <w:rFonts w:ascii="Arial" w:hAnsi="Arial"/>
          <w:color w:val="000000"/>
          <w:sz w:val="20"/>
        </w:rPr>
      </w:pPr>
      <w:r>
        <w:rPr>
          <w:rFonts w:ascii="Arial" w:hAnsi="Arial"/>
          <w:color w:val="000000"/>
          <w:sz w:val="20"/>
        </w:rPr>
        <w:t>In addition,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Competitors may use our technologies in jurisdictions where we or our licensors have not pursued and obtained patent protection to develop their own products and, further, may export otherwise infringing products to territories where we have patent protection, but enforcement is not as strong as that in the U.S. These products may compete with our product candidates and our preclinical programs. Our in-licensed patents or other intellectual property rights may not be effective or sufficient to prevent them from competing.</w:t>
      </w:r>
    </w:p>
    <w:p>
      <w:pPr>
        <w:pStyle w:val="TextBody"/>
        <w:bidi w:val="0"/>
        <w:spacing w:before="240" w:after="283"/>
        <w:jc w:val="left"/>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in-licensed intellectual property rights, if pursued and obtained, or the marketing of competing products in violation of our proprietary rights generally. Proceedings to enforce our patent rights in foreign jurisdictions could result in substantial costs and divert our efforts and attention from other aspects of our business, could put our owned or in-licensed patents at risk of being invalidated or interpreted narrowly and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growth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Further, on June 1, 2023, the European Union Patent Package (“EU Patent Package”) regulations were implemented with the goal of providing a single pan-European Unitary Patent and a new European Unified Patent Court (“UPC”) for litigation involving European patents.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 applications and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results of operations and growth prospects.</w:t>
      </w:r>
    </w:p>
    <w:p>
      <w:pPr>
        <w:pStyle w:val="TextBody"/>
        <w:bidi w:val="0"/>
        <w:spacing w:before="360" w:after="283"/>
        <w:jc w:val="left"/>
        <w:rPr>
          <w:rFonts w:ascii="Arial" w:hAnsi="Arial"/>
          <w:b/>
          <w:color w:val="000000"/>
          <w:sz w:val="20"/>
        </w:rPr>
      </w:pPr>
      <w:r>
        <w:rPr>
          <w:rFonts w:ascii="Arial" w:hAnsi="Arial"/>
          <w:b/>
          <w:color w:val="000000"/>
          <w:sz w:val="20"/>
        </w:rPr>
        <w:t>Risks Related to Regulatory Approval of Our Product Candidates and Other Legal Compliance Matters</w:t>
      </w:r>
    </w:p>
    <w:p>
      <w:pPr>
        <w:pStyle w:val="TextBody"/>
        <w:bidi w:val="0"/>
        <w:spacing w:before="120" w:after="283"/>
        <w:jc w:val="left"/>
        <w:rPr>
          <w:rFonts w:ascii="Arial" w:hAnsi="Arial"/>
          <w:b/>
          <w:i/>
          <w:color w:val="000000"/>
          <w:sz w:val="20"/>
        </w:rPr>
      </w:pPr>
      <w:r>
        <w:rPr>
          <w:rFonts w:ascii="Arial" w:hAnsi="Arial"/>
          <w:b/>
          <w:i/>
          <w:color w:val="000000"/>
          <w:sz w:val="20"/>
        </w:rPr>
        <w:t>If we are not able to obtain, or if there are delays in obtaining, required regulatory approvals, we will not be able to commercialize our product candidates, and our ability to generate revenue will be materially impaired.</w:t>
      </w:r>
    </w:p>
    <w:p>
      <w:pPr>
        <w:pStyle w:val="TextBody"/>
        <w:bidi w:val="0"/>
        <w:spacing w:before="120" w:after="283"/>
        <w:jc w:val="left"/>
        <w:rPr>
          <w:rFonts w:ascii="Arial" w:hAnsi="Arial"/>
          <w:color w:val="000000"/>
          <w:sz w:val="20"/>
        </w:rPr>
      </w:pPr>
      <w:r>
        <w:rPr>
          <w:rFonts w:ascii="Arial" w:hAnsi="Arial"/>
          <w:color w:val="000000"/>
          <w:sz w:val="20"/>
        </w:rPr>
        <w:t>Our product candidates and the activities associated with their development and commercialization, including their design, testing, manufacture, safety, efficacy, record-keeping, labeling, storage, approval, advertising, promotion, sale, import, export and distribution, are subject to comprehensive regulation by the FDA and other regulatory agencies in the U.S. and by comparable foreign regulatory authorities, with regulations differing from country to country. Failure to obtain regulatory approval for a product candidate will prevent us from commercializing the product candidate. We currently do not have any products approved for sale in any jurisdiction. For example, we are not permitted to market any product candidate in the U.S. until we receive regulatory approval of an NDA from the FDA. We as a company only have limited experience in filing and supporting the applications necessary to gain regulatory approvals and may rely on third-party contract research organizations to assist us in this process.</w:t>
      </w:r>
    </w:p>
    <w:p>
      <w:pPr>
        <w:pStyle w:val="TextBody"/>
        <w:bidi w:val="0"/>
        <w:spacing w:before="240" w:after="283"/>
        <w:jc w:val="left"/>
        <w:rPr>
          <w:rFonts w:ascii="Arial" w:hAnsi="Arial"/>
          <w:color w:val="000000"/>
          <w:sz w:val="20"/>
        </w:rPr>
      </w:pPr>
      <w:r>
        <w:rPr>
          <w:rFonts w:ascii="Arial" w:hAnsi="Arial"/>
          <w:color w:val="000000"/>
          <w:sz w:val="20"/>
        </w:rPr>
        <w:t>Approval policies, regulations, or the type and amount of clinical data necessary to gain approval may change during the course of a product candidate’s clinical development. For instance, changes to leadership and the reorganization and rededication of critical resources at the FDA and within similar governmental health authorities across the world, may impact the ability of new products and services from being developed or commercialized in a timely manner. Regulations and requirements vary among jurisdictions, including in Japan and Europe. We have not obtained regulatory approval for any product candidate, and it is possible that our product candidates will never obtain regulatory approval.</w:t>
      </w:r>
    </w:p>
    <w:p>
      <w:pPr>
        <w:pStyle w:val="TextBody"/>
        <w:bidi w:val="0"/>
        <w:spacing w:before="240" w:after="283"/>
        <w:jc w:val="left"/>
        <w:rPr>
          <w:rFonts w:ascii="Arial" w:hAnsi="Arial"/>
          <w:color w:val="000000"/>
          <w:sz w:val="20"/>
        </w:rPr>
      </w:pPr>
      <w:r>
        <w:rPr>
          <w:rFonts w:ascii="Arial" w:hAnsi="Arial"/>
          <w:color w:val="000000"/>
          <w:sz w:val="20"/>
        </w:rPr>
        <w:t>We have not sought or obtained regulatory approval for any product candidate, and it is possible that any product candidates we may seek to develop will never obtain regulatory approval. In order to obtain approval to commercialize a product candidate in the U.S. or abroad, we or our collaborators must demonstrate to the satisfaction of the FDA or foreign regulatory agencies, that such product candidates are safe and effective for their intended uses. Results from nonclinical studies and clinical trials can be interpreted in different ways. Even if we believe that the nonclinical or clinical data for a product candidate is promising, such data may not be sufficient to support approval by the FDA and other regulatory authorities. The FDA may also require us to conduct additional nonclinical studies or clinical trials for product candidates either prior to or post-approval, and it may otherwise object to elements of our clinical development program.</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FDA or any foreign regulatory bodies can delay, limit or deny approval of our product candidates or require us to conduct additional nonclinical or clinical testing or abandon a program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disagreement with the design, endpoint selection,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negative or ambiguous results from our clinical trials or results that may not meet the level of statistical significance required by the FDA or comparable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serious and unexpected drug-related side effects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population studied may not be sufficiently broad or representative to assure safety in the full populations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demonstrate to the satisfaction of the FDA or the applicable foreign regulatory body that our product candidates are safe and effective for the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disagreement with the interpretation of data from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inability to demonstrate the clinical and other benefits of our product candidates outweigh any safety or other perceived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requirements for additional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disagreement regarding the formulation, labeling, and/or the specifications we propose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approval may be granted only for indications that are significantly more limited than those sought by us, and/or may include significant restrictions on distribution and use;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deficiencies in the manufacturing processes or facilities of the third-party manufacturers with which we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refusals by regulators to accept a submission due to, among other reasons, the content or formatting of the submission;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policies, requirements, or regulations rendering our clinical data insufficient for approval.</w:t>
      </w:r>
    </w:p>
    <w:p>
      <w:pPr>
        <w:pStyle w:val="TextBody"/>
        <w:bidi w:val="0"/>
        <w:spacing w:before="240" w:after="283"/>
        <w:jc w:val="left"/>
        <w:rPr>
          <w:rFonts w:ascii="Arial" w:hAnsi="Arial"/>
          <w:color w:val="000000"/>
          <w:sz w:val="20"/>
        </w:rPr>
      </w:pPr>
      <w:r>
        <w:rPr>
          <w:rFonts w:ascii="Arial" w:hAnsi="Arial"/>
          <w:color w:val="000000"/>
          <w:sz w:val="20"/>
        </w:rPr>
        <w:t>Of the large number of drugs in development, only a small percentage complete the FDA or foreign regulatory approval processes and are successfully commercialized. The lengthy review process as well as the unpredictability of future clinical trial results may result in our failing to obtain regulatory approval, which would significantly harm our business, financial condition, results of operations and growth prospects.</w:t>
      </w:r>
    </w:p>
    <w:p>
      <w:pPr>
        <w:pStyle w:val="TextBody"/>
        <w:bidi w:val="0"/>
        <w:spacing w:before="240" w:after="283"/>
        <w:jc w:val="left"/>
        <w:rPr>
          <w:rFonts w:ascii="Arial" w:hAnsi="Arial"/>
          <w:color w:val="000000"/>
          <w:sz w:val="20"/>
        </w:rPr>
      </w:pPr>
      <w:r>
        <w:rPr>
          <w:rFonts w:ascii="Arial" w:hAnsi="Arial"/>
          <w:color w:val="000000"/>
          <w:sz w:val="20"/>
        </w:rPr>
        <w:t>Even if we eventually receive approval of an NDA or foreign marketing application for our product candidates, the FDA, or the applicable foreign regulatory agency may grant approval contingent on the performance of costly additional clinical trials, often referred to as Phase 4 clinical trials, and the FDA may require the implementation of a REMS, which may be required to ensure safe use of the drug after approval. The FDA or the applicable foreign regulatory agency also may approve a product candidate for a more limited indication or patient population than we originally requested, and the FDA or applicable foreign regulatory agency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Disruptions at the FDA and other government agencies caused by funding shortages, staffing limitations, or global health concerns could hinder their ability to hire, retain or deploy key leadership and other personnel, prevent new or modified products from being developed, reviewed, approved or commercialized in a timely manner or at all, which could negatively impact our business.</w:t>
      </w:r>
    </w:p>
    <w:p>
      <w:pPr>
        <w:pStyle w:val="TextBody"/>
        <w:bidi w:val="0"/>
        <w:spacing w:before="120" w:after="283"/>
        <w:jc w:val="left"/>
        <w:rPr>
          <w:rFonts w:ascii="Times New Roman" w:hAnsi="Times New Roman"/>
          <w:sz w:val="20"/>
        </w:rPr>
      </w:pPr>
      <w:r>
        <w:rPr>
          <w:rFonts w:ascii="Arial" w:hAnsi="Arial"/>
          <w:color w:val="000000"/>
          <w:sz w:val="20"/>
        </w:rPr>
        <w:t>The ability of the FDA and foreign regulatory authorities to review and approve new products can be affected by a variety of factors, including the transition to a new administration,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certain Executive Orders directed towards reducing the employee headcount and costs associated with U.S. administrative agencies, including the FDA, and it remains unclear the degree to which these efforts may limit or otherwise adversely affect the FDA’s ability to conduct routine operations.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Separately, in response to the COVID-19 pandemic, the FDA postponed most inspections at domestic and foreign manufacturing facilities at various points. If a prolonged government shutdown occurs, or if renewed global health concerns, funding shortages or staffing limitations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360" w:after="283"/>
        <w:jc w:val="left"/>
        <w:rPr>
          <w:rFonts w:ascii="Arial" w:hAnsi="Arial"/>
          <w:b/>
          <w:i/>
          <w:color w:val="000000"/>
          <w:sz w:val="20"/>
        </w:rPr>
      </w:pPr>
      <w:r>
        <w:rPr>
          <w:rFonts w:ascii="Arial" w:hAnsi="Arial"/>
          <w:b/>
          <w:i/>
          <w:color w:val="000000"/>
          <w:sz w:val="20"/>
        </w:rPr>
        <w:t>We may not be able to obtain or maintain orphan drug designations for any product candidates, and we may be unable to take advantage of the benefits associated with orphan drug designation, including the potential for market exclusivity.</w:t>
      </w:r>
    </w:p>
    <w:p>
      <w:pPr>
        <w:pStyle w:val="TextBody"/>
        <w:bidi w:val="0"/>
        <w:spacing w:before="120" w:after="283"/>
        <w:jc w:val="left"/>
        <w:rPr>
          <w:rFonts w:ascii="Arial" w:hAnsi="Arial"/>
          <w:color w:val="000000"/>
          <w:sz w:val="20"/>
        </w:rPr>
      </w:pPr>
      <w:r>
        <w:rPr>
          <w:rFonts w:ascii="Arial" w:hAnsi="Arial"/>
          <w:color w:val="000000"/>
          <w:sz w:val="20"/>
        </w:rPr>
        <w:t>Regulatory authorities in some jurisdictions, including the U.S., may designate drugs for relatively small patient populations as orphan drugs. Under the Orphan Drug Act of 1983, the FDA may designate a product as an orphan product if it is intended to treat a rare disease or condition, which is generally defined as a diagnosed patient population of fewer than 200,000 individuals in the U.S., or a patient population of greater than 200,000 individuals in the U.S., but for which there is no reasonable expectation that the cost of developing the drug will be recovered from sales in the U.S. Similar laws exist in Europe and Japan. The European Commission may grant a product orphan medicinal product designation if the product is intended for the treatment, prevention or diagnosis of a life-threatening or very serious condition, with a prevalence in the European Union of not more than five in 10,000 people, and where either no satisfactory method of diagnosis, prevention or treatment of the condition in question exists, or if such method exists that the medicinal product will be of significant benefit to those affected by that condition.</w:t>
      </w:r>
    </w:p>
    <w:p>
      <w:pPr>
        <w:pStyle w:val="TextBody"/>
        <w:bidi w:val="0"/>
        <w:spacing w:before="240" w:after="283"/>
        <w:jc w:val="left"/>
        <w:rPr>
          <w:rFonts w:ascii="Arial" w:hAnsi="Arial"/>
          <w:color w:val="000000"/>
          <w:sz w:val="20"/>
        </w:rPr>
      </w:pPr>
      <w:r>
        <w:rPr>
          <w:rFonts w:ascii="Arial" w:hAnsi="Arial"/>
          <w:color w:val="000000"/>
          <w:sz w:val="20"/>
        </w:rPr>
        <w:t>As part of our business strategy, we intend to seek orphan drug designation, where applicable, from the FDA and orphan medicinal product designation from the European Commission; however, we may not be able to obtain or maintain this status for our product candidates. There can be no assurance that any regulatory authority will grant any orphan drug designations.</w:t>
      </w:r>
    </w:p>
    <w:p>
      <w:pPr>
        <w:pStyle w:val="TextBody"/>
        <w:bidi w:val="0"/>
        <w:spacing w:before="240" w:after="283"/>
        <w:jc w:val="left"/>
        <w:rPr>
          <w:rFonts w:ascii="Arial" w:hAnsi="Arial"/>
          <w:color w:val="000000"/>
          <w:sz w:val="20"/>
        </w:rPr>
      </w:pPr>
      <w:r>
        <w:rPr>
          <w:rFonts w:ascii="Arial" w:hAnsi="Arial"/>
          <w:color w:val="000000"/>
          <w:sz w:val="20"/>
        </w:rPr>
        <w:t>In the U.S., orphan designation entitles a party to financial incentives such as opportunities for grant funding towards clinical trial costs, tax advantages, and user-fee waivers. In addition, if a product candidate that has orphan drug designation subsequently receives the first FDA approval for the rare disease or condition for which it has such designation, it is entitled to orphan drug exclusivity, which means that the FDA may not approve any other applications, including an NDA, to market the same drug for the same approved use or indication within the relevant rare disease or condition for seven years, except in limited circumstances, such as a showing of clinical superiority to the product with orphan drug exclusivity within the relevant approved use or indication or where the manufacturer is unable to assure sufficient product quantity.</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More than one product may be approved by the FDA for the same use or indication within the orphan disease or condition, as long as the products are different drugs, as determined by the FDA. As a result, if any of our product candidates is approved by the FDA and receives orphan drug exclusivity, absent other applicable exclusivities, the FDA can still approve other drugs for use in treating the same indication or use within the applicable rare disease or condition, which could create a more competitive market for us. The failure to successfully obtain orphan drug exclusivity would adversely affect our business.</w:t>
      </w:r>
    </w:p>
    <w:p>
      <w:pPr>
        <w:pStyle w:val="TextBody"/>
        <w:bidi w:val="0"/>
        <w:spacing w:before="240" w:after="283"/>
        <w:jc w:val="left"/>
        <w:rPr>
          <w:rFonts w:ascii="Times New Roman" w:hAnsi="Times New Roman"/>
          <w:sz w:val="20"/>
        </w:rPr>
      </w:pPr>
      <w:r>
        <w:rPr>
          <w:rFonts w:ascii="Arial" w:hAnsi="Arial"/>
          <w:color w:val="000000"/>
          <w:sz w:val="20"/>
        </w:rPr>
        <w:t>Even if we obtain orphan drug exclusivity for a product, that exclusivity may not effectively protect the product from competition because different drugs can be approved for the same use or indication within the same rare disease or condition. Even after an orphan drug is approved, the FDA or comparable foreign regulatory authority can subsequently approve the same drug for the same use or indication within the relevant rare disease or condition if such regulatory authority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b/>
          <w:i/>
          <w:color w:val="000000"/>
          <w:sz w:val="20"/>
        </w:rPr>
        <w:t>We may attempt to seek accelerated approval in the U.S. for certain of our product candidates. If we are not able to use that pathway, we may be required to conduct additional clinical trials beyond those that are contemplated, which would increase the expense of obtaining, and delay the receipt of, necessary regulatory approvals, if we receive them at all. In addition, even if an accelerated approval pathway is available to us, it may not lead to expedited approval of our product candidates, or approval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Under the FDCA and implementing regulations, the FDA may grant accelerated approval to a product candidate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the Food and Drug Omnibus Reform Act of 2022, provided the FDA additional statutory authority to mitigate potential risks to patients from continued marketing of ineffective drugs previously granted accelerated approval. Under these provisions, the FDA may require a sponsor of a product seeking accelerated approval to, among other things, have a confirmatory trial underway prior to such approval being granted.</w:t>
      </w:r>
    </w:p>
    <w:p>
      <w:pPr>
        <w:pStyle w:val="TextBody"/>
        <w:bidi w:val="0"/>
        <w:spacing w:before="240" w:after="283"/>
        <w:jc w:val="left"/>
        <w:rPr>
          <w:rFonts w:ascii="Arial" w:hAnsi="Arial"/>
          <w:color w:val="000000"/>
          <w:sz w:val="20"/>
        </w:rPr>
      </w:pPr>
      <w:r>
        <w:rPr>
          <w:rFonts w:ascii="Arial" w:hAnsi="Arial"/>
          <w:color w:val="000000"/>
          <w:sz w:val="20"/>
        </w:rPr>
        <w:t>Prior to seeking accelerated approval for any of our product candidates we intend to seek feedback from the FDA or will otherwise evaluate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Failure to obtain regulatory approval in foreign jurisdictions would prevent our product candidates from being marketed in these territories. Any approval we are granted for our product candidates in the U.S. would not assure approval of such product candidates in foreign jurisdictions.</w:t>
      </w:r>
    </w:p>
    <w:p>
      <w:pPr>
        <w:pStyle w:val="TextBody"/>
        <w:bidi w:val="0"/>
        <w:spacing w:before="120" w:after="283"/>
        <w:jc w:val="left"/>
        <w:rPr>
          <w:rFonts w:ascii="Arial" w:hAnsi="Arial"/>
          <w:color w:val="000000"/>
          <w:sz w:val="20"/>
        </w:rPr>
      </w:pPr>
      <w:r>
        <w:rPr>
          <w:rFonts w:ascii="Arial" w:hAnsi="Arial"/>
          <w:color w:val="000000"/>
          <w:sz w:val="20"/>
        </w:rPr>
        <w:t>In order to market and sell our product candidates in Japan, the European Union, United Kingdom, other areas of Asia, Australia, and any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approval from the FDA. The regulatory approval process outside the U.S. generally includes all of the risks associated with obtaining approval from the FDA. In addition, in many countries outside the U.S., it is required that the product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data from clinical studies approved by the FDA may not be accepted by foreign regulatory agencies, and approval by one regulatory authority outside the U.S. does not ensure approval by regulatory authorities in other countries or jurisdictions or by the FDA. However, failure to obtain approval in one jurisdiction may impact our ability to obtain approval elsewhere. We may not be able to file for marketing authorization and may not receive necessary approvals to commercialize our product candidates in any market.</w:t>
      </w:r>
    </w:p>
    <w:p>
      <w:pPr>
        <w:pStyle w:val="TextBody"/>
        <w:bidi w:val="0"/>
        <w:spacing w:before="360" w:after="283"/>
        <w:jc w:val="left"/>
        <w:rPr>
          <w:rFonts w:ascii="Arial" w:hAnsi="Arial"/>
          <w:b/>
          <w:i/>
          <w:color w:val="000000"/>
          <w:sz w:val="20"/>
        </w:rPr>
      </w:pPr>
      <w:r>
        <w:rPr>
          <w:rFonts w:ascii="Arial" w:hAnsi="Arial"/>
          <w:b/>
          <w:i/>
          <w:color w:val="000000"/>
          <w:sz w:val="20"/>
        </w:rPr>
        <w:t>Even if we obtain regulatory approvals for our product candidates, the terms of approvals and ongoing regulation of such product candidates may limit how we manufacture and market the product candidates and compliance with such requirements may involve substantial resources, which could materially impair our ability to generate revenue.</w:t>
      </w:r>
    </w:p>
    <w:p>
      <w:pPr>
        <w:pStyle w:val="TextBody"/>
        <w:bidi w:val="0"/>
        <w:spacing w:before="120" w:after="283"/>
        <w:jc w:val="left"/>
        <w:rPr>
          <w:rFonts w:ascii="Arial" w:hAnsi="Arial"/>
          <w:color w:val="000000"/>
          <w:sz w:val="20"/>
        </w:rPr>
      </w:pPr>
      <w:r>
        <w:rPr>
          <w:rFonts w:ascii="Arial" w:hAnsi="Arial"/>
          <w:color w:val="000000"/>
          <w:sz w:val="20"/>
        </w:rPr>
        <w:t>Even if regulatory approval of any of our product candidates is granted, an approved product and its manufacturer and marketer are subject to ongoing review and extensive regulation, including with respect to the manufacturing processes, labeling, packaging, distribution, adverse event reporting, storage, advertising, promotion, import, export and recordkeeping for the product. These requirements include submissions of safety and other post-marketing information and reports, registration, as well as ongoing compliance with cGMPs and GCPs for any clinical trials,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w:t>
      </w:r>
    </w:p>
    <w:p>
      <w:pPr>
        <w:pStyle w:val="TextBody"/>
        <w:bidi w:val="0"/>
        <w:spacing w:before="240" w:after="283"/>
        <w:jc w:val="left"/>
        <w:rPr>
          <w:rFonts w:ascii="Arial" w:hAnsi="Arial"/>
          <w:color w:val="000000"/>
          <w:sz w:val="20"/>
        </w:rPr>
      </w:pPr>
      <w:r>
        <w:rPr>
          <w:rFonts w:ascii="Arial" w:hAnsi="Arial"/>
          <w:color w:val="000000"/>
          <w:sz w:val="20"/>
        </w:rPr>
        <w:t>Accordingly, assuming we receive regulatory approval for one or more product candidates, we and our contract manufacturers will continue to expend time, money, and effort in all areas of regulatory compliance.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the FDA and other comparable foreign regulatory requirements may subject our company to administrative or judicially imposed sanctions,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marketing or manufacturing of our products,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fines, restitutions, disgorgement of profits or revenues, warning letters,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refusal by the FDA to approve pending applications or supplements to approved applications submitted,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seizures or detentions, or refusal to permit the import or export of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injunctions or the imposition of civil or criminal penalties.</w:t>
      </w:r>
    </w:p>
    <w:p>
      <w:pPr>
        <w:pStyle w:val="TextBody"/>
        <w:bidi w:val="0"/>
        <w:spacing w:before="240" w:after="283"/>
        <w:jc w:val="left"/>
        <w:rPr>
          <w:rFonts w:ascii="Arial" w:hAnsi="Arial"/>
          <w:color w:val="000000"/>
          <w:sz w:val="20"/>
        </w:rPr>
      </w:pPr>
      <w:r>
        <w:rPr>
          <w:rFonts w:ascii="Arial" w:hAnsi="Arial"/>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left"/>
        <w:rPr>
          <w:rFonts w:ascii="Arial" w:hAnsi="Arial"/>
          <w:b/>
          <w:i/>
          <w:color w:val="000000"/>
          <w:sz w:val="20"/>
        </w:rPr>
      </w:pPr>
      <w:r>
        <w:rPr>
          <w:rFonts w:ascii="Arial" w:hAnsi="Arial"/>
          <w:b/>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sz w:val="20"/>
        </w:rPr>
      </w:pPr>
      <w:r>
        <w:rPr>
          <w:rFonts w:ascii="Arial" w:hAnsi="Arial"/>
          <w:color w:val="000000"/>
          <w:sz w:val="20"/>
        </w:rPr>
        <w:t>The FDA and other regulatory authorities strictly regulates marketing, labeling, advertising and promotion of prescription drugs. These regulations include standards and restrictions for direct-to-consumer advertising, industry-sponsored scientific and educational activities, and promotional activities involving the internet and off-label promotion. For example, any regulatory approval that the FDA grants is limited to those specific diseases and indications for which a product is deemed to be safe and effective by the FDA. While physicians in the U.S.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Our employees, independent contractors, principal investigators, CROs, consultants, commercial partners, and vendors may engage in misconduct or other improper activities, including non-compliance with regulatory standards and requirements.</w:t>
      </w:r>
    </w:p>
    <w:p>
      <w:pPr>
        <w:pStyle w:val="TextBody"/>
        <w:bidi w:val="0"/>
        <w:spacing w:before="120" w:after="283"/>
        <w:jc w:val="left"/>
        <w:rPr>
          <w:rFonts w:ascii="Arial" w:hAnsi="Arial"/>
          <w:color w:val="000000"/>
          <w:sz w:val="20"/>
        </w:rPr>
      </w:pPr>
      <w:r>
        <w:rPr>
          <w:rFonts w:ascii="Arial" w:hAnsi="Arial"/>
          <w:color w:val="000000"/>
          <w:sz w:val="20"/>
        </w:rPr>
        <w:t>We are exposed to the risk of employee fraud or other misconduct or failure to comply with applicable regulatory requirements. Misconduct, errors, or omissions by employees and independent contractors, such as principal investigators, CROs, consultants, commercial partners, and vendors, could include failures to comply with regulations of the FDA and other comparable regulatory authorities, to provide accurate information to such regulators, to comply with manufacturing standards we have established, to comply with healthcare fraud and abuse laws, to report financial information or data accurately, to disclose unauthorized activities to us, or to comply with requirements of government contracts (e.g., the NIAID contract).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successfully commercialize any of our product candidates, failure to comply with our reporting and payment obligations under U.S. governmental pricing programs could have a material adverse effect on our business, financial condition, results of operations and growth prospects.</w:t>
      </w:r>
    </w:p>
    <w:p>
      <w:pPr>
        <w:pStyle w:val="TextBody"/>
        <w:bidi w:val="0"/>
        <w:spacing w:before="120" w:after="283"/>
        <w:jc w:val="left"/>
        <w:rPr>
          <w:rFonts w:ascii="Arial" w:hAnsi="Arial"/>
          <w:color w:val="000000"/>
          <w:sz w:val="20"/>
        </w:rPr>
      </w:pPr>
      <w:r>
        <w:rPr>
          <w:rFonts w:ascii="Arial" w:hAnsi="Arial"/>
          <w:color w:val="000000"/>
          <w:sz w:val="20"/>
        </w:rPr>
        <w:t>If we participate in the Medicaid Drug Rebate Program and/or Medicare Part D, if and when we successfully commercialize a product candidate, we will be required to report certain pricing information for such product candidate to the Centers for Medicare &amp; Medicaid Services, the federal agency that administers the Medicaid and Medicare programs. We may also be required to report pricing information to the U.S. Department of Veterans Affairs. If we become subject to these reporting requirements, we will be liable for errors associated with our submission of pricing data, for failure to report pricing data in a timely manner, and for overcharging government payers, which can result in civil monetary penalties under the Medicaid statute, the federal civil False Claims Act, and other laws and regulations.</w:t>
      </w:r>
    </w:p>
    <w:p>
      <w:pPr>
        <w:pStyle w:val="TextBody"/>
        <w:bidi w:val="0"/>
        <w:spacing w:before="360" w:after="283"/>
        <w:jc w:val="left"/>
        <w:rPr>
          <w:rFonts w:ascii="Arial" w:hAnsi="Arial"/>
          <w:b/>
          <w:i/>
          <w:color w:val="000000"/>
          <w:sz w:val="20"/>
        </w:rPr>
      </w:pPr>
      <w:r>
        <w:rPr>
          <w:rFonts w:ascii="Arial" w:hAnsi="Arial"/>
          <w:b/>
          <w:i/>
          <w:color w:val="000000"/>
          <w:sz w:val="20"/>
        </w:rPr>
        <w:t>Our current and future relationships with healthcare professionals, principal investigators, consultants, customers, and third-party payors in the U.S. and elsewhere may be subject, directly or indirectly, to applicable anti-kickback, fraud and abuse, false claims, physician payment transparency and other healthcare laws and regulations, which could expose us to penalties.</w:t>
      </w:r>
    </w:p>
    <w:p>
      <w:pPr>
        <w:pStyle w:val="TextBody"/>
        <w:bidi w:val="0"/>
        <w:spacing w:before="120" w:after="283"/>
        <w:jc w:val="left"/>
        <w:rPr>
          <w:rFonts w:ascii="Arial" w:hAnsi="Arial"/>
          <w:color w:val="000000"/>
          <w:sz w:val="20"/>
        </w:rPr>
      </w:pPr>
      <w:r>
        <w:rPr>
          <w:rFonts w:ascii="Arial" w:hAnsi="Arial"/>
          <w:color w:val="000000"/>
          <w:sz w:val="20"/>
        </w:rPr>
        <w:t>Healthcare providers, physicians, and third-party payors in the U.S. and elsewhere will play a primary role in the recommendation and prescription of any product candidates for which we obtain regulatory approval. Our current and future arrangements with healthcare professionals, principal investigators, consultants, customers, and third-party payors may expose us to broadly applicable fraud and abuse and other healthcare laws that may constrain the business or financial arrangements and relationships through which we research, sell, market, and distribute any product candidates for which we obtain regulatory approval. In addition, we may be subject to physician payment transparency laws and regulations by the federal government and by the states and foreign jurisdictions in which we conduct our business. The applicable federal, state, and foreign healthcare laws that may affect our ability to operate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 order, or the arranging for or recommending the purchase, lease or order of any good, facility, item or service, for which payment may be made, in whole or in part, under federal and state healthcare programs such as Medicare and Medicaid. A person or entity does not need to have actual knowledge of the federal Anti- Kickback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federal civil and criminal false claims laws, including the federal False Claims Act, which impose criminal and civil penalties, including through civil whistleblower or qui tam actions, against individuals or entities for, among other things, knowingly presenting, or causing to be presented, to the federal government, including the Medicare and Medicaid programs, claims for payment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Physician Payments Sunshine Act, which requires manufacturers of certain drugs, devices, biologicals, and medical supplies for which payment is available under Medicare, Medicaid or the Children’s Health Insurance Program (with certain exceptions) to report annually to the Centers for Medicare &amp; Medicaid Services (“CMS”) information related to payments and “transfers of value” provided to physicians (defined to include doctors, dentists, optometrists, podiatrists, and chiropractors), certain other healthcare providers (such as nurse practitioners and physicians assistants) and teaching hospitals, as well as ownership and investment interests held by physicians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local laws requiring the licensure of pharmaceutical sales representatives.</w:t>
      </w:r>
    </w:p>
    <w:p>
      <w:pPr>
        <w:pStyle w:val="TextBody"/>
        <w:bidi w:val="0"/>
        <w:spacing w:before="240" w:after="283"/>
        <w:jc w:val="left"/>
        <w:rPr>
          <w:rFonts w:ascii="Arial" w:hAnsi="Arial"/>
          <w:color w:val="000000"/>
          <w:sz w:val="20"/>
        </w:rPr>
      </w:pPr>
      <w:r>
        <w:rPr>
          <w:rFonts w:ascii="Arial" w:hAnsi="Arial"/>
          <w:color w:val="000000"/>
          <w:sz w:val="20"/>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pStyle w:val="TextBody"/>
        <w:bidi w:val="0"/>
        <w:spacing w:before="360" w:after="283"/>
        <w:jc w:val="left"/>
        <w:rPr>
          <w:rFonts w:ascii="Arial" w:hAnsi="Arial"/>
          <w:b/>
          <w:i/>
          <w:color w:val="000000"/>
          <w:sz w:val="20"/>
        </w:rPr>
      </w:pPr>
      <w:r>
        <w:rPr>
          <w:rFonts w:ascii="Arial" w:hAnsi="Arial"/>
          <w:b/>
          <w:i/>
          <w:color w:val="000000"/>
          <w:sz w:val="20"/>
        </w:rPr>
        <w:t>Changes in healthcare policies, laws, and regulations may impact our ability to obtain approval for, or commercialize our product candidates, if approved.</w:t>
      </w:r>
    </w:p>
    <w:p>
      <w:pPr>
        <w:pStyle w:val="TextBody"/>
        <w:bidi w:val="0"/>
        <w:spacing w:before="120" w:after="283"/>
        <w:jc w:val="left"/>
        <w:rPr>
          <w:rFonts w:ascii="Times New Roman" w:hAnsi="Times New Roman"/>
          <w:sz w:val="20"/>
        </w:rPr>
      </w:pPr>
      <w:r>
        <w:rPr>
          <w:rFonts w:ascii="Arial" w:hAnsi="Arial"/>
          <w:color w:val="000000"/>
          <w:sz w:val="20"/>
        </w:rPr>
        <w:t>In the U.S. and some foreign jurisdictions there have been, and continue to be, several legislative and regulatory changes and proposed reforms of the healthcare system in an effort to contain costs, improve quality, and expand access to care.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the U.S.,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on June 17, 2021, the U.S. Supreme Court dismissed a challenge on procedural grounds that argued the Patient Protection and Affordable Care Act, as amended by the Health Care and Education Reconciliation Act of 2010 (the “ACA”), is unconstitutional in its entirety because the “individual mandate” was repealed by Congress. On August 16, 2022, the Inflation Reduction Act of 2022 (the “IRA”) was signed into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creating a new manufacturer discount program.</w:t>
      </w:r>
      <w:r>
        <w:rPr>
          <w:rFonts w:ascii="Times New Roman" w:hAnsi="Times New Roman"/>
          <w:color w:val="000000"/>
          <w:sz w:val="20"/>
        </w:rPr>
        <w:t xml:space="preserv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In addition,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(i) directs the U.S. Department of Health and Human Services (“HHS”) to negotiate the price of certain high-expenditure, single-source drugs and biologics covered under Medicare and (ii) imposes rebates under Medicare Part B and Medicare Part D to penalize price increases that outpace inflation. These provisions took effect progressively starting in fiscal year 2023. CMS published the negotiated prices for the initial ten drugs, which went into effect in 2026, and the subsequent 15 drugs, which will first be effective in 2027, as well as the next set of 15 drugs that will be subject to negotiation,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In July 2025, the One Big Beautiful Bill Act (the “OBBBA”) was enacted and imposes significant reductions in the funding of the Medicaid program. Such reductions are expected to decrease the number of persons enrolled in Medicaid and reduce the services covered by Medicaid, which could adversely affect the sales of any product candidate that we may commercialize.</w:t>
      </w:r>
    </w:p>
    <w:p>
      <w:pPr>
        <w:pStyle w:val="TextBody"/>
        <w:bidi w:val="0"/>
        <w:spacing w:before="240" w:after="283"/>
        <w:jc w:val="left"/>
        <w:rPr>
          <w:rFonts w:ascii="Arial" w:hAnsi="Arial"/>
          <w:color w:val="000000"/>
          <w:sz w:val="20"/>
        </w:rPr>
      </w:pPr>
      <w:r>
        <w:rPr>
          <w:rFonts w:ascii="Arial" w:hAnsi="Arial"/>
          <w:color w:val="000000"/>
          <w:sz w:val="20"/>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pStyle w:val="TextBody"/>
        <w:bidi w:val="0"/>
        <w:spacing w:before="240" w:after="283"/>
        <w:jc w:val="left"/>
        <w:rPr>
          <w:rFonts w:ascii="Arial" w:hAnsi="Arial"/>
          <w:color w:val="000000"/>
          <w:sz w:val="20"/>
        </w:rPr>
      </w:pPr>
      <w:r>
        <w:rPr>
          <w:rFonts w:ascii="Arial" w:hAnsi="Arial"/>
          <w:color w:val="000000"/>
          <w:sz w:val="20"/>
        </w:rPr>
        <w:t>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240" w:after="283"/>
        <w:jc w:val="left"/>
        <w:rPr>
          <w:rFonts w:ascii="Arial" w:hAnsi="Arial"/>
          <w:color w:val="000000"/>
          <w:sz w:val="20"/>
        </w:rPr>
      </w:pPr>
      <w:r>
        <w:rPr>
          <w:rFonts w:ascii="Arial" w:hAnsi="Arial"/>
          <w:color w:val="000000"/>
          <w:sz w:val="20"/>
        </w:rPr>
        <w:t>At the state level, legislatures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Outside of the U.S., particularly in the European Union, the pricing of prescription pharmaceuticals is subject to governmental control. In these countries, pricing negotiations with governmental authorities can take considerable time after the receipt of regulatory approval for a product. To obtain coverage and reimbursement or pricing approval in some countries, we may be required to conduct a clinical trial that compares the cost-effectiveness of our product candidates to other available therapies. If reimbursement of our product candidates is unavailable or limited in scope or amount, or if pricing is set at unsatisfactory levels, our business could be harmed.</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We are subject to privacy and data security laws, rules, regulations, policies, industry standards, and contractual obligations, and our failure to comply with them could harm our business.</w:t>
      </w:r>
    </w:p>
    <w:p>
      <w:pPr>
        <w:pStyle w:val="TextBody"/>
        <w:bidi w:val="0"/>
        <w:spacing w:before="120" w:after="283"/>
        <w:jc w:val="left"/>
        <w:rPr>
          <w:rFonts w:ascii="Arial" w:hAnsi="Arial"/>
          <w:color w:val="000000"/>
          <w:sz w:val="20"/>
        </w:rPr>
      </w:pPr>
      <w:r>
        <w:rPr>
          <w:rFonts w:ascii="Arial" w:hAnsi="Arial"/>
          <w:color w:val="000000"/>
          <w:sz w:val="20"/>
        </w:rPr>
        <w:t>We maintain a large quantity of information, including confidential business information and information related to our employees and may maintain or have responsibility for the maintenance of personal information in connection with the conduct of our clinical trials. As such, we are subject to laws and regulations governing the privacy and security of such information. In the U.S., there are numerous federal and state privacy and data security laws and regulations governing the collection, use, disclosure, and protection of personal information that apply or could apply to our operations or the operations of our partners,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in particular in relation to health information, which may affect our business and is expected to increase our compliance costs and exposure to liability.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pStyle w:val="TextBody"/>
        <w:bidi w:val="0"/>
        <w:spacing w:before="240" w:after="283"/>
        <w:jc w:val="left"/>
        <w:rPr>
          <w:rFonts w:ascii="Arial" w:hAnsi="Arial"/>
          <w:color w:val="000000"/>
          <w:sz w:val="20"/>
        </w:rPr>
      </w:pPr>
      <w:r>
        <w:rPr>
          <w:rFonts w:ascii="Arial" w:hAnsi="Arial"/>
          <w:color w:val="000000"/>
          <w:sz w:val="20"/>
        </w:rPr>
        <w:t>Compliance with these and any other applicable privacy and data security laws, regulations and other requirements we may be subject to in the future is a rigorous and time-intensive process, and we may be required to put in place additional mechanisms ensuring compliance with such data protection rules. If we fail to comply with any such laws, regulations or other requirements, we may face significant fines and penalties that could adversely affect our business, financial condition, results of operations or growth prospects. Any failure or perceived failure by us or our third-party processors to comply with these data protection and privacy laws, regulations and requirements could result in significant government enforcement actions, which could include civil, criminal, and administrative penalties, orders requiring that we change our practices, claims for damages, and other liabilities, regulatory investigations and enforcement action, private litigation, significant costs (including in investigating and defending such claims, in remediation measures or changes to our operations), and adverse publicity, any of which could negatively affect our business, financial condition, results of operations and growth prospects. Furthermore, the laws are not consistent, and compliance in the event of a widespread data breach is costly. In addition, states are constantly adopting new laws or amending existing laws, requiring attention to frequently changing regulatory requirements.</w:t>
      </w:r>
    </w:p>
    <w:p>
      <w:pPr>
        <w:pStyle w:val="TextBody"/>
        <w:bidi w:val="0"/>
        <w:spacing w:before="240" w:after="283"/>
        <w:jc w:val="left"/>
        <w:rPr>
          <w:rFonts w:ascii="Arial" w:hAnsi="Arial"/>
          <w:color w:val="000000"/>
          <w:sz w:val="20"/>
        </w:rPr>
      </w:pPr>
      <w:r>
        <w:rPr>
          <w:rFonts w:ascii="Arial" w:hAnsi="Arial"/>
          <w:color w:val="000000"/>
          <w:sz w:val="20"/>
        </w:rPr>
        <w:t>With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rely on our CROs to ensure compliance with data-privacy regulations that may arise in our trials. Other than our website privacy policy,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and our business, financial condition, results of operations and growth prospects may be adversely affected.</w:t>
      </w:r>
    </w:p>
    <w:p>
      <w:pPr>
        <w:pStyle w:val="TextBody"/>
        <w:bidi w:val="0"/>
        <w:spacing w:before="360" w:after="283"/>
        <w:jc w:val="left"/>
        <w:rPr>
          <w:rFonts w:ascii="Arial" w:hAnsi="Arial"/>
          <w:b/>
          <w:i/>
          <w:color w:val="000000"/>
          <w:sz w:val="20"/>
        </w:rPr>
      </w:pPr>
      <w:r>
        <w:rPr>
          <w:rFonts w:ascii="Arial" w:hAnsi="Arial"/>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Arial" w:hAnsi="Arial"/>
          <w:color w:val="000000"/>
          <w:sz w:val="20"/>
        </w:rPr>
      </w:pPr>
      <w:r>
        <w:rPr>
          <w:rFonts w:ascii="Arial" w:hAnsi="Arial"/>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may engage third parties to sell any approved product candidates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Arial" w:hAnsi="Arial"/>
          <w:color w:val="000000"/>
          <w:sz w:val="20"/>
        </w:rPr>
      </w:pPr>
      <w:r>
        <w:rPr>
          <w:rFonts w:ascii="Arial" w:hAnsi="Arial"/>
          <w:color w:val="000000"/>
          <w:sz w:val="20"/>
        </w:rPr>
        <w:t>We are also subject to export control, import, and trade sanctions laws and regulations which may restrict or prohibit altogether the provision, sale, or supply of our product candidates to certain governments, persons, entities, countries, and territories, including those that are the target of comprehensive sanctions or an embargo. Additionally, new or increased tariffs and other changes in U.S. trade policy, including new sanctions, could trigger retaliatory actions by affected countries. Obtaining the necessary export license or other authorization for a particular transaction may be time-consuming and may result in the delay or loss of sales opportunities. Violations of U.S. export control, import, or sanctions laws and regulations can result in significant fines or penalties and possible incarceration for responsible employees and managers.</w:t>
      </w:r>
    </w:p>
    <w:p>
      <w:pPr>
        <w:pStyle w:val="TextBody"/>
        <w:bidi w:val="0"/>
        <w:spacing w:before="360" w:after="283"/>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120" w:after="283"/>
        <w:jc w:val="left"/>
        <w:rPr>
          <w:rFonts w:ascii="Arial" w:hAnsi="Arial"/>
          <w:b/>
          <w:i/>
          <w:color w:val="000000"/>
          <w:sz w:val="20"/>
        </w:rPr>
      </w:pPr>
      <w:r>
        <w:rPr>
          <w:rFonts w:ascii="Arial" w:hAnsi="Arial"/>
          <w:b/>
          <w:i/>
          <w:color w:val="000000"/>
          <w:sz w:val="20"/>
        </w:rPr>
        <w:t>Concentration of ownership of our common stock among our existing executive officers, directors, and principal stockholders may prevent new investors from influencing significant corporate decisions and matters submitted to stockholders for approval.</w:t>
      </w:r>
    </w:p>
    <w:p>
      <w:pPr>
        <w:pStyle w:val="TextBody"/>
        <w:bidi w:val="0"/>
        <w:spacing w:before="120" w:after="283"/>
        <w:jc w:val="left"/>
        <w:rPr>
          <w:rFonts w:ascii="Arial" w:hAnsi="Arial"/>
          <w:color w:val="000000"/>
          <w:sz w:val="20"/>
        </w:rPr>
      </w:pPr>
      <w:r>
        <w:rPr>
          <w:rFonts w:ascii="Arial" w:hAnsi="Arial"/>
          <w:color w:val="000000"/>
          <w:sz w:val="20"/>
        </w:rPr>
        <w:t>Our executive officers, directors, and current beneficial owners of 5% or more of our capital stock and their respective affiliates beneficially own, in the aggregate, a significant percentage of our outstanding common stock. As a result, these persons, acting together, would be able to significantly influence all matters requiring stockholder approval, including the election and removal of directors, any merger, consolidation, or sale of all or substantially all of our assets, or other significant corporate transactions. In addition, these persons, acting together, may have the ability to control the management and affairs of our company. Accordingly, this concentration of ownership may harm the market price of our common stock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delaying, deferring, or preventing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entrenching our management and/or the board of directors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impeding a merger, consolidation, takeover, or other business combination involving us;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discouraging a potential acquirer from making a tender offer or otherwise attempting to obtain control of us.</w:t>
      </w:r>
    </w:p>
    <w:p>
      <w:pPr>
        <w:pStyle w:val="TextBody"/>
        <w:bidi w:val="0"/>
        <w:spacing w:before="240" w:after="283"/>
        <w:jc w:val="left"/>
        <w:rPr>
          <w:rFonts w:ascii="Arial" w:hAnsi="Arial"/>
          <w:color w:val="000000"/>
          <w:sz w:val="20"/>
        </w:rPr>
      </w:pPr>
      <w:r>
        <w:rPr>
          <w:rFonts w:ascii="Arial" w:hAnsi="Arial"/>
          <w:color w:val="000000"/>
          <w:sz w:val="20"/>
        </w:rPr>
        <w:t>In addition, some of these persons or entities may have interests different than yours. For example, because many of these stockholders purchased their shares at prices substantially below the price at which shares were sold in our IPO and recent financings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Arial" w:hAnsi="Arial"/>
          <w:b/>
          <w:i/>
          <w:color w:val="000000"/>
          <w:sz w:val="20"/>
        </w:rPr>
      </w:pPr>
      <w:r>
        <w:rPr>
          <w:rFonts w:ascii="Arial" w:hAnsi="Arial"/>
          <w:b/>
          <w:i/>
          <w:color w:val="000000"/>
          <w:sz w:val="20"/>
        </w:rPr>
        <w:t>A sale of a substantial number of shares of our common stock may cause the price of our common stock to decline.</w:t>
      </w:r>
    </w:p>
    <w:p>
      <w:pPr>
        <w:pStyle w:val="TextBody"/>
        <w:bidi w:val="0"/>
        <w:spacing w:before="120" w:after="283"/>
        <w:jc w:val="left"/>
        <w:rPr>
          <w:rFonts w:ascii="Arial" w:hAnsi="Arial"/>
          <w:color w:val="000000"/>
          <w:sz w:val="20"/>
        </w:rPr>
      </w:pPr>
      <w:r>
        <w:rPr>
          <w:rFonts w:ascii="Arial" w:hAnsi="Arial"/>
          <w:color w:val="000000"/>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pStyle w:val="TextBody"/>
        <w:bidi w:val="0"/>
        <w:spacing w:before="240" w:after="283"/>
        <w:jc w:val="left"/>
        <w:rPr>
          <w:rFonts w:ascii="Arial" w:hAnsi="Arial"/>
          <w:color w:val="000000"/>
          <w:sz w:val="20"/>
        </w:rPr>
      </w:pPr>
      <w:r>
        <w:rPr>
          <w:rFonts w:ascii="Arial" w:hAnsi="Arial"/>
          <w:color w:val="000000"/>
          <w:sz w:val="20"/>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of restricted stock units, or the perception that such sales may occur, could adversely affect the market price of our common stock.</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spacing w:before="240" w:after="283"/>
        <w:jc w:val="left"/>
        <w:rPr>
          <w:rFonts w:ascii="Times New Roman" w:hAnsi="Times New Roman"/>
          <w:sz w:val="20"/>
        </w:rPr>
      </w:pPr>
      <w:r>
        <w:rPr>
          <w:rFonts w:ascii="Arial" w:hAnsi="Arial"/>
          <w:color w:val="000000"/>
          <w:sz w:val="20"/>
        </w:rPr>
        <w:t>In addition, after our March 2026 Private Placement, there are pre-funded warrants currently exercisable for 8,741,473 shares of our common stock, 2,952,000 of which were outstanding and exercisable as of December 31, 2025. The exercise of these warrants will cause us to issue additional shares of our common stock, which will result in dilution to our stockholders, increase the number of shares of common stock eligible for resale in the public market, and could adversely affect the market price of our common stock.</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Provisions in our corporate charter documents and under Delaware law, and the adoption of a rights plan, could make an acquisition of our company, which may be beneficial to our stockholders, more difficult and may prevent attempts by our stockholders to replace or remove our current management.</w:t>
      </w:r>
    </w:p>
    <w:p>
      <w:pPr>
        <w:pStyle w:val="TextBody"/>
        <w:bidi w:val="0"/>
        <w:spacing w:before="120" w:after="283"/>
        <w:jc w:val="left"/>
        <w:rPr>
          <w:rFonts w:ascii="Arial" w:hAnsi="Arial"/>
          <w:color w:val="000000"/>
          <w:sz w:val="20"/>
        </w:rPr>
      </w:pPr>
      <w:r>
        <w:rPr>
          <w:rFonts w:ascii="Arial" w:hAnsi="Arial"/>
          <w:color w:val="000000"/>
          <w:sz w:val="20"/>
        </w:rPr>
        <w:t>Provisions in our amended and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 classified board of directors such that not all members of the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allow the authorized number of our directors to be changed only by resolution of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 who may call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authorize our Board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240" w:after="283"/>
        <w:jc w:val="left"/>
        <w:rPr>
          <w:rFonts w:ascii="Arial" w:hAnsi="Arial"/>
          <w:color w:val="000000"/>
          <w:sz w:val="20"/>
        </w:rPr>
      </w:pPr>
      <w:r>
        <w:rPr>
          <w:rFonts w:ascii="Arial" w:hAnsi="Arial"/>
          <w:color w:val="000000"/>
          <w:sz w:val="20"/>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more than 15%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U.S. will be the exclusive forums for substantially all disputes between us and our stockholders, including claims under the Securities Act, which could limit our stockholders’ ability to obtain a favorable judicial forum for disputes with us or our directors, officers or employees.</w:t>
      </w:r>
    </w:p>
    <w:p>
      <w:pPr>
        <w:pStyle w:val="TextBody"/>
        <w:bidi w:val="0"/>
        <w:spacing w:before="120" w:after="283"/>
        <w:jc w:val="left"/>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breach of fiduciary duty;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against us or any of our directors, officers, employees, or agents arising under the DGCL,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or proceeding to interpret, apply, enforce, or determine the validity of our amended and restated certificate of incorporation, or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action asserting a claim against us or any of our directors, officers, employees, or agents that is governed by the internal-affairs doctrine.</w:t>
      </w:r>
    </w:p>
    <w:p>
      <w:pPr>
        <w:pStyle w:val="TextBody"/>
        <w:bidi w:val="0"/>
        <w:spacing w:before="240" w:after="283"/>
        <w:jc w:val="left"/>
        <w:rPr>
          <w:rFonts w:ascii="Arial" w:hAnsi="Arial"/>
          <w:color w:val="000000"/>
          <w:sz w:val="20"/>
        </w:rPr>
      </w:pPr>
      <w:r>
        <w:rPr>
          <w:rFonts w:ascii="Arial" w:hAnsi="Arial"/>
          <w:color w:val="000000"/>
          <w:sz w:val="20"/>
        </w:rPr>
        <w:t>Furthermore, our amended and restated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However, these provisions would not apply to suits brought to enforce a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w:t>
      </w:r>
    </w:p>
    <w:p>
      <w:pPr>
        <w:pStyle w:val="TextBody"/>
        <w:bidi w:val="0"/>
        <w:spacing w:before="240" w:after="283"/>
        <w:jc w:val="left"/>
        <w:rPr>
          <w:rFonts w:ascii="Arial" w:hAnsi="Arial"/>
          <w:color w:val="000000"/>
          <w:sz w:val="20"/>
        </w:rPr>
      </w:pPr>
      <w:r>
        <w:rPr>
          <w:rFonts w:ascii="Arial" w:hAnsi="Arial"/>
          <w:color w:val="000000"/>
          <w:sz w:val="20"/>
        </w:rPr>
        <w:t>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will have broad discretion in the use of our cash, and may invest or spend our cash in ways with which you do not agree and in ways that may not increase the value of your investment.</w:t>
      </w:r>
    </w:p>
    <w:p>
      <w:pPr>
        <w:pStyle w:val="TextBody"/>
        <w:bidi w:val="0"/>
        <w:spacing w:before="120" w:after="283"/>
        <w:jc w:val="left"/>
        <w:rPr>
          <w:rFonts w:ascii="Arial" w:hAnsi="Arial"/>
          <w:color w:val="000000"/>
          <w:sz w:val="20"/>
        </w:rPr>
      </w:pPr>
      <w:r>
        <w:rPr>
          <w:rFonts w:ascii="Arial" w:hAnsi="Arial"/>
          <w:color w:val="000000"/>
          <w:sz w:val="20"/>
        </w:rPr>
        <w:t>Our management will have broad discretion in the application of our cash, and could spend our cash in ways that do not improve our results of operations or enhance the value of our common stock. The failure by our management to apply these funds effectively could result in financial losses that could have a negative impact on our business, cause the price of our common stock to decline, and delay the development of our pipeline programs as well as commercial preparedness.</w:t>
      </w:r>
    </w:p>
    <w:p>
      <w:pPr>
        <w:pStyle w:val="TextBody"/>
        <w:bidi w:val="0"/>
        <w:spacing w:before="360" w:after="283"/>
        <w:jc w:val="left"/>
        <w:rPr>
          <w:rFonts w:ascii="Arial" w:hAnsi="Arial"/>
          <w:b/>
          <w:i/>
          <w:color w:val="000000"/>
          <w:sz w:val="20"/>
        </w:rPr>
      </w:pPr>
      <w:r>
        <w:rPr>
          <w:rFonts w:ascii="Arial" w:hAnsi="Arial"/>
          <w:b/>
          <w:i/>
          <w:color w:val="000000"/>
          <w:sz w:val="20"/>
        </w:rPr>
        <w:t>We do not anticipate paying any cash dividends on our capital stock in the foreseeable future, and accordingly, stockholders must rely on capital appreciation, if any, for any return on their investment.</w:t>
      </w:r>
    </w:p>
    <w:p>
      <w:pPr>
        <w:pStyle w:val="TextBody"/>
        <w:bidi w:val="0"/>
        <w:spacing w:before="120" w:after="283"/>
        <w:jc w:val="left"/>
        <w:rPr>
          <w:rFonts w:ascii="Arial" w:hAnsi="Arial"/>
          <w:color w:val="000000"/>
          <w:sz w:val="20"/>
        </w:rPr>
      </w:pPr>
      <w:r>
        <w:rPr>
          <w:rFonts w:ascii="Arial" w:hAnsi="Arial"/>
          <w:color w:val="000000"/>
          <w:sz w:val="20"/>
        </w:rPr>
        <w:t>We do not anticipate paying any cash dividends on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If we do not pay cash dividends, you could receive a return on your investment in our common stock only if you are able to sell your shares in the future and the market price of our common stock has increased when you sell your shares. As a result, investors seeking cash dividends should not purchase our common stock.</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Our ability to use our net operating loss carryforwards and certain other tax attributes may be limited.</w:t>
      </w:r>
    </w:p>
    <w:p>
      <w:pPr>
        <w:pStyle w:val="TextBody"/>
        <w:bidi w:val="0"/>
        <w:spacing w:before="120" w:after="283"/>
        <w:jc w:val="left"/>
        <w:rPr>
          <w:rFonts w:ascii="Arial" w:hAnsi="Arial"/>
          <w:color w:val="000000"/>
          <w:sz w:val="20"/>
        </w:rPr>
      </w:pPr>
      <w:r>
        <w:rPr>
          <w:rFonts w:ascii="Arial" w:hAnsi="Arial"/>
          <w:color w:val="000000"/>
          <w:sz w:val="20"/>
        </w:rPr>
        <w:t>Under the Tax Cuts and Jobs Act of 2017 (the “TCJA”), as modified by the Coronavirus Aid, Relief, and Economic Security Act (the “CARES Act”), our net operating losses (“NOLs”) generated in tax years beginning after December 31, 2017 may be carried forward indefinitely, but the deductibility of such federal NOLs in tax years beginning after December 31, 2020, is limited to 80% of taxable income. There is variation in how states have responded and may continue to respond to the TCJA or the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in the future.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w:t>
      </w:r>
    </w:p>
    <w:p>
      <w:pPr>
        <w:pStyle w:val="TextBody"/>
        <w:bidi w:val="0"/>
        <w:spacing w:before="360" w:after="283"/>
        <w:jc w:val="left"/>
        <w:rPr>
          <w:rFonts w:ascii="Arial" w:hAnsi="Arial"/>
          <w:b/>
          <w:color w:val="000000"/>
          <w:sz w:val="20"/>
        </w:rPr>
      </w:pPr>
      <w:r>
        <w:rPr>
          <w:rFonts w:ascii="Arial" w:hAnsi="Arial"/>
          <w:b/>
          <w:color w:val="000000"/>
          <w:sz w:val="20"/>
        </w:rPr>
        <w:t>General Risk Factors</w:t>
      </w:r>
    </w:p>
    <w:p>
      <w:pPr>
        <w:pStyle w:val="TextBody"/>
        <w:bidi w:val="0"/>
        <w:spacing w:before="120" w:after="283"/>
        <w:jc w:val="left"/>
        <w:rPr>
          <w:rFonts w:ascii="Arial" w:hAnsi="Arial"/>
          <w:b/>
          <w:i/>
          <w:color w:val="000000"/>
          <w:sz w:val="20"/>
        </w:rPr>
      </w:pPr>
      <w:r>
        <w:rPr>
          <w:rFonts w:ascii="Arial" w:hAnsi="Arial"/>
          <w:b/>
          <w:i/>
          <w:color w:val="000000"/>
          <w:sz w:val="20"/>
        </w:rPr>
        <w:t>The trading price of our common stock has been and may continue to be volatile.</w:t>
      </w:r>
    </w:p>
    <w:p>
      <w:pPr>
        <w:pStyle w:val="TextBody"/>
        <w:bidi w:val="0"/>
        <w:spacing w:before="120" w:after="283"/>
        <w:jc w:val="left"/>
        <w:rPr>
          <w:rFonts w:ascii="Arial" w:hAnsi="Arial"/>
          <w:color w:val="000000"/>
          <w:sz w:val="20"/>
        </w:rPr>
      </w:pPr>
      <w:r>
        <w:rPr>
          <w:rFonts w:ascii="Arial" w:hAnsi="Arial"/>
          <w:color w:val="000000"/>
          <w:sz w:val="20"/>
        </w:rPr>
        <w:t>The trading price of our common stock has been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shares at or above the price paid for the shares. In addition to the factors discussed in this “Risk Factors” section and elsewhere in this Form 10-K,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commencement, enrollment or results of our planned and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sufficiency of our existing cash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results of our nonclinical testing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unanticipated safety, tolerability or efficacy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loss of any of our key research, development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or legal developments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adverse actions taken by regulatory agencies with respect to our clinical trials or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or developments in laws or regulations applicable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to our relationships with collaborators, manufacturers, or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announcements concerning our competitors or the pharmaceutical industry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actual or anticipated fluctuations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financial estimates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results of our efforts to discover, develop, acquire, or in-license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trading volume of our common stock on the Nasdaq Global Select Market;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of our common stock by us, our executive officers and directors or our stockholders or the anticipation that such sales may occur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political, market, and industry conditions, including economic slowdowns, recessions, inflationary pressures, rising interest rates, tariffs, trade wars, and reduced credit availability, and overall fluctuations in the financial markets in the U.S. or other countries where we conduct critical business;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stock market price and volume fluctuations of comparable companies and, in particular, those that operate in the biopharmaceutical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banking crises or failures;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investors’ general perception of us and our business.</w:t>
      </w:r>
    </w:p>
    <w:p>
      <w:pPr>
        <w:pStyle w:val="TextBody"/>
        <w:bidi w:val="0"/>
        <w:spacing w:before="240" w:after="283"/>
        <w:jc w:val="left"/>
        <w:rPr>
          <w:rFonts w:ascii="Arial" w:hAnsi="Arial"/>
          <w:color w:val="000000"/>
          <w:sz w:val="20"/>
        </w:rPr>
      </w:pPr>
      <w:r>
        <w:rPr>
          <w:rFonts w:ascii="Arial" w:hAnsi="Arial"/>
          <w:color w:val="000000"/>
          <w:sz w:val="20"/>
        </w:rPr>
        <w:t>These and other market and industry factors may cause the market price and demand for our common stock to fluctuate substantially, regardless of our actual operating performance, which may limit or prevent investors from selling their shares of our common stock at or above the price paid for the shares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p>
    <w:p>
      <w:pPr>
        <w:pStyle w:val="TextBody"/>
        <w:bidi w:val="0"/>
        <w:spacing w:before="240" w:after="283"/>
        <w:jc w:val="left"/>
        <w:rPr>
          <w:rFonts w:ascii="Arial" w:hAnsi="Arial"/>
          <w:color w:val="000000"/>
          <w:sz w:val="20"/>
        </w:rPr>
      </w:pPr>
      <w:r>
        <w:rPr>
          <w:rFonts w:ascii="Arial" w:hAnsi="Arial"/>
          <w:color w:val="000000"/>
          <w:sz w:val="20"/>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360" w:after="283"/>
        <w:jc w:val="left"/>
        <w:rPr>
          <w:rFonts w:ascii="Arial" w:hAnsi="Arial"/>
          <w:b/>
          <w:i/>
          <w:color w:val="000000"/>
          <w:sz w:val="20"/>
        </w:rPr>
      </w:pPr>
      <w:r>
        <w:rPr>
          <w:rFonts w:ascii="Arial" w:hAnsi="Arial"/>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120" w:after="283"/>
        <w:jc w:val="left"/>
        <w:rPr>
          <w:rFonts w:ascii="Arial" w:hAnsi="Arial"/>
          <w:color w:val="000000"/>
          <w:sz w:val="20"/>
        </w:rPr>
      </w:pPr>
      <w:r>
        <w:rPr>
          <w:rFonts w:ascii="Arial" w:hAnsi="Arial"/>
          <w:color w:val="000000"/>
          <w:sz w:val="20"/>
        </w:rPr>
        <w:t>The trading market for our common stock will be influenced by the research and reports that equity research analysts publish about us and our business. We currently have research coverage by a limited number of equity research analysts. Equity research analysts may elect not to continue to provide research coverage of our common stock, and such lack of research coverage may adversely affect the market price of our common stock.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stock to decline.</w:t>
      </w:r>
    </w:p>
    <w:p>
      <w:pPr>
        <w:pStyle w:val="TextBody"/>
        <w:bidi w:val="0"/>
        <w:spacing w:before="360" w:after="283"/>
        <w:jc w:val="left"/>
        <w:rPr>
          <w:rFonts w:ascii="Arial" w:hAnsi="Arial"/>
          <w:b/>
          <w:i/>
          <w:color w:val="000000"/>
          <w:sz w:val="20"/>
        </w:rPr>
      </w:pPr>
      <w:r>
        <w:rPr>
          <w:rFonts w:ascii="Arial" w:hAnsi="Arial"/>
          <w:b/>
          <w:i/>
          <w:color w:val="000000"/>
          <w:sz w:val="20"/>
        </w:rPr>
        <w:t>We are incurring significantly increased costs as a result of operating as a company whose common stock is publicly traded in the U.S., and our management is devoting substantial time to new compliance initiatives.</w:t>
      </w:r>
    </w:p>
    <w:p>
      <w:pPr>
        <w:pStyle w:val="TextBody"/>
        <w:bidi w:val="0"/>
        <w:spacing w:before="120" w:after="283"/>
        <w:jc w:val="left"/>
        <w:rPr>
          <w:rFonts w:ascii="Arial" w:hAnsi="Arial"/>
          <w:color w:val="000000"/>
          <w:sz w:val="20"/>
        </w:rPr>
      </w:pPr>
      <w:r>
        <w:rPr>
          <w:rFonts w:ascii="Arial" w:hAnsi="Arial"/>
          <w:color w:val="000000"/>
          <w:sz w:val="20"/>
        </w:rPr>
        <w:t>As a public company in the U.S., we are incurring significant legal, accounting, and other expenses. These expenses will likely be even more significant after we no longer qualify as an emerging growth company. The Sarbanes-Oxley Act, the Dodd-Frank Wall Street Reform and Consumer Protection Act, the listing requirements of Nasdaq Global Select Market and other applicable securities rules and regulations impose various requirements on public companies in the U.S., including the establishment and maintenance of effective disclosure and financial controls and corporate governance practices. Our senior management and other personnel devote a substantial amount of time to these compliance initiatives. Moreover, these rules and regulations has increased our legal and financial compliance costs and has made some activities more time-consuming and costly. We cannot predict or estimate the amount of additional costs we will incur or the timing of such costs.</w:t>
      </w:r>
    </w:p>
    <w:p>
      <w:pPr>
        <w:pStyle w:val="TextBody"/>
        <w:bidi w:val="0"/>
        <w:spacing w:before="240" w:after="283"/>
        <w:jc w:val="left"/>
        <w:rPr>
          <w:rFonts w:ascii="Arial" w:hAnsi="Arial"/>
          <w:color w:val="000000"/>
          <w:sz w:val="20"/>
        </w:rPr>
      </w:pPr>
      <w:r>
        <w:rPr>
          <w:rFonts w:ascii="Arial" w:hAnsi="Arial"/>
          <w:color w:val="000000"/>
          <w:sz w:val="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Pursuant to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prepare for eventual compliance with Section 404,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Identifying material weaknesses could result in an adverse reaction in the financial markets due to a loss of confidence in the reliability of our financial statements.</w:t>
      </w:r>
    </w:p>
    <w:p>
      <w:pPr>
        <w:pStyle w:val="TextBody"/>
        <w:bidi w:val="0"/>
        <w:spacing w:before="360" w:after="283"/>
        <w:jc w:val="left"/>
        <w:rPr>
          <w:rFonts w:ascii="Arial" w:hAnsi="Arial"/>
          <w:b/>
          <w:i/>
          <w:color w:val="000000"/>
          <w:sz w:val="20"/>
        </w:rPr>
      </w:pPr>
      <w:r>
        <w:rPr>
          <w:rFonts w:ascii="Arial" w:hAnsi="Arial"/>
          <w:b/>
          <w:i/>
          <w:color w:val="000000"/>
          <w:sz w:val="20"/>
        </w:rPr>
        <w:t>Significant disruptions of our or our vendors’ information technology systems or cybersecurity incidents could result in significant financial, legal, regulatory, business, and reputational harm to us.</w:t>
      </w:r>
    </w:p>
    <w:p>
      <w:pPr>
        <w:pStyle w:val="TextBody"/>
        <w:bidi w:val="0"/>
        <w:spacing w:before="120" w:after="283"/>
        <w:jc w:val="left"/>
        <w:rPr>
          <w:rFonts w:ascii="Arial" w:hAnsi="Arial"/>
          <w:color w:val="000000"/>
          <w:sz w:val="20"/>
        </w:rPr>
      </w:pPr>
      <w:r>
        <w:rPr>
          <w:rFonts w:ascii="Arial" w:hAnsi="Arial"/>
          <w:color w:val="000000"/>
          <w:sz w:val="20"/>
        </w:rPr>
        <w:t>We are increasingly dependent on information technology systems and infrastructure, including mobile technologies, to operate our business. In the ordinary course of our business, we collect, store, process, and transmit large amounts of confidential information, including intellectual property, proprietary business information, personal information (including health information), and other confidential information. It is critical that we do so in a secure manner to maintain the confidentiality, integrity, and restricted availability of such information. We have also outsourced elements of our operations, including elements of our information technology infrastructure and data processing, to third parties and, as a result, we manage a number of third-party vendors who have access to our computer networks or our information. In addition, many of those third parties in turn subcontract or outsource some of their responsibilities to other third parties. While all information technology operations are inherently vulnerable to inadvertent or intentional security breaches, incidents, attacks, and exposures, the accessibility and distributed nature of our information technology systems, and the information stored on those systems, make such systems (and the information stored therein) vulnerable to risks that threaten the confidentiality, integrity and availability of these systems and information, including unintentional or malicious, internal, and external attacks on our technology environment. Vulnerabilities can be exploited by diverse threat actors and attack vectors, including through inadvertent or intentional actions of our employees, third-party vendors, business partners, or by malicious third parties. Cybersecurity incidents are increasing in their frequency, levels of persistence, sophistication, and intensity, and are being conducted by sophisticated and organized groups and individuals with a wide range of motives (including industrial espionage) and expertise, including organized criminal groups, “hacktivists,” nation states, and others, and utilizing increasingly sophisticated techniques and tools – including AI – that circumvent security controls, evade detection and remove or obfuscate forensic evidence. In addition to access to, loss of or the extraction of information, such attacks could involve the deployment of harmful malware, ransomware, denial-of-service attacks, social engineering/phishing, malicious code embedded in software, and other means to affect service reliability and threaten the confidentiality, integrity, and availability of information technology systems or information. In addition, the prevalent use of mobile devices increases the risk of cybersecurity incidents.</w:t>
      </w:r>
    </w:p>
    <w:p>
      <w:pPr>
        <w:pStyle w:val="TextBody"/>
        <w:bidi w:val="0"/>
        <w:spacing w:before="240" w:after="283"/>
        <w:jc w:val="left"/>
        <w:rPr>
          <w:rFonts w:ascii="Arial" w:hAnsi="Arial"/>
          <w:color w:val="000000"/>
          <w:sz w:val="20"/>
        </w:rPr>
      </w:pPr>
      <w:r>
        <w:rPr>
          <w:rFonts w:ascii="Arial" w:hAnsi="Arial"/>
          <w:color w:val="000000"/>
          <w:sz w:val="20"/>
        </w:rPr>
        <w:t>Significant disruptions of our or our third-party vendors’ or business partners’ information technology systems or other similar cybersecurity incidents could adversely affect our business operations and result in the loss, misappropriation, and unauthorized access, use or disclosure of, or the prevention of access to, information, which could result in financial, legal, regulatory, business, and reputational harm to us. In addition, any impact to the confidentiality, integrity or availability of information technology systems and the information stored therein, whether from attacks on our or third-party technology environment or from computer viruses, natural disasters, terrorism, war, telecommunication and electrical failures, or other threats, could result in a material disruption of our development programs and our business operations. For example, the loss of clinical trial data from ongoing, completed or future clinical trials could result in delays in our regulatory approval efforts and significantly increase our costs to recover or reproduce the data. We cannot ensure that our cybersecurity and data protection efforts and our investment in information technology, or the efforts or investments of CROs, consultants or other third parties with which we work, will prevent breakdowns or breaches in our or their systems or other cybersecurity incidents, including those that cause loss, destruction, unavailability, alteration, dissemination of, or damage, or unauthorized access to, or processing of, our data, including personal information, assets, and other data processed or maintained on our behalf, that could have a material adverse effect upon our reputation, business, financial condition, results of operations and growth prospects.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While we have implemented security measures intended to protect our information technology systems and infrastructure, there can be no assurance that such measures will successfully prevent service interruptions or cybersecurity incidents or that our security measures and processes will be fully implemented, complied with or effective. Nor can we be certain that our third-party vendors or business partners have sufficient measures or processes in place to protect their information technology systems and infrastructure. We, our third-party vendors and business partners are, from time to time, subject to attacks and cybersecurity incidents. While we have not to our knowledge experienced an incident that has had a material impact on our operations or financial results, there is no way of knowing with certainty whether we have experienced any material cybersecurity incidents that have not been discovered. While we have no reason to believe this to be the case, attackers have become very sophisticated in the way they conceal access to systems, and many companies that have been attacked are not aware that their systems or information have been compromised. Any event that leads to unauthorized access, use, or disclosure of information, including personal information regarding our patients or employees, or other adverse impact to the availability, integrity or confidentiality of our information technology systems, infrastructure or information, could disrupt our business, harm our reputation, compel us to comply with applicable federal and state breach notification laws and foreign law and contractual equivalents, subject us to time-consuming, distracting, and expensive litigation (including class actions),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It could also result in increased costs to us, including costs to investigate, mitigate and remediate vulnerabilities and incidents, and result in significant legal and financial exposure and reputational harm. In addition, any failure or perceived failure by us or our vendors or business partners to comply with our privacy, confidentiality, or data security-related legal or other obligations to third parties, or any further cybersecurity incidents,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Moreover, cybersecurity incidents and other inappropriate access can be difficult to detect, and any delay in identifying them may lead to increased harm of the type described above. Finally, we cannot guarantee that any costs and liabilities incurred in relation to an incident will be covered by our existing insurance policies or that applicable insurance will be available to us in the future on economically reasonable terms or at all. Any of the foregoing could have a material adverse effect on our reputation, business, financial condition, results of operations and growth prospects.</w:t>
      </w:r>
    </w:p>
    <w:p>
      <w:pPr>
        <w:pStyle w:val="TextBody"/>
        <w:bidi w:val="0"/>
        <w:spacing w:before="360" w:after="283"/>
        <w:jc w:val="left"/>
        <w:rPr>
          <w:rFonts w:ascii="Arial" w:hAnsi="Arial"/>
          <w:b/>
          <w:i/>
          <w:color w:val="000000"/>
          <w:sz w:val="20"/>
        </w:rPr>
      </w:pPr>
      <w:r>
        <w:rPr>
          <w:rFonts w:ascii="Arial" w:hAnsi="Arial"/>
          <w:b/>
          <w:i/>
          <w:color w:val="000000"/>
          <w:sz w:val="20"/>
        </w:rPr>
        <w:t>We are an “emerging growth company” and as a result of the reduced disclosure and governance requirements applicable to emerging growth companies, our common stock may be less attractive to investors.</w:t>
      </w:r>
    </w:p>
    <w:p>
      <w:pPr>
        <w:pStyle w:val="TextBody"/>
        <w:bidi w:val="0"/>
        <w:spacing w:before="120" w:after="283"/>
        <w:jc w:val="left"/>
        <w:rPr>
          <w:rFonts w:ascii="Arial" w:hAnsi="Arial"/>
          <w:color w:val="000000"/>
          <w:sz w:val="20"/>
        </w:rPr>
      </w:pPr>
      <w:r>
        <w:rPr>
          <w:rFonts w:ascii="Arial" w:hAnsi="Arial"/>
          <w:color w:val="000000"/>
          <w:sz w:val="20"/>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taken advantage of reduced reporting burdens in our Annual Reports on Form 10-K and our Quarterly Reports on Form 10-Q. In particular, in our Annual Reports on Form 10-K, we have provided only two comparative periods of audited financial statements. We also have not provided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Arial" w:hAnsi="Arial"/>
          <w:color w:val="000000"/>
          <w:sz w:val="20"/>
        </w:rPr>
      </w:pPr>
      <w:r>
        <w:rPr>
          <w:rFonts w:ascii="Arial" w:hAnsi="Arial"/>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If we fail to adhere to the listing requirements of the Nasdaq Global Select Market our common stock could be delisted.</w:t>
      </w:r>
    </w:p>
    <w:p>
      <w:pPr>
        <w:pStyle w:val="TextBody"/>
        <w:bidi w:val="0"/>
        <w:spacing w:before="120" w:after="283"/>
        <w:jc w:val="left"/>
        <w:rPr>
          <w:rFonts w:ascii="Arial" w:hAnsi="Arial"/>
          <w:color w:val="000000"/>
          <w:sz w:val="20"/>
        </w:rPr>
      </w:pPr>
      <w:r>
        <w:rPr>
          <w:rFonts w:ascii="Arial" w:hAnsi="Arial"/>
          <w:color w:val="000000"/>
          <w:sz w:val="20"/>
        </w:rPr>
        <w:t>If we are unable to comply with the listing requirements of the Nasdaq Global Select Market, our stock could be delisted for such failure. If our common stock is delisted from Nasdaq, we could be required to list on the over-the-counter market, which may adversely affect the price and trading liquidity of our common stock. Delisting from Nasdaq may have other negative results, including the potential loss of confidence in us by employees and partners, the loss of institutional investor interest, fewer business development opportunities and greater difficulty in obtaining financing on favorable terms or at all.</w:t>
      </w:r>
    </w:p>
    <w:p>
      <w:pPr>
        <w:pStyle w:val="TextBody"/>
        <w:bidi w:val="0"/>
        <w:spacing w:before="360" w:after="283"/>
        <w:jc w:val="left"/>
        <w:rPr>
          <w:rFonts w:ascii="Arial" w:hAnsi="Arial"/>
          <w:b/>
          <w:i/>
          <w:color w:val="000000"/>
          <w:sz w:val="20"/>
        </w:rPr>
      </w:pPr>
      <w:r>
        <w:rPr>
          <w:rFonts w:ascii="Arial" w:hAnsi="Arial"/>
          <w:b/>
          <w:i/>
          <w:color w:val="000000"/>
          <w:sz w:val="20"/>
        </w:rPr>
        <w:t>Recent and potential future changes to U.S. and non-U.S. tax laws could materially adversely affect our company.</w:t>
      </w:r>
    </w:p>
    <w:p>
      <w:pPr>
        <w:pStyle w:val="TextBody"/>
        <w:bidi w:val="0"/>
        <w:spacing w:before="120" w:after="283"/>
        <w:jc w:val="left"/>
        <w:rPr>
          <w:rFonts w:ascii="Arial" w:hAnsi="Arial"/>
          <w:color w:val="000000"/>
          <w:sz w:val="20"/>
        </w:rPr>
      </w:pPr>
      <w:r>
        <w:rPr>
          <w:rFonts w:ascii="Arial" w:hAnsi="Arial"/>
          <w:color w:val="000000"/>
          <w:sz w:val="20"/>
        </w:rPr>
        <w:t>Existing, new, or future changes in tax laws, regulations, and treaties, or the interpretation thereof, in addition to tax policy initiatives, reforms and other initiatives under consideration in the U.S. and internationally could have an adverse effect on the taxation of international businesses. Furthermore, countries where we are subject to taxes, including the U.S., are independently evaluating their tax policies and we may see significant changes in legislation and regulations concerning taxation. For example, the TCJA, the CARES Act and the IRA made many significant changes to the U.S. tax laws. Future guidance from the U.S. Internal Revenue Service and other tax authorities with respect to any such tax legislation may affect us, and certain aspects of the previously enacted legislation could be repealed or modified in future legislation. In addition, it is uncertain if and to what extent various states will conform to the TCJA, the CARES Act, the IRA, or any newly enacted federal tax legislation. Other legislative changes could also affect the taxation of holders of our common stock. We are unable to predict what tax reform may be proposed or enacted in the future or what effect such changes would have on our business, but such changes could affect our effective tax rates in the future in countries where we are subject to tax and have an adverse effect on our overall tax rate in the future, along with increasing the complexity, burden, and cost of tax compliance.</w:t>
      </w:r>
    </w:p>
    <w:p>
      <w:pPr>
        <w:pStyle w:val="TextBody"/>
        <w:bidi w:val="0"/>
        <w:spacing w:before="240" w:after="283"/>
        <w:jc w:val="left"/>
        <w:rPr>
          <w:rFonts w:ascii="Arial" w:hAnsi="Arial"/>
          <w:color w:val="000000"/>
          <w:sz w:val="20"/>
        </w:rPr>
      </w:pPr>
      <w:r>
        <w:rPr>
          <w:rFonts w:ascii="Arial" w:hAnsi="Arial"/>
          <w:color w:val="000000"/>
          <w:sz w:val="20"/>
        </w:rPr>
        <w:t>In July 2025, the U.S. government enacted the OBBBA, which includes several changes to U.S. federal income tax law, including the temporary and permanent extension of expiring provisions of the TCJA. Adoption of the OBBBA did not have a material impact to our financial statements and related disclosures. We will continue to monitor the impact of the OBBBA in future periods.</w:t>
      </w:r>
    </w:p>
    <w:p>
      <w:pPr>
        <w:pStyle w:val="TextBody"/>
        <w:bidi w:val="0"/>
        <w:spacing w:before="360" w:after="283"/>
        <w:jc w:val="left"/>
        <w:rPr>
          <w:rFonts w:ascii="Arial" w:hAnsi="Arial"/>
          <w:b/>
          <w:i/>
          <w:color w:val="000000"/>
          <w:sz w:val="20"/>
        </w:rPr>
      </w:pPr>
      <w:r>
        <w:rPr>
          <w:rFonts w:ascii="Arial" w:hAnsi="Arial"/>
          <w:b/>
          <w:i/>
          <w:color w:val="000000"/>
          <w:sz w:val="20"/>
        </w:rPr>
        <w:t>Indemnity provisions in various agreements potentially expose us to substantial liability for intellectual property infringement, data protection, and other losses.</w:t>
      </w:r>
    </w:p>
    <w:p>
      <w:pPr>
        <w:pStyle w:val="TextBody"/>
        <w:bidi w:val="0"/>
        <w:spacing w:before="120" w:after="283"/>
        <w:jc w:val="left"/>
        <w:rPr>
          <w:rFonts w:ascii="Arial" w:hAnsi="Arial"/>
          <w:color w:val="000000"/>
          <w:sz w:val="20"/>
        </w:rPr>
      </w:pPr>
      <w:r>
        <w:rPr>
          <w:rFonts w:ascii="Arial" w:hAnsi="Arial"/>
          <w:color w:val="000000"/>
          <w:sz w:val="20"/>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financial condition, results of operations and growth prospects.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pStyle w:val="TextBody"/>
        <w:bidi w:val="0"/>
        <w:spacing w:before="360" w:after="283"/>
        <w:jc w:val="left"/>
        <w:rPr>
          <w:rFonts w:ascii="Times New Roman" w:hAnsi="Times New Roman"/>
          <w:sz w:val="20"/>
        </w:rPr>
      </w:pPr>
      <w:bookmarkStart w:id="5" w:name="item1b"/>
      <w:bookmarkEnd w:id="5"/>
      <w:r>
        <w:rPr>
          <w:rFonts w:ascii="Arial" w:hAnsi="Arial"/>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Times New Roman" w:hAnsi="Times New Roman"/>
          <w:sz w:val="20"/>
        </w:rPr>
      </w:pPr>
      <w:bookmarkStart w:id="6" w:name="item1c"/>
      <w:bookmarkEnd w:id="6"/>
      <w:r>
        <w:rPr>
          <w:rFonts w:ascii="Arial" w:hAnsi="Arial"/>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Cybersecurity Risk Management and Strategy</w:t>
      </w:r>
    </w:p>
    <w:p>
      <w:pPr>
        <w:pStyle w:val="TextBody"/>
        <w:bidi w:val="0"/>
        <w:spacing w:before="120" w:after="283"/>
        <w:jc w:val="left"/>
        <w:rPr>
          <w:rFonts w:ascii="Times New Roman" w:hAnsi="Times New Roman"/>
          <w:sz w:val="20"/>
        </w:rPr>
      </w:pPr>
      <w:r>
        <w:rPr>
          <w:rFonts w:ascii="Arial" w:hAnsi="Arial"/>
          <w:color w:val="000000"/>
          <w:sz w:val="20"/>
        </w:rPr>
        <w:t>We have developed and implemented cybersecurity risk management practices intended to protect the confidentiality, integrity, and availability of our critical systems and information.</w:t>
      </w:r>
      <w:r>
        <w:rPr>
          <w:rFonts w:ascii="Times New Roman" w:hAnsi="Times New Roman"/>
          <w:color w:val="000000"/>
          <w:sz w:val="20"/>
        </w:rPr>
        <w:t xml:space="preserve"> </w:t>
      </w:r>
      <w:r>
        <w:rPr>
          <w:rFonts w:ascii="Arial" w:hAnsi="Arial"/>
          <w:color w:val="000000"/>
          <w:sz w:val="20"/>
        </w:rPr>
        <w:t>Our cybersecurity risk management practices include a cybersecurity incident response plan.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Key elements of our cybersecurity risk management practices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 monitoring and assessments designed to help identify material cybersecurity risks from cybersecurity threats to our critical systems, information, products, services, and our broader enterprise IT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internal and external IT professionals responsible for managing our (1) cybersecurity risk analysis, (2) security controls, and (3) response to cybersecurity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use of external service providers, where appropriate, to assist with aspects of our security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cybersecurity awareness training of our employees and senior management;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breach response and cybersecurity incident response plan that includes procedures for responding to cybersecurity incidents.</w:t>
      </w:r>
    </w:p>
    <w:p>
      <w:pPr>
        <w:pStyle w:val="TextBody"/>
        <w:bidi w:val="0"/>
        <w:spacing w:before="240" w:after="283"/>
        <w:jc w:val="left"/>
        <w:rPr>
          <w:rFonts w:ascii="Times New Roman" w:hAnsi="Times New Roman"/>
          <w:sz w:val="20"/>
        </w:rPr>
      </w:pPr>
      <w:r>
        <w:rPr>
          <w:rFonts w:ascii="Arial" w:hAnsi="Arial"/>
          <w:color w:val="000000"/>
          <w:sz w:val="20"/>
        </w:rPr>
        <w:t>Although we face risks from cybersecurity threats, no known cybersecurity threats have materially affected or we believe are reasonably likely to materially affect us, including our business, financial condition, results of operations and growth prospects.</w:t>
      </w:r>
      <w:r>
        <w:rPr>
          <w:rFonts w:ascii="Times New Roman" w:hAnsi="Times New Roman"/>
          <w:color w:val="000000"/>
          <w:sz w:val="20"/>
        </w:rPr>
        <w:t xml:space="preserve"> </w:t>
      </w:r>
      <w:r>
        <w:rPr>
          <w:rFonts w:ascii="Arial" w:hAnsi="Arial"/>
          <w:color w:val="000000"/>
          <w:sz w:val="20"/>
        </w:rPr>
        <w:t>See “Risk Factors – Significant disruptions of our or our vendors’ information technology systems or cybersecurity incidents could result in significant financial, legal, regulatory, business, and reputational harm to us.”</w:t>
      </w:r>
    </w:p>
    <w:p>
      <w:pPr>
        <w:pStyle w:val="TextBody"/>
        <w:bidi w:val="0"/>
        <w:spacing w:before="360" w:after="283"/>
        <w:jc w:val="left"/>
        <w:rPr>
          <w:rFonts w:ascii="Arial" w:hAnsi="Arial"/>
          <w:b/>
          <w:i/>
          <w:color w:val="000000"/>
          <w:sz w:val="20"/>
        </w:rPr>
      </w:pPr>
      <w:r>
        <w:rPr>
          <w:rFonts w:ascii="Arial" w:hAnsi="Arial"/>
          <w:b/>
          <w:i/>
          <w:color w:val="000000"/>
          <w:sz w:val="20"/>
        </w:rPr>
        <w:t>Cybersecurity Governance</w:t>
      </w:r>
    </w:p>
    <w:p>
      <w:pPr>
        <w:pStyle w:val="TextBody"/>
        <w:bidi w:val="0"/>
        <w:spacing w:before="120" w:after="283"/>
        <w:jc w:val="left"/>
        <w:rPr>
          <w:rFonts w:ascii="Times New Roman" w:hAnsi="Times New Roman"/>
          <w:sz w:val="20"/>
        </w:rPr>
      </w:pPr>
      <w:r>
        <w:rPr>
          <w:rFonts w:ascii="Arial" w:hAnsi="Arial"/>
          <w:color w:val="000000"/>
          <w:sz w:val="20"/>
        </w:rPr>
        <w:t>Our Board considers cybersecurity risk as part of its risk oversight function and has delegated to the Audit Committee of our Board (the “Audit Committee”) oversight of cybersecurity risks, including oversight of management’s implementation of our cybersecurity risk management program.</w:t>
      </w:r>
      <w:r>
        <w:rPr>
          <w:rFonts w:ascii="Times New Roman" w:hAnsi="Times New Roman"/>
          <w:color w:val="000000"/>
          <w:sz w:val="20"/>
        </w:rPr>
        <w:t xml:space="preserve"> </w:t>
      </w:r>
      <w:r>
        <w:rPr>
          <w:rFonts w:ascii="Arial" w:hAnsi="Arial"/>
          <w:color w:val="000000"/>
          <w:sz w:val="20"/>
        </w:rPr>
        <w:t>The Audit Committee receives reports at least annually from management on our cybersecurity risks and would be informed of any cybersecurity incidents that management considers to be significant or potentially significant.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Our internal cybersecurity professional reports to our CEO and is responsible for assessing and managing our material risks from cybersecurity threats.</w:t>
      </w:r>
      <w:r>
        <w:rPr>
          <w:rFonts w:ascii="Times New Roman" w:hAnsi="Times New Roman"/>
          <w:color w:val="000000"/>
          <w:sz w:val="20"/>
        </w:rPr>
        <w:t xml:space="preserve"> </w:t>
      </w:r>
      <w:r>
        <w:rPr>
          <w:rFonts w:ascii="Arial" w:hAnsi="Arial"/>
          <w:color w:val="000000"/>
          <w:sz w:val="20"/>
        </w:rPr>
        <w:t>The CEO is supported by our Chief Legal Officer in exercising primary oversight for our overall cybersecurity risk management program.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7" w:name="item2"/>
      <w:bookmarkEnd w:id="7"/>
      <w:r>
        <w:rPr>
          <w:rFonts w:ascii="Arial" w:hAnsi="Arial"/>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operate primarily as a remote</w:t>
        <w:noBreakHyphen/>
        <w:t>first organization. We do not own any real property. We use coworking or flexible office space in Menlo Park, California that serves as our registered address and for meetings or collaboration on an as-needed basis. We believe that our current facilities arrangement will be adequate for our near-term needs. If required, we believe that suitable space would be available in the future on commercially reasonable terms.</w:t>
      </w:r>
    </w:p>
    <w:p>
      <w:pPr>
        <w:pStyle w:val="TextBody"/>
        <w:bidi w:val="0"/>
        <w:spacing w:before="360" w:after="283"/>
        <w:jc w:val="left"/>
        <w:rPr>
          <w:rFonts w:ascii="Times New Roman" w:hAnsi="Times New Roman"/>
          <w:sz w:val="20"/>
        </w:rPr>
      </w:pPr>
      <w:bookmarkStart w:id="8" w:name="item3"/>
      <w:bookmarkEnd w:id="8"/>
      <w:r>
        <w:rPr>
          <w:rFonts w:ascii="Arial" w:hAnsi="Arial"/>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information in Part IV, Note 7—Commitments and Contingencies—Contingencies is incorporated herein by reference.</w:t>
      </w:r>
    </w:p>
    <w:p>
      <w:pPr>
        <w:pStyle w:val="TextBody"/>
        <w:bidi w:val="0"/>
        <w:spacing w:before="360" w:after="283"/>
        <w:jc w:val="left"/>
        <w:rPr>
          <w:rFonts w:ascii="Arial" w:hAnsi="Arial"/>
          <w:b/>
          <w:color w:val="000000"/>
          <w:sz w:val="20"/>
        </w:rPr>
      </w:pPr>
      <w:bookmarkStart w:id="9" w:name="item4"/>
      <w:bookmarkEnd w:id="9"/>
      <w:r>
        <w:rPr>
          <w:rFonts w:ascii="Arial" w:hAnsi="Arial"/>
          <w:b/>
          <w:color w:val="000000"/>
          <w:sz w:val="20"/>
        </w:rPr>
        <w:t>Item 4. Mine Safety Disclosures.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PART II</w:t>
      </w:r>
    </w:p>
    <w:p>
      <w:pPr>
        <w:pStyle w:val="TextBody"/>
        <w:bidi w:val="0"/>
        <w:spacing w:before="360" w:after="283"/>
        <w:jc w:val="left"/>
        <w:rPr>
          <w:rFonts w:ascii="Times New Roman" w:hAnsi="Times New Roman"/>
          <w:sz w:val="20"/>
        </w:rPr>
      </w:pPr>
      <w:bookmarkStart w:id="10" w:name="item5"/>
      <w:bookmarkEnd w:id="10"/>
      <w:r>
        <w:rPr>
          <w:rFonts w:ascii="Arial" w:hAnsi="Arial"/>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Market Information for Common Stock</w:t>
      </w:r>
    </w:p>
    <w:p>
      <w:pPr>
        <w:pStyle w:val="TextBody"/>
        <w:bidi w:val="0"/>
        <w:spacing w:before="120" w:after="283"/>
        <w:jc w:val="left"/>
        <w:rPr>
          <w:rFonts w:ascii="Arial" w:hAnsi="Arial"/>
          <w:color w:val="000000"/>
          <w:sz w:val="20"/>
        </w:rPr>
      </w:pPr>
      <w:r>
        <w:rPr>
          <w:rFonts w:ascii="Arial" w:hAnsi="Arial"/>
          <w:color w:val="000000"/>
          <w:sz w:val="20"/>
        </w:rPr>
        <w:t>Our common stock has been listed on the Nasdaq Global Select Market under the symbol “ANTX” since March 25, 2022. Prior to that date, there was no public trading market for our common stock.</w:t>
      </w:r>
    </w:p>
    <w:p>
      <w:pPr>
        <w:pStyle w:val="TextBody"/>
        <w:bidi w:val="0"/>
        <w:spacing w:before="360" w:after="283"/>
        <w:jc w:val="left"/>
        <w:rPr>
          <w:rFonts w:ascii="Arial" w:hAnsi="Arial"/>
          <w:b/>
          <w:i/>
          <w:color w:val="000000"/>
          <w:sz w:val="20"/>
        </w:rPr>
      </w:pPr>
      <w:r>
        <w:rPr>
          <w:rFonts w:ascii="Arial" w:hAnsi="Arial"/>
          <w:b/>
          <w:i/>
          <w:color w:val="000000"/>
          <w:sz w:val="20"/>
        </w:rPr>
        <w:t>Dividend Policy</w:t>
      </w:r>
    </w:p>
    <w:p>
      <w:pPr>
        <w:pStyle w:val="TextBody"/>
        <w:bidi w:val="0"/>
        <w:spacing w:before="120" w:after="283"/>
        <w:jc w:val="left"/>
        <w:rPr>
          <w:rFonts w:ascii="Arial" w:hAnsi="Arial"/>
          <w:color w:val="000000"/>
          <w:sz w:val="20"/>
        </w:rPr>
      </w:pPr>
      <w:r>
        <w:rPr>
          <w:rFonts w:ascii="Arial" w:hAnsi="Arial"/>
          <w:color w:val="000000"/>
          <w:sz w:val="20"/>
        </w:rPr>
        <w:t>We have never declared or paid any dividends on our common stock. We anticipate that we will retain all of our future earnings, if any, for use in the operation and expansion of our business and do not anticipate paying cash dividends in the foreseeable future. Any future determination to declare or pay dividends will be made at the discretion of our Board, subject to applicable laws, and will depend upon, among other factors, our results of operations, financial condition, contractual restrictions, capital requirements, general business conditions and other factors that our Board may deem relevant. Our future ability to pay cash dividends on our capital stock may be limited by the terms of any future debt or preferred securities.</w:t>
      </w:r>
    </w:p>
    <w:p>
      <w:pPr>
        <w:pStyle w:val="TextBody"/>
        <w:bidi w:val="0"/>
        <w:spacing w:before="360" w:after="283"/>
        <w:jc w:val="left"/>
        <w:rPr>
          <w:rFonts w:ascii="Arial" w:hAnsi="Arial"/>
          <w:b/>
          <w:i/>
          <w:color w:val="000000"/>
          <w:sz w:val="20"/>
        </w:rPr>
      </w:pPr>
      <w:r>
        <w:rPr>
          <w:rFonts w:ascii="Arial" w:hAnsi="Arial"/>
          <w:b/>
          <w:i/>
          <w:color w:val="000000"/>
          <w:sz w:val="20"/>
        </w:rPr>
        <w:t>Stockholders</w:t>
      </w:r>
    </w:p>
    <w:p>
      <w:pPr>
        <w:pStyle w:val="TextBody"/>
        <w:bidi w:val="0"/>
        <w:spacing w:before="120" w:after="283"/>
        <w:jc w:val="left"/>
        <w:rPr>
          <w:rFonts w:ascii="Arial" w:hAnsi="Arial"/>
          <w:color w:val="000000"/>
          <w:sz w:val="20"/>
        </w:rPr>
      </w:pPr>
      <w:r>
        <w:rPr>
          <w:rFonts w:ascii="Arial" w:hAnsi="Arial"/>
          <w:color w:val="000000"/>
          <w:sz w:val="20"/>
        </w:rPr>
        <w:t>As of March 10, 2026, we had 40 holders of record of our common stock. The actual number of stockholders is greater than this number of record holders and includes stockholders who are beneficial owners but whose shares are held in street name by brokers and other nominees. This number of record holders also does not include stockholders whose shares may be held in trust by other entities.</w:t>
      </w:r>
    </w:p>
    <w:p>
      <w:pPr>
        <w:pStyle w:val="TextBody"/>
        <w:bidi w:val="0"/>
        <w:spacing w:before="360" w:after="283"/>
        <w:jc w:val="left"/>
        <w:rPr>
          <w:rFonts w:ascii="Arial" w:hAnsi="Arial"/>
          <w:b/>
          <w:i/>
          <w:color w:val="000000"/>
          <w:sz w:val="20"/>
        </w:rPr>
      </w:pPr>
      <w:r>
        <w:rPr>
          <w:rFonts w:ascii="Arial" w:hAnsi="Arial"/>
          <w:b/>
          <w:i/>
          <w:color w:val="000000"/>
          <w:sz w:val="20"/>
        </w:rPr>
        <w:t>Securities Authorized for Issuance under Equity Compensation Plans</w:t>
      </w:r>
    </w:p>
    <w:p>
      <w:pPr>
        <w:pStyle w:val="TextBody"/>
        <w:bidi w:val="0"/>
        <w:spacing w:before="120" w:after="283"/>
        <w:jc w:val="left"/>
        <w:rPr>
          <w:rFonts w:ascii="Arial" w:hAnsi="Arial"/>
          <w:color w:val="000000"/>
          <w:sz w:val="20"/>
        </w:rPr>
      </w:pPr>
      <w:r>
        <w:rPr>
          <w:rFonts w:ascii="Arial" w:hAnsi="Arial"/>
          <w:color w:val="000000"/>
          <w:sz w:val="20"/>
        </w:rPr>
        <w:t>The information required by this item is incorporated by reference to the definitive proxy statement for our 2025 annual meeting of stockholders (the “Proxy Statement”) to be filed with the SEC within 120 days after the end of our fiscal year ended December 31, 2025.</w:t>
      </w:r>
    </w:p>
    <w:p>
      <w:pPr>
        <w:pStyle w:val="TextBody"/>
        <w:bidi w:val="0"/>
        <w:spacing w:before="360" w:after="283"/>
        <w:jc w:val="left"/>
        <w:rPr>
          <w:rFonts w:ascii="Arial" w:hAnsi="Arial"/>
          <w:b/>
          <w:i/>
          <w:color w:val="000000"/>
          <w:sz w:val="20"/>
        </w:rPr>
      </w:pPr>
      <w:r>
        <w:rPr>
          <w:rFonts w:ascii="Arial" w:hAnsi="Arial"/>
          <w:b/>
          <w:i/>
          <w:color w:val="000000"/>
          <w:sz w:val="20"/>
        </w:rPr>
        <w:t>Recent Sales of Unregistered Equity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i/>
          <w:color w:val="000000"/>
          <w:sz w:val="20"/>
        </w:rPr>
      </w:pPr>
      <w:r>
        <w:rPr>
          <w:rFonts w:ascii="Arial" w:hAnsi="Arial"/>
          <w:b/>
          <w:i/>
          <w:color w:val="000000"/>
          <w:sz w:val="20"/>
        </w:rPr>
        <w:t>Use of Proceeds from Public Offering of Common Stock</w:t>
      </w:r>
    </w:p>
    <w:p>
      <w:pPr>
        <w:pStyle w:val="TextBody"/>
        <w:bidi w:val="0"/>
        <w:spacing w:before="120" w:after="283"/>
        <w:jc w:val="left"/>
        <w:rPr>
          <w:rFonts w:ascii="Arial" w:hAnsi="Arial"/>
          <w:color w:val="000000"/>
          <w:sz w:val="20"/>
        </w:rPr>
      </w:pPr>
      <w:r>
        <w:rPr>
          <w:rFonts w:ascii="Arial" w:hAnsi="Arial"/>
          <w:color w:val="000000"/>
          <w:sz w:val="20"/>
        </w:rPr>
        <w:t>On March 24, 2022, our registration statement on Form S-1 (File No. 333-263295) was declared effective by the SEC for the IPO of our common stock. There has been no material change in the use of proceeds from our IPO as described in our final prospectus dated March 24, 2022 pursuant to Rule 424(b)(4).</w:t>
      </w:r>
    </w:p>
    <w:p>
      <w:pPr>
        <w:pStyle w:val="TextBody"/>
        <w:bidi w:val="0"/>
        <w:spacing w:before="360" w:after="283"/>
        <w:jc w:val="left"/>
        <w:rPr>
          <w:rFonts w:ascii="Arial" w:hAnsi="Arial"/>
          <w:b/>
          <w:i/>
          <w:color w:val="000000"/>
          <w:sz w:val="20"/>
        </w:rPr>
      </w:pPr>
      <w:r>
        <w:rPr>
          <w:rFonts w:ascii="Arial" w:hAnsi="Arial"/>
          <w:b/>
          <w:i/>
          <w:color w:val="000000"/>
          <w:sz w:val="20"/>
        </w:rPr>
        <w:t>Issuer Purchases of Equity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Times New Roman" w:hAnsi="Times New Roman"/>
          <w:sz w:val="20"/>
        </w:rPr>
      </w:pPr>
      <w:bookmarkStart w:id="11" w:name="reserved"/>
      <w:bookmarkEnd w:id="11"/>
      <w:r>
        <w:rPr>
          <w:rFonts w:ascii="Arial" w:hAnsi="Arial"/>
          <w:b/>
          <w:color w:val="000000"/>
          <w:sz w:val="20"/>
        </w:rPr>
        <w:t>Item 6. [Reserved].</w:t>
      </w:r>
      <w:r>
        <w:rPr>
          <w:rFonts w:ascii="Times New Roman" w:hAnsi="Times New Roman"/>
          <w:color w:val="000000"/>
          <w:sz w:val="20"/>
        </w:rPr>
        <w:t xml:space="preserv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2" w:name="item7"/>
      <w:bookmarkEnd w:id="12"/>
      <w:r>
        <w:rPr>
          <w:rFonts w:ascii="Arial" w:hAnsi="Arial"/>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Arial" w:hAnsi="Arial"/>
          <w:i/>
          <w:color w:val="000000"/>
          <w:sz w:val="20"/>
        </w:rPr>
      </w:pPr>
      <w:r>
        <w:rPr>
          <w:rFonts w:ascii="Arial" w:hAnsi="Arial"/>
          <w:i/>
          <w:color w:val="000000"/>
          <w:sz w:val="20"/>
        </w:rPr>
        <w:t>The following discussion and analysis of our financial condition as of December 31, 2025 and results of operations for the years ended December 31, 2025 and 2024 should be read in conjunction with our financial statements and related notes thereto included elsewhere in this Annual Report on Form 10-K (“Form 10-K”.) This section of this Form 10-K generally discusses 2025 and 2024 items and year-to-year comparisons between 2025 and 2024. Except as otherwise indicated herein or as the context otherwise requires, references in this Form 10-K to “AN2,” the “Company,” “we,” “us” and “our” refer to AN2 Therapeutics, Inc.</w:t>
      </w:r>
    </w:p>
    <w:p>
      <w:pPr>
        <w:pStyle w:val="TextBody"/>
        <w:bidi w:val="0"/>
        <w:spacing w:before="240" w:after="283"/>
        <w:jc w:val="left"/>
        <w:rPr>
          <w:rFonts w:ascii="Arial" w:hAnsi="Arial"/>
          <w:i/>
          <w:color w:val="000000"/>
          <w:sz w:val="20"/>
        </w:rPr>
      </w:pPr>
      <w:r>
        <w:rPr>
          <w:rFonts w:ascii="Arial" w:hAnsi="Arial"/>
          <w:i/>
          <w:color w:val="000000"/>
          <w:sz w:val="20"/>
        </w:rPr>
        <w:t>This discussion and analysis and other parts of this Form 10-K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 Item 1A of this Annual Report on Form 10-K. See also the section titled “Special Note Regarding Forward-Looking Statements.”</w:t>
      </w:r>
    </w:p>
    <w:p>
      <w:pPr>
        <w:pStyle w:val="TextBody"/>
        <w:bidi w:val="0"/>
        <w:spacing w:before="360" w:after="283"/>
        <w:jc w:val="left"/>
        <w:rPr>
          <w:rFonts w:ascii="Arial" w:hAnsi="Arial"/>
          <w:b/>
          <w:i/>
          <w:color w:val="000000"/>
          <w:sz w:val="20"/>
        </w:rPr>
      </w:pPr>
      <w:r>
        <w:rPr>
          <w:rFonts w:ascii="Arial" w:hAnsi="Arial"/>
          <w:b/>
          <w:i/>
          <w:color w:val="000000"/>
          <w:sz w:val="20"/>
        </w:rPr>
        <w:t>Overview</w:t>
      </w:r>
    </w:p>
    <w:p>
      <w:pPr>
        <w:pStyle w:val="TextBody"/>
        <w:bidi w:val="0"/>
        <w:spacing w:before="120" w:after="283"/>
        <w:jc w:val="left"/>
        <w:rPr>
          <w:rFonts w:ascii="Arial" w:hAnsi="Arial"/>
          <w:color w:val="000000"/>
          <w:sz w:val="20"/>
        </w:rPr>
      </w:pPr>
      <w:r>
        <w:rPr>
          <w:rFonts w:ascii="Arial" w:hAnsi="Arial"/>
          <w:color w:val="000000"/>
          <w:sz w:val="20"/>
        </w:rPr>
        <w:t>We are a clinical stage biopharmaceutical company focused on the discovery and development of novel small molecule therapeutics derived from our boron chemistry platform. Our development pipeline spans hematologic diseases, infectious diseases, and oncology with three Phase 2 studies expected to initiate in 2026 and two preclinical candidates, as well as advanced research programs focused on targets in oncology, bone disorders, and infectious diseases. We are committed to delivering high-impact drugs to patients that address critical medical needs and improve health outcomes.</w:t>
      </w:r>
    </w:p>
    <w:p>
      <w:pPr>
        <w:pStyle w:val="TextBody"/>
        <w:bidi w:val="0"/>
        <w:spacing w:before="360" w:after="283"/>
        <w:jc w:val="left"/>
        <w:rPr>
          <w:rFonts w:ascii="Arial" w:hAnsi="Arial"/>
          <w:b/>
          <w:i/>
          <w:color w:val="000000"/>
          <w:sz w:val="20"/>
        </w:rPr>
      </w:pPr>
      <w:r>
        <w:rPr>
          <w:rFonts w:ascii="Arial" w:hAnsi="Arial"/>
          <w:b/>
          <w:i/>
          <w:color w:val="000000"/>
          <w:sz w:val="20"/>
        </w:rPr>
        <w:t>Epetraborole - Polycythemia vera</w:t>
      </w:r>
    </w:p>
    <w:p>
      <w:pPr>
        <w:pStyle w:val="TextBody"/>
        <w:bidi w:val="0"/>
        <w:spacing w:before="120" w:after="283"/>
        <w:jc w:val="left"/>
        <w:rPr>
          <w:rFonts w:ascii="Arial" w:hAnsi="Arial"/>
          <w:color w:val="000000"/>
          <w:sz w:val="20"/>
        </w:rPr>
      </w:pPr>
      <w:r>
        <w:rPr>
          <w:rFonts w:ascii="Arial" w:hAnsi="Arial"/>
          <w:color w:val="000000"/>
          <w:sz w:val="20"/>
        </w:rPr>
        <w:t>In March 2026, we announced our plan to expand the development of oral epetraborole into a Phase 2 proof-of-concept clinical study in adults with phlebotomy-dependent polycythemia vera (PV). PV is a blood cancer characterized by overproduction of red blood cells in the bone marrow. This overproduction increases hematocrit, which can lead to serious medical complications including arterial and venous thromboembolic events. If untreated, PV can be life-threatening. Despite available therapies, many patients experience uncontrolled hematocrit levels and persistent symptom burden, requiring long-term management to maintain adequate disease control. PV is estimated to affect approximately 155,000 people in the U.S.</w:t>
      </w:r>
    </w:p>
    <w:p>
      <w:pPr>
        <w:pStyle w:val="TextBody"/>
        <w:bidi w:val="0"/>
        <w:spacing w:before="240" w:after="283"/>
        <w:jc w:val="left"/>
        <w:rPr>
          <w:rFonts w:ascii="Arial" w:hAnsi="Arial"/>
          <w:color w:val="000000"/>
          <w:sz w:val="20"/>
        </w:rPr>
      </w:pPr>
      <w:r>
        <w:rPr>
          <w:rFonts w:ascii="Arial" w:hAnsi="Arial"/>
          <w:color w:val="000000"/>
          <w:sz w:val="20"/>
        </w:rPr>
        <w:t>We are proceeding through the regulatory process and anticipate initiating a Phase 2 trial in India in the third quarter of 2026. We expect to provide periodic data readouts beginning as early as the fourth quarter of 2026 and throughout 2027, subject to regulatory clearance and enrollment progress.</w:t>
      </w:r>
    </w:p>
    <w:p>
      <w:pPr>
        <w:pStyle w:val="TextBody"/>
        <w:bidi w:val="0"/>
        <w:spacing w:before="360" w:after="283"/>
        <w:jc w:val="left"/>
        <w:rPr>
          <w:rFonts w:ascii="Arial" w:hAnsi="Arial"/>
          <w:b/>
          <w:i/>
          <w:color w:val="000000"/>
          <w:sz w:val="20"/>
        </w:rPr>
      </w:pPr>
      <w:r>
        <w:rPr>
          <w:rFonts w:ascii="Arial" w:hAnsi="Arial"/>
          <w:b/>
          <w:i/>
          <w:color w:val="000000"/>
          <w:sz w:val="20"/>
        </w:rPr>
        <w:t>Epetraborole – M. abscessus</w:t>
      </w:r>
    </w:p>
    <w:p>
      <w:pPr>
        <w:pStyle w:val="TextBody"/>
        <w:bidi w:val="0"/>
        <w:spacing w:before="120" w:after="283"/>
        <w:jc w:val="left"/>
        <w:rPr>
          <w:rFonts w:ascii="Times New Roman" w:hAnsi="Times New Roman"/>
          <w:sz w:val="20"/>
        </w:rPr>
      </w:pPr>
      <w:r>
        <w:rPr>
          <w:rFonts w:ascii="Arial" w:hAnsi="Arial"/>
          <w:color w:val="000000"/>
          <w:sz w:val="20"/>
        </w:rPr>
        <w:t xml:space="preserve">Building on the microbiological and safety data from our prior NTM study, we believe that epetraborole has the potential to address a critical unmet need in </w:t>
      </w:r>
      <w:r>
        <w:rPr>
          <w:rFonts w:ascii="Arial" w:hAnsi="Arial"/>
          <w:i/>
          <w:color w:val="000000"/>
          <w:sz w:val="20"/>
        </w:rPr>
        <w:t xml:space="preserve">M. abscessus </w:t>
      </w:r>
      <w:r>
        <w:rPr>
          <w:rFonts w:ascii="Arial" w:hAnsi="Arial"/>
          <w:color w:val="000000"/>
          <w:sz w:val="20"/>
        </w:rPr>
        <w:t xml:space="preserve">lung disease, one of the most difficult to treat NTM infections for which no FDA-approved therapies exist. The Company is supporting the design of an investigator-initiated trial (“IIT”) and anticipates that data from this potential study, if positive, could provide the clinical evidence of human proof-of-concept in </w:t>
      </w:r>
      <w:r>
        <w:rPr>
          <w:rFonts w:ascii="Arial" w:hAnsi="Arial"/>
          <w:i/>
          <w:color w:val="000000"/>
          <w:sz w:val="20"/>
        </w:rPr>
        <w:t xml:space="preserve">M. abscessus </w:t>
      </w:r>
      <w:r>
        <w:rPr>
          <w:rFonts w:ascii="Arial" w:hAnsi="Arial"/>
          <w:color w:val="000000"/>
          <w:sz w:val="20"/>
        </w:rPr>
        <w:t xml:space="preserve">and inform the design of a subsequent pivotal trial. NTM lung disease represents a growing global health concern. It is estimated that approximately 120,000–150,000 people in the U.S. are living with NTM lung disease, of which 10–15% are caused by </w:t>
      </w:r>
      <w:r>
        <w:rPr>
          <w:rFonts w:ascii="Arial" w:hAnsi="Arial"/>
          <w:i/>
          <w:color w:val="000000"/>
          <w:sz w:val="20"/>
        </w:rPr>
        <w:t>M. abscessus</w:t>
      </w:r>
      <w:r>
        <w:rPr>
          <w:rFonts w:ascii="Arial" w:hAnsi="Arial"/>
          <w:color w:val="000000"/>
          <w:sz w:val="20"/>
        </w:rPr>
        <w:t>.</w:t>
      </w:r>
    </w:p>
    <w:p>
      <w:pPr>
        <w:pStyle w:val="TextBody"/>
        <w:bidi w:val="0"/>
        <w:spacing w:before="240" w:after="283"/>
        <w:jc w:val="left"/>
        <w:rPr>
          <w:rFonts w:ascii="Times New Roman" w:hAnsi="Times New Roman"/>
          <w:sz w:val="20"/>
        </w:rPr>
      </w:pPr>
      <w:r>
        <w:rPr>
          <w:rFonts w:ascii="Arial" w:hAnsi="Arial"/>
          <w:color w:val="000000"/>
          <w:sz w:val="20"/>
        </w:rPr>
        <w:t xml:space="preserve">In December 2025, the U.S. Food and Drug Administration (“FDA”) cleared an Investigational New Drug Application (“IND”) to proceed with a Phase 2 investigator-initiated study (“IIT”) in collaboration with Oregon Health and Sciences University (“OHSU”) evaluating epetraborole for the treatment of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 xml:space="preserve">lung disease. This multicenter, randomized, double-blind, placebo-controlled, prospective clinical study will be led by Dr. Kevin Winthrop, Professor of Public Health and Infectious Diseases at OHSU, in conjunction with other investigators across an estimated 10-15 sites in the U.S. </w:t>
      </w:r>
      <w:r>
        <w:rPr>
          <w:rFonts w:ascii="Arial" w:hAnsi="Arial"/>
          <w:i/>
          <w:color w:val="000000"/>
          <w:sz w:val="20"/>
        </w:rPr>
        <w:t>M. abscessus</w:t>
      </w:r>
      <w:r>
        <w:rPr>
          <w:rFonts w:ascii="Times New Roman" w:hAnsi="Times New Roman"/>
          <w:color w:val="000000"/>
          <w:sz w:val="20"/>
        </w:rPr>
        <w:t xml:space="preserve"> </w:t>
      </w:r>
      <w:r>
        <w:rPr>
          <w:rFonts w:ascii="Arial" w:hAnsi="Arial"/>
          <w:color w:val="000000"/>
          <w:sz w:val="20"/>
        </w:rPr>
        <w:t>lung disease is a serious and difficult-to-treat non-tuberculous mycobacterial infection requiring prolonged therapy including with IV-only antibiotics, and characterized by limited treatment options and high rates of morbidity and 5-year mortality. No FDA-approved drugs currently exist for its treatment. We expect to initiate enrollment in the first quarter of 2026 and to report topline results in late 2027.</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AN2-502998 - Chagas disease</w:t>
      </w:r>
    </w:p>
    <w:p>
      <w:pPr>
        <w:pStyle w:val="TextBody"/>
        <w:bidi w:val="0"/>
        <w:spacing w:before="120" w:after="283"/>
        <w:jc w:val="left"/>
        <w:rPr>
          <w:rFonts w:ascii="Times New Roman" w:hAnsi="Times New Roman"/>
          <w:sz w:val="20"/>
        </w:rPr>
      </w:pPr>
      <w:r>
        <w:rPr>
          <w:rFonts w:ascii="Arial" w:hAnsi="Arial"/>
          <w:color w:val="000000"/>
          <w:sz w:val="20"/>
        </w:rPr>
        <w:t xml:space="preserve">In August 2025, as part of our Chagas disease clinical development program, we commenced our Phase 1 first-in-human trial of oral AN2-502998 (formerly known as AN15368), an investigational, boron-based small molecule in development for the treatment of chronic Chagas disease and we anticipate Phase 1 data in the first quarter of 2026 and initiation of a Phase 2 proof-of-concept study in patients with chronic Chagas disease in 2026, depending on the outcome and timing of completion of the Phase 1 study. The Phase 1 study is evaluating the safety, tolerability, and pharmacokinetics of oral AN2-502998 for chronic Chagas disease, in healthy volunteers. In October 2023, we announced an exclusive license agreement with the University of Georgia Research Foundation to advance the development of AN2-502998, originally discovered by researchers at Anacor, in close collaboration with the University of Georgia. AN2-502998 is the only compound of which we are aware to have demonstrated curative activity in preclinical studies across multiple species, including in non-human primates with long-term, naturally acquired chronic infections caused by diverse </w:t>
      </w:r>
      <w:r>
        <w:rPr>
          <w:rFonts w:ascii="Arial" w:hAnsi="Arial"/>
          <w:i/>
          <w:color w:val="000000"/>
          <w:sz w:val="20"/>
        </w:rPr>
        <w:t xml:space="preserve">T. cruzi </w:t>
      </w:r>
      <w:r>
        <w:rPr>
          <w:rFonts w:ascii="Arial" w:hAnsi="Arial"/>
          <w:color w:val="000000"/>
          <w:sz w:val="20"/>
        </w:rPr>
        <w:t>genetic types. Because NHP infections are naturally acquired in the environment, these efficacy data may be more predictive of efficacy in human clinical trials than other animal models. There are no FDA approved treatments for adults with chronic Chagas disease. In July 2025, we announced a collaboration with the non-profit medical research organization Drugs for Neglected Diseases initiative (“DNDi”) to advance clinical development of AN2-502998. Through the collaboration, AN2 will leverage DNDi's extensive clinical trial network and expertise in Chagas disease to rapidly advance the clinical development of AN2-502998.</w:t>
      </w:r>
    </w:p>
    <w:p>
      <w:pPr>
        <w:pStyle w:val="TextBody"/>
        <w:bidi w:val="0"/>
        <w:spacing w:before="360" w:after="283"/>
        <w:jc w:val="left"/>
        <w:rPr>
          <w:rFonts w:ascii="Arial" w:hAnsi="Arial"/>
          <w:b/>
          <w:i/>
          <w:color w:val="000000"/>
          <w:sz w:val="20"/>
        </w:rPr>
      </w:pPr>
      <w:r>
        <w:rPr>
          <w:rFonts w:ascii="Arial" w:hAnsi="Arial"/>
          <w:b/>
          <w:i/>
          <w:color w:val="000000"/>
          <w:sz w:val="20"/>
        </w:rPr>
        <w:t>Our research and development initiatives - Oncology</w:t>
      </w:r>
    </w:p>
    <w:p>
      <w:pPr>
        <w:pStyle w:val="TextBody"/>
        <w:bidi w:val="0"/>
        <w:spacing w:before="120" w:after="283"/>
        <w:jc w:val="left"/>
        <w:rPr>
          <w:rFonts w:ascii="Times New Roman" w:hAnsi="Times New Roman"/>
          <w:sz w:val="20"/>
        </w:rPr>
      </w:pPr>
      <w:r>
        <w:rPr>
          <w:rFonts w:ascii="Arial" w:hAnsi="Arial"/>
          <w:color w:val="000000"/>
          <w:sz w:val="20"/>
        </w:rPr>
        <w:t>We are pursuing a number of oncology targets where we believe boron chemistry offers a competitive advantage in terms of binding-site differentiation, pharmacodynamics, drug-like properties and IP, including initially ENPP1 and PI3K</w:t>
      </w:r>
      <w:r>
        <w:rPr>
          <w:rFonts w:ascii="Arial" w:hAnsi="Arial"/>
          <w:i/>
          <w:color w:val="000000"/>
          <w:sz w:val="20"/>
        </w:rPr>
        <w:t>α</w:t>
      </w:r>
      <w:r>
        <w:rPr>
          <w:rFonts w:ascii="Arial" w:hAnsi="Arial"/>
          <w:color w:val="000000"/>
          <w:sz w:val="20"/>
        </w:rPr>
        <w:t>. The unique binding modes of boron-containing compounds enable the discovery of inhibitors with high ligand efficiency against targets considered undruggable or difficult to access with traditional chemistry approaches. Boron chemistry has produced first-in-class molecules against a number of targets including CPSF3 (AN2-502998 and acoziborole) and LeuRS (epetraborole, ganfeborole and tavaborole). The Company has discovered preclinical compounds with profiles that are sub-nanomolar, highly selective and have excellent oral pharmacokinetics. We plan to advance two oncology candidates into development in 2026 targeting PI3Kα and ENPP1.</w:t>
      </w:r>
    </w:p>
    <w:p>
      <w:pPr>
        <w:pStyle w:val="TextBody"/>
        <w:bidi w:val="0"/>
        <w:spacing w:before="360" w:after="283"/>
        <w:jc w:val="left"/>
        <w:rPr>
          <w:rFonts w:ascii="Arial" w:hAnsi="Arial"/>
          <w:b/>
          <w:i/>
          <w:color w:val="000000"/>
          <w:sz w:val="20"/>
        </w:rPr>
      </w:pPr>
      <w:r>
        <w:rPr>
          <w:rFonts w:ascii="Arial" w:hAnsi="Arial"/>
          <w:b/>
          <w:i/>
          <w:color w:val="000000"/>
          <w:sz w:val="20"/>
        </w:rPr>
        <w:t>Melioidosis</w:t>
      </w:r>
    </w:p>
    <w:p>
      <w:pPr>
        <w:pStyle w:val="TextBody"/>
        <w:bidi w:val="0"/>
        <w:spacing w:before="120" w:after="283"/>
        <w:jc w:val="left"/>
        <w:rPr>
          <w:rFonts w:ascii="Arial" w:hAnsi="Arial"/>
          <w:color w:val="000000"/>
          <w:sz w:val="20"/>
        </w:rPr>
      </w:pPr>
      <w:r>
        <w:rPr>
          <w:rFonts w:ascii="Arial" w:hAnsi="Arial"/>
          <w:color w:val="000000"/>
          <w:sz w:val="20"/>
        </w:rPr>
        <w:t>We are also studying epetraborole for the treatment of acute melioidosis, a highly lethal bacterial infection and recognized biothreat. We completed enrollment in a 200-patient observational trial (non-epetraborole treatment) in October 2024 and in June 2025 announced key insights from the trial, which reinforce the high mortality of the disease, despite standard of care (SOC). This study provided critical data which will allow the Company to optimize the design of upcoming clinical studies. Discussions are underway with the U.S. government to fund Phase 2 development of epetraborole in acute melioidosis. Melioidosis has a 90-day mortality rate approaching 40%, despite SOC drugs, including ceftazidime or meropenem. The aim of the program is to meaningfully lower the expected mortality rate by dosing epetraborole on top of SOC. If approved for the treatment of melioidosis, we plan to seek a priority review voucher and could generate revenue from U.S. and other governmental stockpiling, as well as from the use of treatment in disease-endemic countries.</w:t>
      </w:r>
    </w:p>
    <w:p>
      <w:pPr>
        <w:pStyle w:val="TextBody"/>
        <w:bidi w:val="0"/>
        <w:spacing w:before="360" w:after="283"/>
        <w:jc w:val="left"/>
        <w:rPr>
          <w:rFonts w:ascii="Arial" w:hAnsi="Arial"/>
          <w:b/>
          <w:i/>
          <w:color w:val="000000"/>
          <w:sz w:val="20"/>
        </w:rPr>
      </w:pPr>
      <w:r>
        <w:rPr>
          <w:rFonts w:ascii="Arial" w:hAnsi="Arial"/>
          <w:b/>
          <w:i/>
          <w:color w:val="000000"/>
          <w:sz w:val="20"/>
        </w:rPr>
        <w:t>Recent developments</w:t>
      </w:r>
    </w:p>
    <w:p>
      <w:pPr>
        <w:pStyle w:val="TextBody"/>
        <w:bidi w:val="0"/>
        <w:spacing w:before="120" w:after="283"/>
        <w:jc w:val="left"/>
        <w:rPr>
          <w:rFonts w:ascii="Arial" w:hAnsi="Arial"/>
          <w:color w:val="000000"/>
          <w:sz w:val="20"/>
        </w:rPr>
      </w:pPr>
      <w:r>
        <w:rPr>
          <w:rFonts w:ascii="Arial" w:hAnsi="Arial"/>
          <w:color w:val="000000"/>
          <w:sz w:val="20"/>
        </w:rPr>
        <w:t>In August 2024, we announced a reduction of approximately 50% of our workforce, which was approved by the Board in connection with our restructuring following discontinuation of the EBO-301 Phase 2/3 study of epetraborole in treatment refractory MAC lung disease and to further extend our operating capital. In connection with the workforce reduction, we recognized severance and other charges of $2.2 million, primarily consisting of severance payments and other employee termination-related expenses.</w:t>
      </w:r>
    </w:p>
    <w:p>
      <w:pPr>
        <w:pStyle w:val="TextBody"/>
        <w:bidi w:val="0"/>
        <w:spacing w:before="360" w:after="283"/>
        <w:jc w:val="left"/>
        <w:rPr>
          <w:rFonts w:ascii="Arial" w:hAnsi="Arial"/>
          <w:b/>
          <w:i/>
          <w:color w:val="000000"/>
          <w:sz w:val="20"/>
        </w:rPr>
      </w:pPr>
      <w:r>
        <w:rPr>
          <w:rFonts w:ascii="Arial" w:hAnsi="Arial"/>
          <w:b/>
          <w:i/>
          <w:color w:val="000000"/>
          <w:sz w:val="20"/>
        </w:rPr>
        <w:t>Future funding requirements</w:t>
      </w:r>
    </w:p>
    <w:p>
      <w:pPr>
        <w:pStyle w:val="TextBody"/>
        <w:bidi w:val="0"/>
        <w:spacing w:before="120" w:after="283"/>
        <w:jc w:val="left"/>
        <w:rPr>
          <w:rFonts w:ascii="Times New Roman" w:hAnsi="Times New Roman"/>
          <w:sz w:val="20"/>
        </w:rPr>
      </w:pPr>
      <w:r>
        <w:rPr>
          <w:rFonts w:ascii="Arial" w:hAnsi="Arial"/>
          <w:color w:val="000000"/>
          <w:sz w:val="20"/>
        </w:rPr>
        <w:t>We have incurred significant operating losses to date. We expect that our operating expenses will increase significantly as we advance our current and future product candidates through preclinical, nonclinical, and clinical development, seek regulatory approval, and prepare for and, if approved, proceed to commercialization; acquire, discover, validate, and develop additional product candidates; obtain, maintain, protect and enforce our intellectual property portfolio; hire additional personnel; and incur costs associated with operating as a public company.</w:t>
      </w:r>
      <w:r>
        <w:rPr>
          <w:rFonts w:ascii="Times New Roman" w:hAnsi="Times New Roman"/>
          <w:color w:val="000000"/>
          <w:sz w:val="20"/>
        </w:rPr>
        <w:t xml:space="preserv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do not have any products approved for sale and have not generated any revenue since inception. Our net losses were $35.2 million and $51.3 million for the years ended December 31, 2025 and 2024, respectively. As of December 31, 2025, we had an accumulated deficit of $241.0 million. We have funded our operations from the sale and issuance of redeemable convertible preferred stock and proceeds from our initial public offering (“IPO”), “at-the-market” equity offering program (“ATM Offering”) and an underwritten offering (the “Underwritten Offering”). From November 2019 through October 2020, we raised an aggregate of $12.0 million from the sale of Series A redeemable convertible preferred stock. In March 2021, we raised an aggregate of $80.0 million from the sale of Series B redeemable convertible preferred stock. In March and April 2022, we completed our IPO, with gross proceeds of $79.4 million and net proceeds of $70.4 million, net of underwriting discounts, commissions and offering expenses. In June 2023, we raised gross proceeds of $20.0 million from the ATM Offering and net proceeds of $19.1 million, after deducting commissions and offering expenses. In August 2023, we raised gross proceeds of $70.0 million from the Underwritten Offering and net proceeds of $65.5 million, after deducting commissions and offering expenses. In March 2026, we entered into a Securities Purchase Agreement with certain investors to sell through a private placement 8,245,611 shares of common stock at a price of $2.85 per share and pre-funded warrants to purchase up to 5,789,473 shares of common stock at a purchase price of $2.84999 per pre-funded warrant, resulting in aggregate gross proceeds of $40.0 million before deducting the placement agent’s fees and other offering expenses and excluding any proceeds we may receive upon exercise of the pre-funded warrants (the “Private Placement”).</w:t>
      </w:r>
    </w:p>
    <w:p>
      <w:pPr>
        <w:pStyle w:val="TextBody"/>
        <w:bidi w:val="0"/>
        <w:spacing w:before="360" w:after="283"/>
        <w:jc w:val="left"/>
        <w:rPr>
          <w:rFonts w:ascii="Arial" w:hAnsi="Arial"/>
          <w:b/>
          <w:color w:val="000000"/>
          <w:sz w:val="20"/>
        </w:rPr>
      </w:pPr>
      <w:r>
        <w:rPr>
          <w:rFonts w:ascii="Arial" w:hAnsi="Arial"/>
          <w:b/>
          <w:color w:val="000000"/>
          <w:sz w:val="20"/>
        </w:rPr>
        <w:t>Financial Operations Overview</w:t>
      </w:r>
    </w:p>
    <w:p>
      <w:pPr>
        <w:pStyle w:val="TextBody"/>
        <w:bidi w:val="0"/>
        <w:spacing w:before="120" w:after="283"/>
        <w:jc w:val="left"/>
        <w:rPr>
          <w:rFonts w:ascii="Arial" w:hAnsi="Arial"/>
          <w:color w:val="000000"/>
          <w:sz w:val="20"/>
        </w:rPr>
      </w:pPr>
      <w:r>
        <w:rPr>
          <w:rFonts w:ascii="Arial" w:hAnsi="Arial"/>
          <w:color w:val="000000"/>
          <w:sz w:val="20"/>
        </w:rPr>
        <w:t>As of December 31, 2025, we had cash, cash equivalents and investments of $60.0 million. We believe that our available cash will be sufficient to fund our planned operations through at least twelve months following the date of this Form 10</w:t>
        <w:noBreakHyphen/>
        <w:t>K.</w:t>
      </w:r>
    </w:p>
    <w:p>
      <w:pPr>
        <w:pStyle w:val="TextBody"/>
        <w:bidi w:val="0"/>
        <w:spacing w:before="240" w:after="283"/>
        <w:jc w:val="left"/>
        <w:rPr>
          <w:rFonts w:ascii="Arial" w:hAnsi="Arial"/>
          <w:color w:val="000000"/>
          <w:sz w:val="20"/>
        </w:rPr>
      </w:pPr>
      <w:r>
        <w:rPr>
          <w:rFonts w:ascii="Arial" w:hAnsi="Arial"/>
          <w:color w:val="000000"/>
          <w:sz w:val="20"/>
        </w:rPr>
        <w:t>Our ability to generate product revenue will depend on the successful development, regulatory approval and eventual commercialization of one or more of our product candidates. Until such time as we can generate revenue from our product sales, if ever, we expect to finance our operations through private or public equity or debt financings, collaborative or other arrangements with corporate sources, non-dilutive financing,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240" w:after="283"/>
        <w:jc w:val="left"/>
        <w:rPr>
          <w:rFonts w:ascii="Arial" w:hAnsi="Arial"/>
          <w:color w:val="000000"/>
          <w:sz w:val="20"/>
        </w:rPr>
      </w:pPr>
      <w:r>
        <w:rPr>
          <w:rFonts w:ascii="Arial" w:hAnsi="Arial"/>
          <w:color w:val="000000"/>
          <w:sz w:val="20"/>
        </w:rPr>
        <w:t>We plan to continue to use third-party service providers, including outside research laboratories, clinical research organizations (“CROs”), and contract manufacturing organizations (“CMOs”), to carry out our preclinical, nonclinical and clinical development, and to manufacture and supply the materials to be used during the development and commercialization of our product candidates. We do not currently have a sales force. If we obtain regulatory approval for any of our product candidates, we intend to hire and deploy a specialty sales force, which will increase our operating costs.</w:t>
      </w:r>
    </w:p>
    <w:p>
      <w:pPr>
        <w:pStyle w:val="TextBody"/>
        <w:bidi w:val="0"/>
        <w:spacing w:before="240" w:after="283"/>
        <w:jc w:val="left"/>
        <w:rPr>
          <w:rFonts w:ascii="Arial" w:hAnsi="Arial"/>
          <w:color w:val="000000"/>
          <w:sz w:val="20"/>
        </w:rPr>
      </w:pPr>
      <w:r>
        <w:rPr>
          <w:rFonts w:ascii="Arial" w:hAnsi="Arial"/>
          <w:color w:val="000000"/>
          <w:sz w:val="20"/>
        </w:rPr>
        <w:t>Due to ongoing developments in our business and clinical development and regulatory efforts, among other factors, our results of operations may vary substantially from year to year and from quarter to quarter and, as a result, we believe that period to period comparisons of our operating results may not be meaningful and should not be relied upon as being indicative of our future performance. For more information on the risks and uncertainties associated with our business and our clinical development and regulatory efforts, among other factors, see “Part I Item 1A—Risk Factors.”</w:t>
      </w:r>
    </w:p>
    <w:p>
      <w:pPr>
        <w:pStyle w:val="TextBody"/>
        <w:bidi w:val="0"/>
        <w:spacing w:before="360" w:after="283"/>
        <w:jc w:val="left"/>
        <w:rPr>
          <w:rFonts w:ascii="Arial" w:hAnsi="Arial"/>
          <w:b/>
          <w:color w:val="000000"/>
          <w:sz w:val="20"/>
        </w:rPr>
      </w:pPr>
      <w:r>
        <w:rPr>
          <w:rFonts w:ascii="Arial" w:hAnsi="Arial"/>
          <w:b/>
          <w:color w:val="000000"/>
          <w:sz w:val="20"/>
        </w:rPr>
        <w:t>Components of Our Operating Results</w:t>
      </w:r>
    </w:p>
    <w:p>
      <w:pPr>
        <w:pStyle w:val="TextBody"/>
        <w:bidi w:val="0"/>
        <w:spacing w:before="120" w:after="283"/>
        <w:jc w:val="left"/>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Substantially all of our research and development expenses consist of expenses incurred in connection with the development of our product candidates. These expenses include fees incurred under arrangements with third parties, including CROs, CMOs, preclinical and nonclinical testing organizations, and academic and non-profit institutions. Research and development expenses also include consulting fees, license fees, payroll and personnel-related expenses, including salaries and bonuses, payroll taxes, employee benefit costs and non-cash stock-based compensation for our research and development employees. We expense both internal and external research and development expenses as they are incurred.</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We expect our research and development expenses to increase substantially in the future, as we advance our product candidates into and through clinical trials and pursue regulatory approval. The process of conducting the necessary clinical studies to obtain regulatory approval is costly and time-consuming. Clinical studies generally become larger and more costly to conduct as they advance into later stages and we are required to make estimates for expense accruals related to clinical study expenses, which involve a degree of estimation. The successful development of our product candidates is highly uncertain. The actual probability of success for our product candidates may be affected by a variety of risks and uncertainties associated with drug development, including those set forth in the section of this Form 10-K titled “Risk Factors.” At this time, we cannot reasonably estimate the nature, timing or costs required to complete the remaining development of our current or any future product candidates. As a result of these uncertainties, we are unable to determine the duration and completion costs of our research and development projects or when and to what extent we will generate revenue from the commercialization and sale of our product candidates.</w:t>
      </w:r>
    </w:p>
    <w:p>
      <w:pPr>
        <w:pStyle w:val="TextBody"/>
        <w:bidi w:val="0"/>
        <w:spacing w:before="360" w:after="283"/>
        <w:jc w:val="left"/>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left"/>
        <w:rPr>
          <w:rFonts w:ascii="Times New Roman" w:hAnsi="Times New Roman"/>
          <w:sz w:val="20"/>
        </w:rPr>
      </w:pPr>
      <w:r>
        <w:rPr>
          <w:rFonts w:ascii="Arial" w:hAnsi="Arial"/>
          <w:color w:val="000000"/>
          <w:sz w:val="20"/>
        </w:rPr>
        <w:t xml:space="preserve">Our general and administrative expenses consist primarily of payroll and personnel-related expenses, including salaries and bonuses, payroll taxes, employee benefit costs, and non-cash stock-based compensation. Other general and administrative expenses include legal costs of pursuing patent protection of our intellectual property, and professional service fees for auditing, tax, general legal services, and other external consulting and vendor services. We expect our general and administrative expenses to continue to increase in the future, including expenses related to legal, accounting, regulatory, and tax-related services associated with maintaining compliance with requirements of the </w:t>
      </w:r>
      <w:r>
        <w:rPr>
          <w:rFonts w:ascii="Arial" w:hAnsi="Arial"/>
          <w:color w:val="333333"/>
          <w:sz w:val="20"/>
        </w:rPr>
        <w:t>Nasdaq Global Select Market</w:t>
      </w:r>
      <w:r>
        <w:rPr>
          <w:rFonts w:ascii="Times New Roman" w:hAnsi="Times New Roman"/>
          <w:color w:val="000000"/>
          <w:sz w:val="20"/>
        </w:rPr>
        <w:t xml:space="preserve"> </w:t>
      </w:r>
      <w:r>
        <w:rPr>
          <w:rFonts w:ascii="Arial" w:hAnsi="Arial"/>
          <w:color w:val="000000"/>
          <w:sz w:val="20"/>
        </w:rPr>
        <w:t>and the Securities and Exchange Commission (“SEC”), directors and officers liability insurance premiums, and investor relations activities.</w:t>
      </w:r>
    </w:p>
    <w:p>
      <w:pPr>
        <w:pStyle w:val="TextBody"/>
        <w:bidi w:val="0"/>
        <w:spacing w:before="360" w:after="283"/>
        <w:jc w:val="left"/>
        <w:rPr>
          <w:rFonts w:ascii="Arial" w:hAnsi="Arial"/>
          <w:i/>
          <w:color w:val="000000"/>
          <w:sz w:val="20"/>
        </w:rPr>
      </w:pPr>
      <w:r>
        <w:rPr>
          <w:rFonts w:ascii="Arial" w:hAnsi="Arial"/>
          <w:i/>
          <w:color w:val="000000"/>
          <w:sz w:val="20"/>
        </w:rPr>
        <w:t>Restructuring Charges</w:t>
      </w:r>
    </w:p>
    <w:p>
      <w:pPr>
        <w:pStyle w:val="TextBody"/>
        <w:bidi w:val="0"/>
        <w:spacing w:before="120" w:after="283"/>
        <w:jc w:val="left"/>
        <w:rPr>
          <w:rFonts w:ascii="Arial" w:hAnsi="Arial"/>
          <w:color w:val="000000"/>
          <w:sz w:val="20"/>
        </w:rPr>
      </w:pPr>
      <w:r>
        <w:rPr>
          <w:rFonts w:ascii="Arial" w:hAnsi="Arial"/>
          <w:color w:val="000000"/>
          <w:sz w:val="20"/>
        </w:rPr>
        <w:t>Our restructuring charges consist primarily of employee severance payments and other employee termination-related expenses.</w:t>
      </w:r>
    </w:p>
    <w:p>
      <w:pPr>
        <w:pStyle w:val="TextBody"/>
        <w:bidi w:val="0"/>
        <w:spacing w:before="360" w:after="283"/>
        <w:jc w:val="left"/>
        <w:rPr>
          <w:rFonts w:ascii="Arial" w:hAnsi="Arial"/>
          <w:i/>
          <w:color w:val="000000"/>
          <w:sz w:val="20"/>
        </w:rPr>
      </w:pPr>
      <w:r>
        <w:rPr>
          <w:rFonts w:ascii="Arial" w:hAnsi="Arial"/>
          <w:i/>
          <w:color w:val="000000"/>
          <w:sz w:val="20"/>
        </w:rPr>
        <w:t>Interest Income</w:t>
      </w:r>
    </w:p>
    <w:p>
      <w:pPr>
        <w:pStyle w:val="TextBody"/>
        <w:bidi w:val="0"/>
        <w:spacing w:before="120" w:after="283"/>
        <w:jc w:val="left"/>
        <w:rPr>
          <w:rFonts w:ascii="Arial" w:hAnsi="Arial"/>
          <w:color w:val="000000"/>
          <w:sz w:val="20"/>
        </w:rPr>
      </w:pPr>
      <w:r>
        <w:rPr>
          <w:rFonts w:ascii="Arial" w:hAnsi="Arial"/>
          <w:color w:val="000000"/>
          <w:sz w:val="20"/>
        </w:rPr>
        <w:t>Interest income consists of interest income and investment income earned on our cash, cash equivalents, and investments.</w:t>
      </w:r>
    </w:p>
    <w:p>
      <w:pPr>
        <w:pStyle w:val="TextBody"/>
        <w:bidi w:val="0"/>
        <w:spacing w:before="360" w:after="283"/>
        <w:jc w:val="left"/>
        <w:rPr>
          <w:rFonts w:ascii="Arial" w:hAnsi="Arial"/>
          <w:i/>
          <w:color w:val="000000"/>
          <w:sz w:val="20"/>
        </w:rPr>
      </w:pPr>
      <w:r>
        <w:rPr>
          <w:rFonts w:ascii="Arial" w:hAnsi="Arial"/>
          <w:i/>
          <w:color w:val="000000"/>
          <w:sz w:val="20"/>
        </w:rPr>
        <w:t>Other Income</w:t>
      </w:r>
    </w:p>
    <w:p>
      <w:pPr>
        <w:pStyle w:val="TextBody"/>
        <w:bidi w:val="0"/>
        <w:spacing w:before="120" w:after="283"/>
        <w:jc w:val="left"/>
        <w:rPr>
          <w:rFonts w:ascii="Arial" w:hAnsi="Arial"/>
          <w:color w:val="000000"/>
          <w:sz w:val="20"/>
        </w:rPr>
      </w:pPr>
      <w:r>
        <w:rPr>
          <w:rFonts w:ascii="Arial" w:hAnsi="Arial"/>
          <w:color w:val="000000"/>
          <w:sz w:val="20"/>
        </w:rPr>
        <w:t>Other income consists of income associated with foreign currency fluctuations.</w:t>
      </w:r>
    </w:p>
    <w:p>
      <w:pPr>
        <w:pStyle w:val="TextBody"/>
        <w:bidi w:val="0"/>
        <w:spacing w:before="360" w:after="283"/>
        <w:jc w:val="left"/>
        <w:rPr>
          <w:rFonts w:ascii="Arial" w:hAnsi="Arial"/>
          <w:b/>
          <w:color w:val="000000"/>
          <w:sz w:val="20"/>
        </w:rPr>
      </w:pPr>
      <w:r>
        <w:rPr>
          <w:rFonts w:ascii="Arial" w:hAnsi="Arial"/>
          <w:b/>
          <w:color w:val="000000"/>
          <w:sz w:val="20"/>
        </w:rPr>
        <w:t>Results of Operations</w:t>
      </w:r>
    </w:p>
    <w:p>
      <w:pPr>
        <w:pStyle w:val="TextBody"/>
        <w:bidi w:val="0"/>
        <w:spacing w:before="120" w:after="283"/>
        <w:jc w:val="left"/>
        <w:rPr>
          <w:rFonts w:ascii="Arial" w:hAnsi="Arial"/>
          <w:b/>
          <w:i/>
          <w:color w:val="000000"/>
          <w:sz w:val="20"/>
        </w:rPr>
      </w:pPr>
      <w:r>
        <w:rPr>
          <w:rFonts w:ascii="Arial" w:hAnsi="Arial"/>
          <w:b/>
          <w:i/>
          <w:color w:val="000000"/>
          <w:sz w:val="20"/>
        </w:rPr>
        <w:t>Comparison of the Years Ended December 31, 2025 and 2024</w:t>
      </w:r>
    </w:p>
    <w:p>
      <w:pPr>
        <w:pStyle w:val="TextBody"/>
        <w:bidi w:val="0"/>
        <w:spacing w:before="120" w:after="240"/>
        <w:jc w:val="left"/>
        <w:rPr>
          <w:rFonts w:ascii="Arial" w:hAnsi="Arial"/>
          <w:color w:val="000000"/>
          <w:sz w:val="20"/>
        </w:rPr>
      </w:pPr>
      <w:r>
        <w:rPr>
          <w:rFonts w:ascii="Arial" w:hAnsi="Arial"/>
          <w:color w:val="000000"/>
          <w:sz w:val="20"/>
        </w:rPr>
        <w:t>The following table sets forth the significant components of our results of operations:</w:t>
      </w:r>
    </w:p>
    <w:p>
      <w:pPr>
        <w:pStyle w:val="TextBody"/>
        <w:bidi w:val="0"/>
        <w:spacing w:before="0" w:after="240"/>
        <w:jc w:val="left"/>
        <w:rPr/>
      </w:pPr>
      <w:r>
        <w:rPr/>
        <w:t> </w:t>
      </w:r>
    </w:p>
    <w:tbl>
      <w:tblPr>
        <w:tblW w:w="8706"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751"/>
        <w:gridCol w:w="166"/>
        <w:gridCol w:w="146"/>
        <w:gridCol w:w="213"/>
        <w:gridCol w:w="703"/>
        <w:gridCol w:w="9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9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755"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*Change not meaningful</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Research and development expenses were $24.8 million for the year ended December 31, 2025 compared to $40.5 million for the year ended December 31, 2024. The decrease of $15.7 million was primarily due to decreases in clinical trial expenses, personnel-related expenses, consulting and outside services expenses, chemistry manufacturing and controls (“CMC”) expenses, and facilities and miscellaneous expenses, partially offset by increased preclinical and research study expenses and other expenses. Clinical trial expenses decreased by $12.8 million primarily due to the termination of the EBO-301 trial in August 2024, partially offset by the initiation of the Phase 1 trial in Chagas disease. Personnel-related expenses decreased by $4.3 million primarily due to our restructuring activities in 2024. Consulting and outside services expenses decreased by $2.3 million primarily due to reduced activities related to the clinical development of epetraborole in treatment-refractory NTM, completion of the melioidosis observational study, and the timing of non-dilutive contract offsets. CMC expenses decreased by $1.3 million due to decreases in expenses related to epetraborole development in treatment-refractory NTM and the timing of when receipt of research contract offsets became reasonably assured, partially offset by increased CMC activities for our Chagas program. Allocated facilities and miscellaneous expenses decreased by $0.1 million. These decreases were partially offset by increased preclinical and research study expenses of $5.0 million resulting from the prioritization and increased activities of certain research programs and increased other expenses of $0.1 million. During the years ended December 31, 2025 and 2024, reimbursement of $5.2 million and $3.7 million, respectively, of operating expenses was recognized related to our funding arrangements.</w:t>
      </w:r>
    </w:p>
    <w:p>
      <w:pPr>
        <w:pStyle w:val="TextBody"/>
        <w:bidi w:val="0"/>
        <w:spacing w:before="240" w:after="240"/>
        <w:jc w:val="left"/>
        <w:rPr>
          <w:rFonts w:ascii="Arial" w:hAnsi="Arial"/>
          <w:color w:val="000000"/>
          <w:sz w:val="20"/>
        </w:rPr>
      </w:pPr>
      <w:r>
        <w:rPr>
          <w:rFonts w:ascii="Arial" w:hAnsi="Arial"/>
          <w:color w:val="000000"/>
          <w:sz w:val="20"/>
        </w:rPr>
        <w:t>The following table shows our research and development expenses by type of activity:</w:t>
      </w:r>
    </w:p>
    <w:tbl>
      <w:tblPr>
        <w:tblW w:w="8926" w:type="dxa"/>
        <w:jc w:val="left"/>
        <w:tblInd w:w="0" w:type="dxa"/>
        <w:tblLayout w:type="fixed"/>
        <w:tblCellMar>
          <w:top w:w="28" w:type="dxa"/>
          <w:left w:w="28" w:type="dxa"/>
          <w:bottom w:w="28" w:type="dxa"/>
          <w:right w:w="28" w:type="dxa"/>
        </w:tblCellMar>
      </w:tblPr>
      <w:tblGrid>
        <w:gridCol w:w="3811"/>
        <w:gridCol w:w="146"/>
        <w:gridCol w:w="211"/>
        <w:gridCol w:w="691"/>
        <w:gridCol w:w="146"/>
        <w:gridCol w:w="146"/>
        <w:gridCol w:w="211"/>
        <w:gridCol w:w="691"/>
        <w:gridCol w:w="146"/>
        <w:gridCol w:w="146"/>
        <w:gridCol w:w="211"/>
        <w:gridCol w:w="751"/>
        <w:gridCol w:w="166"/>
        <w:gridCol w:w="146"/>
        <w:gridCol w:w="235"/>
        <w:gridCol w:w="681"/>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7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Preclinical and research study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trials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Consulting and 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Chemistry manufacturing and controls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were $13.3 million for the year ended December 31, 2025 compared to $14.1 million for the year ended December 31, 2024. The decrease of $0.8 million was primarily attributable to $0.6 million decrease in personnel-related expenses, primarily related to stock-based compensation expense, and a $0.3 million decrease in professional services expenses. These decreases were partially offset by a $0.1 million increase in facilities and miscellaneous expenses.</w:t>
      </w:r>
    </w:p>
    <w:p>
      <w:pPr>
        <w:pStyle w:val="TextBody"/>
        <w:bidi w:val="0"/>
        <w:spacing w:before="360" w:after="283"/>
        <w:jc w:val="left"/>
        <w:rPr>
          <w:rFonts w:ascii="Arial" w:hAnsi="Arial"/>
          <w:b/>
          <w:i/>
          <w:color w:val="000000"/>
          <w:sz w:val="20"/>
        </w:rPr>
      </w:pPr>
      <w:r>
        <w:rPr>
          <w:rFonts w:ascii="Arial" w:hAnsi="Arial"/>
          <w:b/>
          <w:i/>
          <w:color w:val="000000"/>
          <w:sz w:val="20"/>
        </w:rPr>
        <w:t>Restructuring Charges</w:t>
      </w:r>
    </w:p>
    <w:p>
      <w:pPr>
        <w:pStyle w:val="TextBody"/>
        <w:bidi w:val="0"/>
        <w:spacing w:before="120" w:after="283"/>
        <w:jc w:val="left"/>
        <w:rPr>
          <w:rFonts w:ascii="Arial" w:hAnsi="Arial"/>
          <w:color w:val="000000"/>
          <w:sz w:val="20"/>
        </w:rPr>
      </w:pPr>
      <w:r>
        <w:rPr>
          <w:rFonts w:ascii="Arial" w:hAnsi="Arial"/>
          <w:color w:val="000000"/>
          <w:sz w:val="20"/>
        </w:rPr>
        <w:t>There were no restructuring charges for the year ended December 31, 2025. Restructuring charges were $2.2 million for the year ended December 31, 2024, consisting of severance payments and other employee termination-related expenses.</w:t>
      </w:r>
    </w:p>
    <w:p>
      <w:pPr>
        <w:pStyle w:val="TextBody"/>
        <w:bidi w:val="0"/>
        <w:spacing w:before="360" w:after="283"/>
        <w:jc w:val="left"/>
        <w:rPr>
          <w:rFonts w:ascii="Arial" w:hAnsi="Arial"/>
          <w:b/>
          <w:i/>
          <w:color w:val="000000"/>
          <w:sz w:val="20"/>
        </w:rPr>
      </w:pPr>
      <w:r>
        <w:rPr>
          <w:rFonts w:ascii="Arial" w:hAnsi="Arial"/>
          <w:b/>
          <w:i/>
          <w:color w:val="000000"/>
          <w:sz w:val="20"/>
        </w:rPr>
        <w:t>Interest Income</w:t>
      </w:r>
    </w:p>
    <w:p>
      <w:pPr>
        <w:pStyle w:val="TextBody"/>
        <w:bidi w:val="0"/>
        <w:spacing w:before="120" w:after="283"/>
        <w:jc w:val="left"/>
        <w:rPr>
          <w:rFonts w:ascii="Arial" w:hAnsi="Arial"/>
          <w:color w:val="000000"/>
          <w:sz w:val="20"/>
        </w:rPr>
      </w:pPr>
      <w:r>
        <w:rPr>
          <w:rFonts w:ascii="Arial" w:hAnsi="Arial"/>
          <w:color w:val="000000"/>
          <w:sz w:val="20"/>
        </w:rPr>
        <w:t>Interest Income was $2.9 million for the year ended December 31, 2025 compared to $5.5 million for the year ended December 31, 2024. The decrease of $2.6 million was due to lower cash, cash equivalents and short and long-term investment balances and lower interest rates in 2025 as compared to 2024.</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120" w:after="283"/>
        <w:jc w:val="left"/>
        <w:rPr>
          <w:rFonts w:ascii="Arial" w:hAnsi="Arial"/>
          <w:b/>
          <w:i/>
          <w:color w:val="000000"/>
          <w:sz w:val="20"/>
        </w:rPr>
      </w:pPr>
      <w:r>
        <w:rPr>
          <w:rFonts w:ascii="Arial" w:hAnsi="Arial"/>
          <w:b/>
          <w:i/>
          <w:color w:val="000000"/>
          <w:sz w:val="20"/>
        </w:rPr>
        <w:t>Sources of Liquidity</w:t>
      </w:r>
    </w:p>
    <w:p>
      <w:pPr>
        <w:pStyle w:val="TextBody"/>
        <w:bidi w:val="0"/>
        <w:spacing w:before="120" w:after="283"/>
        <w:jc w:val="left"/>
        <w:rPr>
          <w:rFonts w:ascii="Arial" w:hAnsi="Arial"/>
          <w:color w:val="000000"/>
          <w:sz w:val="20"/>
        </w:rPr>
      </w:pPr>
      <w:r>
        <w:rPr>
          <w:rFonts w:ascii="Arial" w:hAnsi="Arial"/>
          <w:color w:val="000000"/>
          <w:sz w:val="20"/>
        </w:rPr>
        <w:t>We have incurred net losses since our inception. For the years ended December 31, 2025 and 2024, we had net losses of $35.2 million and $51.3 million, respectively, and we expect to incur substantial additional losses in future periods. As of December 31, 2025, we had an accumulated deficit of $241.0 million. As of December 31, 2025, we had cash, cash equivalents, short-term investments and long-term investments of $60.0 million. Based on our current business plan, we believe that our available cash will be sufficient to fund our planned operations for at least 12 months following the date of this Form 10-K.</w:t>
      </w:r>
    </w:p>
    <w:p>
      <w:pPr>
        <w:pStyle w:val="TextBody"/>
        <w:bidi w:val="0"/>
        <w:spacing w:before="240" w:after="283"/>
        <w:jc w:val="left"/>
        <w:rPr>
          <w:rFonts w:ascii="Times New Roman" w:hAnsi="Times New Roman"/>
          <w:sz w:val="20"/>
        </w:rPr>
      </w:pPr>
      <w:r>
        <w:rPr>
          <w:rFonts w:ascii="Arial" w:hAnsi="Arial"/>
          <w:color w:val="000000"/>
          <w:sz w:val="20"/>
        </w:rPr>
        <w:t>To date, we have funded our operations primarily through our Underwritten Offering, ATM Offering, IPO and private placements of our then existing redeemable convertible preferred stock. In March 2026, we generated aggregate gross proceeds from the Private Placement of $40.0 million before deducting the placement agent’s fees and other offering expenses. In August 2023, we generated approximately $65.5 million from the Underwritten Offering, after deducting commissions and offering expenses. In June 2023, we generated approximately $19.1 million in net proceeds from the ATM Offering, after deducting commissions and offering expenses. In March and April 2022, we generated aggregate net proceeds of approximately $70.4 million from our IPO, after deducting underwriting discounts and commissions and offering expenses. Prior to our IPO, we raised $91.6 million from the issuance of our redeemable convertible preferred stock. Upon the closing of our IPO, all outstanding shares of our then existing redeemable convertible preferred stock were converted into shares of our common stock.</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Future Funding Requirements</w:t>
      </w:r>
    </w:p>
    <w:p>
      <w:pPr>
        <w:pStyle w:val="TextBody"/>
        <w:bidi w:val="0"/>
        <w:spacing w:before="120" w:after="283"/>
        <w:jc w:val="left"/>
        <w:rPr>
          <w:rFonts w:ascii="Arial" w:hAnsi="Arial"/>
          <w:color w:val="000000"/>
          <w:sz w:val="20"/>
        </w:rPr>
      </w:pPr>
      <w:r>
        <w:rPr>
          <w:rFonts w:ascii="Arial" w:hAnsi="Arial"/>
          <w:color w:val="000000"/>
          <w:sz w:val="20"/>
        </w:rPr>
        <w:t>We do not have any products approved for sale, and we have never generated any revenue from contracts with customers. We do not expect to generate any meaningful revenue unless and until we obtain regulatory approval for and commercialize any of our current and future product candidates and we do not know when, or if, those events will occur. Historically, we have incurred operating losses and negative cash flows as a result of ongoing efforts to develop our initial drug product candidate, epetraborole, including conducting ongoing preclinical and nonclinical studies, clinical trials, registration API and drug product materials manufacturing, and providing general and administrative support for these operations. We expect our negative cash flows to increase significantly over the next several years as we advance our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Moreover, we expect to continue to incur costs associated with operating as a public company. We anticipate that we will need substantial additional funding in connection with our continuing operations, as we do not expect positive cash flows from operations in the foreseeable future.</w:t>
      </w:r>
    </w:p>
    <w:p>
      <w:pPr>
        <w:pStyle w:val="TextBody"/>
        <w:bidi w:val="0"/>
        <w:spacing w:before="240" w:after="283"/>
        <w:jc w:val="left"/>
        <w:rPr>
          <w:rFonts w:ascii="Arial" w:hAnsi="Arial"/>
          <w:color w:val="000000"/>
          <w:sz w:val="20"/>
        </w:rPr>
      </w:pPr>
      <w:r>
        <w:rPr>
          <w:rFonts w:ascii="Arial" w:hAnsi="Arial"/>
          <w:color w:val="000000"/>
          <w:sz w:val="20"/>
        </w:rPr>
        <w:t>Until we can generate a sufficient amount of revenue from the commercialization of our product candidates, if ever, we expect to finance our future cash needs through public or private equity offerings or debt financings.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results of operations, and prospects.</w:t>
      </w:r>
    </w:p>
    <w:p>
      <w:pPr>
        <w:pStyle w:val="TextBody"/>
        <w:bidi w:val="0"/>
        <w:spacing w:before="240" w:after="283"/>
        <w:jc w:val="left"/>
        <w:rPr>
          <w:rFonts w:ascii="Times New Roman" w:hAnsi="Times New Roman"/>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estimate the exact amount of our operating capital requirements. Our future capital requirements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timing, rate of progress, results and costs of our preclinical and nonclinical development activities and clinical trials for our current and future product candidates;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and the costs involved in, obtaining regulatory approvals for our drug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enrollment of any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and costs of development and commercial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and characteristics of any additional product candidates we develop or acquire;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manufacturing our product candidates that we successfully commercialize;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building a specialty sales force in anticipation of product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of commercialization activities, including building a commercial infrastructure, marketing, sales, and distribution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securities class action, product liability or other lawsuits related to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expenses needed to attract, hire,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implementation of operational, financial, and management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ongoing costs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involved in preparing, filing, prosecuting, maintaining, defending, and enforcing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receipt, and amount of sales of any future approved products, if any.</w:t>
      </w:r>
    </w:p>
    <w:p>
      <w:pPr>
        <w:pStyle w:val="TextBody"/>
        <w:bidi w:val="0"/>
        <w:spacing w:before="240" w:after="283"/>
        <w:jc w:val="left"/>
        <w:rPr>
          <w:rFonts w:ascii="Arial" w:hAnsi="Arial"/>
          <w:color w:val="000000"/>
          <w:sz w:val="20"/>
        </w:rPr>
      </w:pPr>
      <w:r>
        <w:rPr>
          <w:rFonts w:ascii="Arial" w:hAnsi="Arial"/>
          <w:color w:val="000000"/>
          <w:sz w:val="20"/>
        </w:rPr>
        <w:t>A change in the outcome of any of these or other variables with respect to the development of any of our current and future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Any future debt financing into which we enter may impose upon us additional covenants that restrict our operations, including limitation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before="240" w:after="283"/>
        <w:jc w:val="left"/>
        <w:rPr>
          <w:rFonts w:ascii="Arial" w:hAnsi="Arial"/>
          <w:color w:val="000000"/>
          <w:sz w:val="20"/>
        </w:rPr>
      </w:pPr>
      <w:r>
        <w:rPr>
          <w:rFonts w:ascii="Arial" w:hAnsi="Arial"/>
          <w:color w:val="000000"/>
          <w:sz w:val="20"/>
        </w:rPr>
        <w:t>Adequate funding may not be available to us on acceptable terms or at all. Our failure to raise capital as and when needed could have a negative impact on our financial condition and ability to pursue our business strategies. If we are unable to raise additional funds when needed, we may be required to delay, reduce or terminate some or all of our development programs and clinical trials or we may also be required to terminate rights to future product candidates.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pStyle w:val="TextBody"/>
        <w:bidi w:val="0"/>
        <w:spacing w:before="240" w:after="283"/>
        <w:jc w:val="left"/>
        <w:rPr>
          <w:rFonts w:ascii="Arial" w:hAnsi="Arial"/>
          <w:color w:val="000000"/>
          <w:sz w:val="20"/>
        </w:rPr>
      </w:pPr>
      <w:r>
        <w:rPr>
          <w:rFonts w:ascii="Arial" w:hAnsi="Arial"/>
          <w:color w:val="000000"/>
          <w:sz w:val="20"/>
        </w:rPr>
        <w:t>See the section titled “Risk Factors” in Part I, Item 1A of this Annual Report on Form 10-K for additional risks associated with our substantial capital requirements.</w:t>
      </w:r>
    </w:p>
    <w:p>
      <w:pPr>
        <w:pStyle w:val="TextBody"/>
        <w:bidi w:val="0"/>
        <w:spacing w:before="360" w:after="283"/>
        <w:jc w:val="left"/>
        <w:rPr>
          <w:rFonts w:ascii="Arial" w:hAnsi="Arial"/>
          <w:b/>
          <w:i/>
          <w:color w:val="000000"/>
          <w:sz w:val="20"/>
        </w:rPr>
      </w:pPr>
      <w:r>
        <w:rPr>
          <w:rFonts w:ascii="Arial" w:hAnsi="Arial"/>
          <w:b/>
          <w:i/>
          <w:color w:val="000000"/>
          <w:sz w:val="20"/>
        </w:rPr>
        <w:t>Summary Statements of Cash Flows</w:t>
      </w:r>
    </w:p>
    <w:p>
      <w:pPr>
        <w:pStyle w:val="TextBody"/>
        <w:bidi w:val="0"/>
        <w:spacing w:before="120" w:after="240"/>
        <w:jc w:val="left"/>
        <w:rPr>
          <w:rFonts w:ascii="Arial" w:hAnsi="Arial"/>
          <w:color w:val="000000"/>
          <w:sz w:val="20"/>
        </w:rPr>
      </w:pPr>
      <w:r>
        <w:rPr>
          <w:rFonts w:ascii="Arial" w:hAnsi="Arial"/>
          <w:color w:val="000000"/>
          <w:sz w:val="20"/>
        </w:rPr>
        <w:t>The following table sets forth a summary of the primary sources and uses of cash:</w:t>
      </w:r>
    </w:p>
    <w:tbl>
      <w:tblPr>
        <w:tblW w:w="7379" w:type="dxa"/>
        <w:jc w:val="left"/>
        <w:tblInd w:w="0" w:type="dxa"/>
        <w:tblLayout w:type="fixed"/>
        <w:tblCellMar>
          <w:top w:w="28" w:type="dxa"/>
          <w:left w:w="28" w:type="dxa"/>
          <w:bottom w:w="28" w:type="dxa"/>
          <w:right w:w="28" w:type="dxa"/>
        </w:tblCellMar>
      </w:tblPr>
      <w:tblGrid>
        <w:gridCol w:w="4786"/>
        <w:gridCol w:w="146"/>
        <w:gridCol w:w="211"/>
        <w:gridCol w:w="751"/>
        <w:gridCol w:w="166"/>
        <w:gridCol w:w="146"/>
        <w:gridCol w:w="211"/>
        <w:gridCol w:w="75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i/>
          <w:color w:val="000000"/>
          <w:sz w:val="20"/>
        </w:rPr>
      </w:pPr>
      <w:r>
        <w:rPr>
          <w:rFonts w:ascii="Arial" w:hAnsi="Arial"/>
          <w:i/>
          <w:color w:val="000000"/>
          <w:sz w:val="20"/>
        </w:rPr>
        <w:t>Cash Used in Operating Activities</w:t>
      </w:r>
    </w:p>
    <w:p>
      <w:pPr>
        <w:pStyle w:val="TextBody"/>
        <w:bidi w:val="0"/>
        <w:spacing w:before="120" w:after="283"/>
        <w:jc w:val="left"/>
        <w:rPr>
          <w:rFonts w:ascii="Arial" w:hAnsi="Arial"/>
          <w:color w:val="000000"/>
          <w:sz w:val="20"/>
        </w:rPr>
      </w:pPr>
      <w:r>
        <w:rPr>
          <w:rFonts w:ascii="Arial" w:hAnsi="Arial"/>
          <w:color w:val="000000"/>
          <w:sz w:val="20"/>
        </w:rPr>
        <w:t>Net cash used in operating activities was $29.8 million for the year ended December 31, 2025, which consisted of a net loss of $35.2 million, primarily due to the use of funds to develop our product candidates, and a net decrease of $0.2 million in our net operating assets and liabilities, partially offset by a net increase of $5.2 million in non-cash charges. The non-cash charges consisted of stock-based compensation expense of $6.2 million, partially offset by net accretion of discounts on investments of $1.0 million. The net decrease in our operating assets and liabilities was primarily due to a decrease of $1.5 million in prepaid expenses and other current assets and increases of $0.7 million in accrued compensation, $0.4 million in other current liabilities, and $0.2 million in other non-current liabilities, partially offset by increases of $2.4 million in accrued liabilities and $0.3 million in accounts payable.</w:t>
      </w:r>
    </w:p>
    <w:p>
      <w:pPr>
        <w:pStyle w:val="TextBody"/>
        <w:bidi w:val="0"/>
        <w:spacing w:before="240" w:after="283"/>
        <w:jc w:val="left"/>
        <w:rPr>
          <w:rFonts w:ascii="Arial" w:hAnsi="Arial"/>
          <w:color w:val="000000"/>
          <w:sz w:val="20"/>
        </w:rPr>
      </w:pPr>
      <w:r>
        <w:rPr>
          <w:rFonts w:ascii="Arial" w:hAnsi="Arial"/>
          <w:color w:val="000000"/>
          <w:sz w:val="20"/>
        </w:rPr>
        <w:t>Net cash used in operating activities was $49.3 million for the year ended December 31, 2024, which consisted of a net loss of $51.3 million, primarily due to the use of funds to develop our product candidates, and a net decrease of $3.0 million in our net operating assets and liabilities offset by a net increase of $5.0 million in non-cash charges. The net decrease in our operating assets and liabilities was primarily due to a decrease of $4.5 million in accrued compensation and accrued liabilities due to a decrease in accrued research and development expenses, partially offset by an increase of $0.8 million in prepaid expenses and other current assets, an increase of $0.6 million in accounts payable and an increase of $0.1 million in other current liabilities. The non-cash charges consisted of stock-based compensation expense of $8.3 million, partially offset by net accretion of discounts on investments of $3.3 million.</w:t>
      </w:r>
    </w:p>
    <w:p>
      <w:pPr>
        <w:pStyle w:val="TextBody"/>
        <w:bidi w:val="0"/>
        <w:spacing w:before="360" w:after="283"/>
        <w:jc w:val="left"/>
        <w:rPr>
          <w:rFonts w:ascii="Arial" w:hAnsi="Arial"/>
          <w:i/>
          <w:color w:val="000000"/>
          <w:sz w:val="20"/>
        </w:rPr>
      </w:pPr>
      <w:r>
        <w:rPr>
          <w:rFonts w:ascii="Arial" w:hAnsi="Arial"/>
          <w:i/>
          <w:color w:val="000000"/>
          <w:sz w:val="20"/>
        </w:rPr>
        <w:t>Cash Provided by Investing Activities</w:t>
      </w:r>
    </w:p>
    <w:p>
      <w:pPr>
        <w:pStyle w:val="TextBody"/>
        <w:bidi w:val="0"/>
        <w:spacing w:before="120" w:after="283"/>
        <w:jc w:val="left"/>
        <w:rPr>
          <w:rFonts w:ascii="Arial" w:hAnsi="Arial"/>
          <w:color w:val="000000"/>
          <w:sz w:val="20"/>
        </w:rPr>
      </w:pPr>
      <w:r>
        <w:rPr>
          <w:rFonts w:ascii="Arial" w:hAnsi="Arial"/>
          <w:color w:val="000000"/>
          <w:sz w:val="20"/>
        </w:rPr>
        <w:t>Net cash provided by investing activities was $28.3 million for the year ended December 31, 2025, which primarily consisted of $74.5 million in proceeds from maturities of investments, partially offset by $46.2 million in purchases of investments.</w:t>
      </w:r>
    </w:p>
    <w:p>
      <w:pPr>
        <w:pStyle w:val="TextBody"/>
        <w:bidi w:val="0"/>
        <w:spacing w:before="240" w:after="283"/>
        <w:jc w:val="left"/>
        <w:rPr>
          <w:rFonts w:ascii="Arial" w:hAnsi="Arial"/>
          <w:color w:val="000000"/>
          <w:sz w:val="20"/>
        </w:rPr>
      </w:pPr>
      <w:r>
        <w:rPr>
          <w:rFonts w:ascii="Arial" w:hAnsi="Arial"/>
          <w:color w:val="000000"/>
          <w:sz w:val="20"/>
        </w:rPr>
        <w:t>Net cash provided by investing activities was $54.6 million for the year ended December 31, 2024, which primarily consisted of $101.3 million in proceeds from maturities of investments, partially offset by $46.7 million in purchases of investments.</w:t>
      </w:r>
    </w:p>
    <w:p>
      <w:pPr>
        <w:pStyle w:val="TextBody"/>
        <w:bidi w:val="0"/>
        <w:spacing w:before="360" w:after="283"/>
        <w:jc w:val="left"/>
        <w:rPr>
          <w:rFonts w:ascii="Arial" w:hAnsi="Arial"/>
          <w:i/>
          <w:color w:val="000000"/>
          <w:sz w:val="20"/>
        </w:rPr>
      </w:pPr>
      <w:r>
        <w:rPr>
          <w:rFonts w:ascii="Arial" w:hAnsi="Arial"/>
          <w:i/>
          <w:color w:val="000000"/>
          <w:sz w:val="20"/>
        </w:rPr>
        <w:t>Cash Provided by Financing Activities</w:t>
      </w:r>
    </w:p>
    <w:p>
      <w:pPr>
        <w:pStyle w:val="TextBody"/>
        <w:bidi w:val="0"/>
        <w:spacing w:before="120" w:after="283"/>
        <w:jc w:val="left"/>
        <w:rPr>
          <w:rFonts w:ascii="Arial" w:hAnsi="Arial"/>
          <w:color w:val="000000"/>
          <w:sz w:val="20"/>
        </w:rPr>
      </w:pPr>
      <w:r>
        <w:rPr>
          <w:rFonts w:ascii="Arial" w:hAnsi="Arial"/>
          <w:color w:val="000000"/>
          <w:sz w:val="20"/>
        </w:rPr>
        <w:t>Net cash provided by financing activities was $0.1 million for the year ended December 31, 2025, which primarily consisted of net proceeds from the issuance of common stock under the ESPP and from the exercises of stock options.</w:t>
      </w:r>
    </w:p>
    <w:p>
      <w:pPr>
        <w:pStyle w:val="TextBody"/>
        <w:bidi w:val="0"/>
        <w:spacing w:before="240" w:after="283"/>
        <w:jc w:val="left"/>
        <w:rPr>
          <w:rFonts w:ascii="Arial" w:hAnsi="Arial"/>
          <w:color w:val="000000"/>
          <w:sz w:val="20"/>
        </w:rPr>
      </w:pPr>
      <w:r>
        <w:rPr>
          <w:rFonts w:ascii="Arial" w:hAnsi="Arial"/>
          <w:color w:val="000000"/>
          <w:sz w:val="20"/>
        </w:rPr>
        <w:t>Net cash provided by financing activities was $0.4 million for the year ended December 31, 2024, which primarily consisted of net proceeds from the issuance of common stock under the ESPP and from the exercises of stock options.</w:t>
      </w:r>
    </w:p>
    <w:p>
      <w:pPr>
        <w:pStyle w:val="TextBody"/>
        <w:bidi w:val="0"/>
        <w:spacing w:before="360" w:after="283"/>
        <w:jc w:val="left"/>
        <w:rPr>
          <w:rFonts w:ascii="Arial" w:hAnsi="Arial"/>
          <w:b/>
          <w:color w:val="000000"/>
          <w:sz w:val="20"/>
        </w:rPr>
      </w:pPr>
      <w:r>
        <w:rPr>
          <w:rFonts w:ascii="Arial" w:hAnsi="Arial"/>
          <w:b/>
          <w:color w:val="000000"/>
          <w:sz w:val="20"/>
        </w:rPr>
        <w:t>Contractual Obligations and Commitments</w:t>
      </w:r>
    </w:p>
    <w:p>
      <w:pPr>
        <w:pStyle w:val="TextBody"/>
        <w:bidi w:val="0"/>
        <w:spacing w:before="120" w:after="283"/>
        <w:jc w:val="left"/>
        <w:rPr>
          <w:rFonts w:ascii="Arial" w:hAnsi="Arial"/>
          <w:color w:val="000000"/>
          <w:sz w:val="20"/>
        </w:rPr>
      </w:pPr>
      <w:r>
        <w:rPr>
          <w:rFonts w:ascii="Arial" w:hAnsi="Arial"/>
          <w:color w:val="000000"/>
          <w:sz w:val="20"/>
        </w:rPr>
        <w:t>In November 2019, we entered into an exclusive worldwide license agreement with Anacor for certain compounds and other intellectual property controlled by Anacor for the treatment, diagnosis, or prevention of disease. In exchange for the worldwide, sublicensable, exclusive right and licenses to develop, manufacture, and commercialize the specified compounds, we paid Anacor a $2.0 million upfront payment in November 2019 and issued Anacor shares of our Series A redeemable convertible preferred stock. We agreed to make further payments to Anacor upon achievement of various development milestones for an aggregate maximum payment of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sales royalties as a percentage of net sales ranging from single to mid-teens.</w:t>
      </w:r>
    </w:p>
    <w:p>
      <w:pPr>
        <w:pStyle w:val="TextBody"/>
        <w:bidi w:val="0"/>
        <w:spacing w:before="240" w:after="283"/>
        <w:jc w:val="left"/>
        <w:rPr>
          <w:rFonts w:ascii="Arial" w:hAnsi="Arial"/>
          <w:color w:val="000000"/>
          <w:sz w:val="20"/>
        </w:rPr>
      </w:pPr>
      <w:r>
        <w:rPr>
          <w:rFonts w:ascii="Arial" w:hAnsi="Arial"/>
          <w:color w:val="000000"/>
          <w:sz w:val="20"/>
        </w:rPr>
        <w:t>We enter into contracts in the normal course of business with third-party contract organizations for preclinical and nonclinical studies and clinical trials, manufacture and supply of our preclinical, nonclinical, clinical trial, and other services and products used for operating purposes. These contracts generally provide for termination following a certain period after notice, and therefore we believe that our non-cancelable obligations under these agreements are not material.</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120" w:after="283"/>
        <w:jc w:val="left"/>
        <w:rPr>
          <w:rFonts w:ascii="Arial" w:hAnsi="Arial"/>
          <w:color w:val="000000"/>
          <w:sz w:val="20"/>
        </w:rPr>
      </w:pPr>
      <w:r>
        <w:rPr>
          <w:rFonts w:ascii="Arial" w:hAnsi="Arial"/>
          <w:color w:val="000000"/>
          <w:sz w:val="20"/>
        </w:rPr>
        <w:t>Our financial statements have been prepared in accordance with U.S. generally accepted accounting principles (“U.S.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While our significant accounting policies are described in more detail in Part I, Note 2—Basis of Presentation and Summary of Significant Accounting Policies to our financial statements appearing elsewhere in this Form 10-K, we believe that the following accounting policies are those most critical to the judgments and estimates used in the preparation of our financial statements.</w:t>
      </w:r>
    </w:p>
    <w:p>
      <w:pPr>
        <w:pStyle w:val="TextBody"/>
        <w:bidi w:val="0"/>
        <w:spacing w:before="360" w:after="283"/>
        <w:jc w:val="left"/>
        <w:rPr>
          <w:rFonts w:ascii="Arial" w:hAnsi="Arial"/>
          <w:b/>
          <w:i/>
          <w:color w:val="000000"/>
          <w:sz w:val="20"/>
        </w:rPr>
      </w:pPr>
      <w:r>
        <w:rPr>
          <w:rFonts w:ascii="Arial" w:hAnsi="Arial"/>
          <w:b/>
          <w:i/>
          <w:color w:val="000000"/>
          <w:sz w:val="20"/>
        </w:rPr>
        <w:t>Research and Development</w:t>
      </w:r>
    </w:p>
    <w:p>
      <w:pPr>
        <w:pStyle w:val="TextBody"/>
        <w:bidi w:val="0"/>
        <w:spacing w:before="120" w:after="283"/>
        <w:jc w:val="left"/>
        <w:rPr>
          <w:rFonts w:ascii="Arial" w:hAnsi="Arial"/>
          <w:color w:val="000000"/>
          <w:sz w:val="20"/>
        </w:rPr>
      </w:pPr>
      <w:r>
        <w:rPr>
          <w:rFonts w:ascii="Arial" w:hAnsi="Arial"/>
          <w:color w:val="000000"/>
          <w:sz w:val="20"/>
        </w:rPr>
        <w:t>We have entered into various agreements with CMOs and CROs. We record research and development expenses to operations as incurred. Research and development expenses represent costs incurred by us for the discovery and development of our product candidates and the development of our technology and include: internal research and development expense, including employee-related expenses (such as salaries, bonus, benefits and non-cash stock-based compensation expense); external research and development expenses incurred under arrangements with third parties, such as CROs, preclinical testing organizations, CMOs, academic and non-profit institutions and consultants; license fees; and other expenses. Costs to develop our technologies are recorded as research and development expense as incurred.</w:t>
      </w:r>
    </w:p>
    <w:p>
      <w:pPr>
        <w:pStyle w:val="TextBody"/>
        <w:bidi w:val="0"/>
        <w:spacing w:before="240" w:after="283"/>
        <w:jc w:val="left"/>
        <w:rPr>
          <w:rFonts w:ascii="Times New Roman" w:hAnsi="Times New Roman"/>
          <w:sz w:val="20"/>
        </w:rPr>
      </w:pPr>
      <w:r>
        <w:rPr>
          <w:rFonts w:ascii="Arial" w:hAnsi="Arial"/>
          <w:color w:val="000000"/>
          <w:sz w:val="20"/>
        </w:rPr>
        <w:t>As part of the process of preparing financial statements, we are required to estimate and accrue expenses. We record the estimated expenses of research and development activities conducted by third-party service providers based upon the estimated level of services performed, progress of the studies, including the receipt of deliverables or completion of agreed-upon events, and contracted costs, within research and development expense in the statements of operations and comprehensive loss. These services include the conduct of clinical, nonclinical and preclinical studies, contract manufacturing activities and consulting services.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Payments made to CMOs and CROs under these arrangements in advance of the performance of the related services are deferred and recognized as expense in the period in which the related goods are received or services are realized or utilized. If the costs have been prepaid, this expense reduces the prepaid expenses in the balance sheets, and if not yet invoiced, the costs are included in accrued liabilities in the balance sheets. These costs are a significant component of our research and development expenses. We record amortization of prepaid expenses or accrued expenses for these costs based on the estimated amount of work completed and in accordance with agreements established with these third parties. Such payments are evaluated for current or long-term classification based on when they will be realized. If the actual timing of the performance of services or the level of effort varies from the original estimates, we will adjust the accrual accordingly. To date, our estimated accruals have not differed materially from the actual costs.</w:t>
      </w:r>
    </w:p>
    <w:p>
      <w:pPr>
        <w:pStyle w:val="TextBody"/>
        <w:bidi w:val="0"/>
        <w:spacing w:before="240" w:after="283"/>
        <w:jc w:val="left"/>
        <w:rPr>
          <w:rFonts w:ascii="Arial" w:hAnsi="Arial"/>
          <w:color w:val="000000"/>
          <w:sz w:val="20"/>
        </w:rPr>
      </w:pPr>
      <w:r>
        <w:rPr>
          <w:rFonts w:ascii="Arial" w:hAnsi="Arial"/>
          <w:color w:val="000000"/>
          <w:sz w:val="20"/>
        </w:rPr>
        <w:t>Costs for certain research and development activities are recognized based on an evaluation of the progress to completion of specific tasks. We estimate the amount of work completed through discussions with internal personnel and external service providers as to the progress or stage of completion of the services and the agreed-upon fee to be paid for such services. We make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may vary from our estimates and could result in us reporting amounts that are too high or too low in any particular period. Our accrued expenses are dependent, in part, upon the receipt of timely and accurate reporting from external CROs, CMOs and other third-party service providers. To date, we have not experienced material differences between our accrued expenses and actual expenses.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Indemnification Agreements</w:t>
      </w:r>
    </w:p>
    <w:p>
      <w:pPr>
        <w:pStyle w:val="TextBody"/>
        <w:bidi w:val="0"/>
        <w:spacing w:before="120" w:after="283"/>
        <w:jc w:val="left"/>
        <w:rPr>
          <w:rFonts w:ascii="Arial" w:hAnsi="Arial"/>
          <w:color w:val="000000"/>
          <w:sz w:val="20"/>
        </w:rPr>
      </w:pPr>
      <w:r>
        <w:rPr>
          <w:rFonts w:ascii="Arial" w:hAnsi="Arial"/>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pStyle w:val="TextBody"/>
        <w:bidi w:val="0"/>
        <w:spacing w:before="240" w:after="283"/>
        <w:jc w:val="left"/>
        <w:rPr>
          <w:rFonts w:ascii="Arial" w:hAnsi="Arial"/>
          <w:color w:val="000000"/>
          <w:sz w:val="20"/>
        </w:rPr>
      </w:pPr>
      <w:r>
        <w:rPr>
          <w:rFonts w:ascii="Arial" w:hAnsi="Arial"/>
          <w:color w:val="000000"/>
          <w:sz w:val="20"/>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w:t>
      </w:r>
    </w:p>
    <w:p>
      <w:pPr>
        <w:pStyle w:val="TextBody"/>
        <w:bidi w:val="0"/>
        <w:spacing w:before="360" w:after="283"/>
        <w:jc w:val="left"/>
        <w:rPr>
          <w:rFonts w:ascii="Arial" w:hAnsi="Arial"/>
          <w:b/>
          <w:color w:val="000000"/>
          <w:sz w:val="20"/>
        </w:rPr>
      </w:pPr>
      <w:r>
        <w:rPr>
          <w:rFonts w:ascii="Arial" w:hAnsi="Arial"/>
          <w:b/>
          <w:color w:val="000000"/>
          <w:sz w:val="20"/>
        </w:rPr>
        <w:t>Recent Accounting Pronouncements</w:t>
      </w:r>
    </w:p>
    <w:p>
      <w:pPr>
        <w:pStyle w:val="TextBody"/>
        <w:bidi w:val="0"/>
        <w:spacing w:before="120" w:after="283"/>
        <w:jc w:val="left"/>
        <w:rPr>
          <w:rFonts w:ascii="Arial" w:hAnsi="Arial"/>
          <w:color w:val="000000"/>
          <w:sz w:val="20"/>
        </w:rPr>
      </w:pPr>
      <w:r>
        <w:rPr>
          <w:rFonts w:ascii="Arial" w:hAnsi="Arial"/>
          <w:color w:val="000000"/>
          <w:sz w:val="20"/>
        </w:rPr>
        <w:t>See the section “Recently Adopted Accounting Pronouncements” in Note 2 to the Notes to Financial Statements in Part IV, Item 15 of this Annual Report on Form 10-K.</w:t>
      </w:r>
    </w:p>
    <w:p>
      <w:pPr>
        <w:pStyle w:val="TextBody"/>
        <w:bidi w:val="0"/>
        <w:spacing w:before="360" w:after="283"/>
        <w:jc w:val="left"/>
        <w:rPr>
          <w:rFonts w:ascii="Arial" w:hAnsi="Arial"/>
          <w:b/>
          <w:color w:val="000000"/>
          <w:sz w:val="20"/>
        </w:rPr>
      </w:pPr>
      <w:r>
        <w:rPr>
          <w:rFonts w:ascii="Arial" w:hAnsi="Arial"/>
          <w:b/>
          <w:color w:val="000000"/>
          <w:sz w:val="20"/>
        </w:rPr>
        <w:t>JOBS Act Accounting Election</w:t>
      </w:r>
    </w:p>
    <w:p>
      <w:pPr>
        <w:pStyle w:val="TextBody"/>
        <w:bidi w:val="0"/>
        <w:spacing w:before="120" w:after="283"/>
        <w:jc w:val="left"/>
        <w:rPr>
          <w:rFonts w:ascii="Arial" w:hAnsi="Arial"/>
          <w:color w:val="000000"/>
          <w:sz w:val="20"/>
        </w:rPr>
      </w:pPr>
      <w:r>
        <w:rPr>
          <w:rFonts w:ascii="Arial" w:hAnsi="Arial"/>
          <w:color w:val="000000"/>
          <w:sz w:val="20"/>
        </w:rPr>
        <w:t>The JOBS Act permits an “emerging growth company” or “EGC” such as us to delay adopting new or revised accounting standards issued subsequent to the enactment of the JOBS Act until such time as those standards apply to private companies. We have elected to use this extended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pStyle w:val="TextBody"/>
        <w:bidi w:val="0"/>
        <w:spacing w:before="240" w:after="283"/>
        <w:jc w:val="left"/>
        <w:rPr>
          <w:rFonts w:ascii="Arial" w:hAnsi="Arial"/>
          <w:color w:val="000000"/>
          <w:sz w:val="20"/>
        </w:rPr>
      </w:pPr>
      <w:r>
        <w:rPr>
          <w:rFonts w:ascii="Arial" w:hAnsi="Arial"/>
          <w:color w:val="000000"/>
          <w:sz w:val="20"/>
        </w:rPr>
        <w:t>In addition, we intend to rely on other exemptions provided by the JOBS Act, including without limitation, not being required to comply with the auditor attestation requirements of Section 404(b) of the Sarbanes-Oxley Act.</w:t>
      </w:r>
    </w:p>
    <w:p>
      <w:pPr>
        <w:pStyle w:val="TextBody"/>
        <w:bidi w:val="0"/>
        <w:spacing w:before="240" w:after="283"/>
        <w:jc w:val="left"/>
        <w:rPr>
          <w:rFonts w:ascii="Arial" w:hAnsi="Arial"/>
          <w:color w:val="000000"/>
          <w:sz w:val="20"/>
        </w:rPr>
      </w:pPr>
      <w:r>
        <w:rPr>
          <w:rFonts w:ascii="Arial" w:hAnsi="Arial"/>
          <w:color w:val="000000"/>
          <w:sz w:val="20"/>
        </w:rPr>
        <w:t>We will remain an EGC until the earliest to occur of: (1) the last day of our first fiscal year in which we have total annual revenues of more than $1.235 billion;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pStyle w:val="TextBody"/>
        <w:bidi w:val="0"/>
        <w:spacing w:before="360" w:after="283"/>
        <w:jc w:val="left"/>
        <w:rPr>
          <w:rFonts w:ascii="Times New Roman" w:hAnsi="Times New Roman"/>
          <w:sz w:val="20"/>
        </w:rPr>
      </w:pPr>
      <w:bookmarkStart w:id="13" w:name="item7a"/>
      <w:bookmarkEnd w:id="13"/>
      <w:r>
        <w:rPr>
          <w:rFonts w:ascii="Arial" w:hAnsi="Arial"/>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Interest Rate Sensitivity</w:t>
      </w:r>
    </w:p>
    <w:p>
      <w:pPr>
        <w:pStyle w:val="TextBody"/>
        <w:bidi w:val="0"/>
        <w:spacing w:before="120" w:after="283"/>
        <w:jc w:val="left"/>
        <w:rPr>
          <w:rFonts w:ascii="Arial" w:hAnsi="Arial"/>
          <w:color w:val="000000"/>
          <w:sz w:val="20"/>
        </w:rPr>
      </w:pPr>
      <w:r>
        <w:rPr>
          <w:rFonts w:ascii="Arial" w:hAnsi="Arial"/>
          <w:color w:val="000000"/>
          <w:sz w:val="20"/>
        </w:rPr>
        <w:t>We are exposed to market risk related to changes in interest rates. We had cash, cash equivalents and investments of $60.0 million as of December 31, 2025, which consisted primarily of money market funds and marketable securities, largely composed of investment grade, short and long-term fixed income securities and government securities.</w:t>
      </w:r>
    </w:p>
    <w:p>
      <w:pPr>
        <w:pStyle w:val="TextBody"/>
        <w:bidi w:val="0"/>
        <w:spacing w:before="240" w:after="283"/>
        <w:jc w:val="left"/>
        <w:rPr>
          <w:rFonts w:ascii="Arial" w:hAnsi="Arial"/>
          <w:color w:val="000000"/>
          <w:sz w:val="20"/>
        </w:rPr>
      </w:pPr>
      <w:r>
        <w:rPr>
          <w:rFonts w:ascii="Arial" w:hAnsi="Arial"/>
          <w:color w:val="000000"/>
          <w:sz w:val="20"/>
        </w:rPr>
        <w:t>The primary objective of our investment activities is to preserve capital to fund our operations. We also seek to maximize income from our investments without assuming significant risk. To achieve our objectives, we maintain a portfolio of cash, cash equivalents, and investments in accordance with our Board-approved investment policy.</w:t>
      </w:r>
    </w:p>
    <w:p>
      <w:pPr>
        <w:pStyle w:val="TextBody"/>
        <w:bidi w:val="0"/>
        <w:spacing w:before="240" w:after="283"/>
        <w:jc w:val="left"/>
        <w:rPr>
          <w:rFonts w:ascii="Arial" w:hAnsi="Arial"/>
          <w:color w:val="000000"/>
          <w:sz w:val="20"/>
        </w:rPr>
      </w:pPr>
      <w:r>
        <w:rPr>
          <w:rFonts w:ascii="Arial" w:hAnsi="Arial"/>
          <w:color w:val="000000"/>
          <w:sz w:val="20"/>
        </w:rPr>
        <w:t>Our investments are subject to interest rate risk and could fall in value if market interest rates increase. A hypothetical 10% relative change in interest rates during any of the periods presented would not have had a material impact on our financial statements. We do not believe that inflation, interest rate changes or exchange rate fluctuations had a significant impact on our results of operations for any periods presented herein.</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Foreign Currency Risk</w:t>
      </w:r>
    </w:p>
    <w:p>
      <w:pPr>
        <w:pStyle w:val="TextBody"/>
        <w:bidi w:val="0"/>
        <w:spacing w:before="120" w:after="283"/>
        <w:jc w:val="left"/>
        <w:rPr>
          <w:rFonts w:ascii="Arial" w:hAnsi="Arial"/>
          <w:color w:val="000000"/>
          <w:sz w:val="20"/>
        </w:rPr>
      </w:pPr>
      <w:r>
        <w:rPr>
          <w:rFonts w:ascii="Arial" w:hAnsi="Arial"/>
          <w:color w:val="000000"/>
          <w:sz w:val="20"/>
        </w:rPr>
        <w:t>A small portion of our expenses are denominated in foreign currencies. Future fluctuations in the value of the U.S. Dollar may affect the price we pay for services performed outside the U.S. We were not exposed to material foreign currency risk during the year ended December 31, 2025.</w:t>
      </w:r>
    </w:p>
    <w:p>
      <w:pPr>
        <w:pStyle w:val="TextBody"/>
        <w:bidi w:val="0"/>
        <w:spacing w:before="360" w:after="283"/>
        <w:jc w:val="left"/>
        <w:rPr>
          <w:rFonts w:ascii="Arial" w:hAnsi="Arial"/>
          <w:b/>
          <w:i/>
          <w:color w:val="000000"/>
          <w:sz w:val="20"/>
        </w:rPr>
      </w:pPr>
      <w:r>
        <w:rPr>
          <w:rFonts w:ascii="Arial" w:hAnsi="Arial"/>
          <w:b/>
          <w:i/>
          <w:color w:val="000000"/>
          <w:sz w:val="20"/>
        </w:rPr>
        <w:t>Effects of Inflation</w:t>
      </w:r>
    </w:p>
    <w:p>
      <w:pPr>
        <w:pStyle w:val="TextBody"/>
        <w:bidi w:val="0"/>
        <w:spacing w:before="120" w:after="283"/>
        <w:jc w:val="left"/>
        <w:rPr>
          <w:rFonts w:ascii="Arial" w:hAnsi="Arial"/>
          <w:color w:val="000000"/>
          <w:sz w:val="20"/>
        </w:rPr>
      </w:pPr>
      <w:r>
        <w:rPr>
          <w:rFonts w:ascii="Arial" w:hAnsi="Arial"/>
          <w:color w:val="000000"/>
          <w:sz w:val="20"/>
        </w:rPr>
        <w:t>Inflation generally affects us by increasing our cost of labor and operating costs including clinical trial, non-clinical study and manufacturing costs. We believe that inflation has not had a material effect on our financial statements included elsewhere in this Annual Report on Form 10-K.</w:t>
      </w:r>
    </w:p>
    <w:p>
      <w:pPr>
        <w:pStyle w:val="TextBody"/>
        <w:bidi w:val="0"/>
        <w:spacing w:before="360" w:after="283"/>
        <w:jc w:val="left"/>
        <w:rPr>
          <w:rFonts w:ascii="Times New Roman" w:hAnsi="Times New Roman"/>
          <w:sz w:val="20"/>
        </w:rPr>
      </w:pPr>
      <w:bookmarkStart w:id="14" w:name="item8"/>
      <w:bookmarkEnd w:id="14"/>
      <w:r>
        <w:rPr>
          <w:rFonts w:ascii="Arial" w:hAnsi="Arial"/>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financial statements and related financial statement schedules required to be filed are listed in Part IV, Item 15 of this Annual Report on Form 10-K.</w:t>
      </w:r>
    </w:p>
    <w:p>
      <w:pPr>
        <w:pStyle w:val="TextBody"/>
        <w:bidi w:val="0"/>
        <w:spacing w:before="360" w:after="283"/>
        <w:jc w:val="left"/>
        <w:rPr>
          <w:rFonts w:ascii="Arial" w:hAnsi="Arial"/>
          <w:b/>
          <w:color w:val="000000"/>
          <w:sz w:val="20"/>
        </w:rPr>
      </w:pPr>
      <w:bookmarkStart w:id="15" w:name="item9"/>
      <w:bookmarkEnd w:id="15"/>
      <w:r>
        <w:rPr>
          <w:rFonts w:ascii="Arial" w:hAnsi="Arial"/>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sz w:val="20"/>
        </w:rPr>
      </w:pPr>
      <w:r>
        <w:rPr>
          <w:rFonts w:ascii="Arial" w:hAnsi="Arial"/>
          <w:color w:val="000000"/>
          <w:sz w:val="20"/>
        </w:rPr>
        <w:t>None.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6" w:name="item9a"/>
      <w:bookmarkEnd w:id="16"/>
      <w:r>
        <w:rPr>
          <w:rFonts w:ascii="Arial" w:hAnsi="Arial"/>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120" w:after="283"/>
        <w:jc w:val="left"/>
        <w:rPr>
          <w:rFonts w:ascii="Arial" w:hAnsi="Arial"/>
          <w:color w:val="000000"/>
          <w:sz w:val="20"/>
        </w:rPr>
      </w:pPr>
      <w:r>
        <w:rPr>
          <w:rFonts w:ascii="Arial" w:hAnsi="Arial"/>
          <w:color w:val="000000"/>
          <w:sz w:val="20"/>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Form 10-K.</w:t>
      </w:r>
    </w:p>
    <w:p>
      <w:pPr>
        <w:pStyle w:val="TextBody"/>
        <w:bidi w:val="0"/>
        <w:spacing w:before="240" w:after="283"/>
        <w:jc w:val="left"/>
        <w:rPr>
          <w:rFonts w:ascii="Arial" w:hAnsi="Arial"/>
          <w:color w:val="000000"/>
          <w:sz w:val="20"/>
        </w:rPr>
      </w:pPr>
      <w:r>
        <w:rPr>
          <w:rFonts w:ascii="Arial" w:hAnsi="Arial"/>
          <w:color w:val="000000"/>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CEO and CFO,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left"/>
        <w:rPr>
          <w:rFonts w:ascii="Arial" w:hAnsi="Arial"/>
          <w:color w:val="000000"/>
          <w:sz w:val="20"/>
        </w:rPr>
      </w:pPr>
      <w:r>
        <w:rPr>
          <w:rFonts w:ascii="Arial" w:hAnsi="Arial"/>
          <w:color w:val="000000"/>
          <w:sz w:val="20"/>
        </w:rPr>
        <w:t>Our CEO and CFO have concluded that as of December 31, 2025, our disclosure controls and procedures were not effective due to material weaknesses in internal control over financial reporting, as described below.</w:t>
      </w:r>
    </w:p>
    <w:p>
      <w:pPr>
        <w:pStyle w:val="TextBody"/>
        <w:bidi w:val="0"/>
        <w:spacing w:before="240" w:after="283"/>
        <w:jc w:val="left"/>
        <w:rPr>
          <w:rFonts w:ascii="Arial" w:hAnsi="Arial"/>
          <w:color w:val="000000"/>
          <w:sz w:val="20"/>
        </w:rPr>
      </w:pPr>
      <w:r>
        <w:rPr>
          <w:rFonts w:ascii="Arial" w:hAnsi="Arial"/>
          <w:color w:val="000000"/>
          <w:sz w:val="20"/>
        </w:rPr>
        <w:t>Notwithstanding the identified material weaknesses, management, including our CEO and CFO, have determined, based on the procedures we have performed, that the financial statements included in this Annual Report on Form 10-K were prepared in accordance with U.S. GAAP.</w:t>
      </w:r>
    </w:p>
    <w:p>
      <w:pPr>
        <w:pStyle w:val="TextBody"/>
        <w:bidi w:val="0"/>
        <w:spacing w:before="360" w:after="283"/>
        <w:jc w:val="left"/>
        <w:rPr>
          <w:rFonts w:ascii="Arial" w:hAnsi="Arial"/>
          <w:b/>
          <w:color w:val="000000"/>
          <w:sz w:val="20"/>
        </w:rPr>
      </w:pPr>
      <w:r>
        <w:rPr>
          <w:rFonts w:ascii="Arial" w:hAnsi="Arial"/>
          <w:b/>
          <w:color w:val="000000"/>
          <w:sz w:val="20"/>
        </w:rPr>
        <w:t>Management’s Annual Report on Internal Control over Financial Reporting</w:t>
      </w:r>
    </w:p>
    <w:p>
      <w:pPr>
        <w:pStyle w:val="TextBody"/>
        <w:bidi w:val="0"/>
        <w:spacing w:before="120" w:after="283"/>
        <w:jc w:val="left"/>
        <w:rPr>
          <w:rFonts w:ascii="Times New Roman" w:hAnsi="Times New Roman"/>
          <w:sz w:val="20"/>
        </w:rPr>
      </w:pPr>
      <w:r>
        <w:rPr>
          <w:rFonts w:ascii="Arial" w:hAnsi="Arial"/>
          <w:color w:val="000000"/>
          <w:sz w:val="20"/>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GAAP.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 xml:space="preserve">Management has evaluated the effectiveness of our internal control over financial reporting as of December 31, 2025 using the criteria set forth in </w:t>
      </w:r>
      <w:r>
        <w:rPr>
          <w:rFonts w:ascii="Arial" w:hAnsi="Arial"/>
          <w:i/>
          <w:color w:val="000000"/>
          <w:sz w:val="20"/>
        </w:rPr>
        <w:t>Internal Control — Integrated Framework (2013)</w:t>
      </w:r>
      <w:r>
        <w:rPr>
          <w:rFonts w:ascii="Times New Roman" w:hAnsi="Times New Roman"/>
          <w:color w:val="000000"/>
          <w:sz w:val="20"/>
        </w:rPr>
        <w:t xml:space="preserve"> </w:t>
      </w:r>
      <w:r>
        <w:rPr>
          <w:rFonts w:ascii="Arial" w:hAnsi="Arial"/>
          <w:color w:val="000000"/>
          <w:sz w:val="20"/>
        </w:rPr>
        <w:t>issued by the Committee of Sponsoring Organizations of the Treadway Commission. Based on its evaluation, management has concluded that as of December 31, 2025, our internal control over financial reporting was not effective due to material weaknesses in internal control over financial reporting, as described below.</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0"/>
        </w:rPr>
        <w:t>During the course of preparing for our March 2022 IPO, we identified material weaknesses in our internal control over financial reporting. A material weakness is a deficiency, or a combination of deficiencies, in internal control over financial reporting such that there is a reasonable possibility that a material misstatement of its annual or interim financial statements will not be prevented or detected on a timely basis.</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material weaknesses identified were as follows, and continue to exist as of December 31,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pStyle w:val="TextBody"/>
        <w:bidi w:val="0"/>
        <w:spacing w:before="240" w:after="283"/>
        <w:jc w:val="left"/>
        <w:rPr>
          <w:rFonts w:ascii="Arial" w:hAnsi="Arial"/>
          <w:color w:val="000000"/>
          <w:sz w:val="20"/>
        </w:rPr>
      </w:pPr>
      <w:r>
        <w:rPr>
          <w:rFonts w:ascii="Arial" w:hAnsi="Arial"/>
          <w:color w:val="000000"/>
          <w:sz w:val="20"/>
        </w:rPr>
        <w:t>The above material weaknesses resulted in adjustments to accrued expenses balances, which were recorded prior to the issuance of the financial statements, as of and for the years ended December 31, 2019 and 2020. Additionally, these material weaknesses could result in a misstatement of substantially all of our accounts or disclosures that would result in a material misstatement to the annual or interim financial statements that would not be prevented or detected.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240" w:after="283"/>
        <w:jc w:val="left"/>
        <w:rPr>
          <w:rFonts w:ascii="Arial" w:hAnsi="Arial"/>
          <w:color w:val="000000"/>
          <w:sz w:val="20"/>
        </w:rPr>
      </w:pPr>
      <w:r>
        <w:rPr>
          <w:rFonts w:ascii="Arial" w:hAnsi="Arial"/>
          <w:color w:val="000000"/>
          <w:sz w:val="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pStyle w:val="TextBody"/>
        <w:bidi w:val="0"/>
        <w:spacing w:before="360" w:after="283"/>
        <w:jc w:val="left"/>
        <w:rPr>
          <w:rFonts w:ascii="Arial" w:hAnsi="Arial"/>
          <w:i/>
          <w:color w:val="000000"/>
          <w:sz w:val="20"/>
        </w:rPr>
      </w:pPr>
      <w:r>
        <w:rPr>
          <w:rFonts w:ascii="Arial" w:hAnsi="Arial"/>
          <w:i/>
          <w:color w:val="000000"/>
          <w:sz w:val="20"/>
        </w:rPr>
        <w:t>Attestation Report of Independent Registered Public Accounting Firm</w:t>
      </w:r>
    </w:p>
    <w:p>
      <w:pPr>
        <w:pStyle w:val="TextBody"/>
        <w:bidi w:val="0"/>
        <w:spacing w:before="120" w:after="283"/>
        <w:jc w:val="left"/>
        <w:rPr>
          <w:rFonts w:ascii="Arial" w:hAnsi="Arial"/>
          <w:color w:val="000000"/>
          <w:sz w:val="20"/>
        </w:rPr>
      </w:pPr>
      <w:r>
        <w:rPr>
          <w:rFonts w:ascii="Arial" w:hAnsi="Arial"/>
          <w:color w:val="000000"/>
          <w:sz w:val="20"/>
        </w:rPr>
        <w:t>This Annual Report on Form 10-K does not include an attestation report from our independent registered public accounting firm on our internal control over financial reporting due to an exemption established by the JOBS Act for EGCs.</w:t>
      </w:r>
    </w:p>
    <w:p>
      <w:pPr>
        <w:pStyle w:val="TextBody"/>
        <w:bidi w:val="0"/>
        <w:spacing w:before="360" w:after="283"/>
        <w:jc w:val="left"/>
        <w:rPr>
          <w:rFonts w:ascii="Arial" w:hAnsi="Arial"/>
          <w:b/>
          <w:color w:val="000000"/>
          <w:sz w:val="20"/>
        </w:rPr>
      </w:pPr>
      <w:r>
        <w:rPr>
          <w:rFonts w:ascii="Arial" w:hAnsi="Arial"/>
          <w:b/>
          <w:color w:val="000000"/>
          <w:sz w:val="20"/>
        </w:rPr>
        <w:t>Remediation of Prior Material Weakness</w:t>
      </w:r>
    </w:p>
    <w:p>
      <w:pPr>
        <w:pStyle w:val="TextBody"/>
        <w:bidi w:val="0"/>
        <w:spacing w:before="120" w:after="283"/>
        <w:jc w:val="left"/>
        <w:rPr>
          <w:rFonts w:ascii="Arial" w:hAnsi="Arial"/>
          <w:color w:val="000000"/>
          <w:sz w:val="20"/>
        </w:rPr>
      </w:pPr>
      <w:r>
        <w:rPr>
          <w:rFonts w:ascii="Arial" w:hAnsi="Arial"/>
          <w:color w:val="000000"/>
          <w:sz w:val="20"/>
        </w:rPr>
        <w:t>Management previously identified a material weakness in the design and operating effectiveness of controls related to the accounting for certain non-routine or complex transactions, including the proper application of U.S. GAAP to such transactions. As of September 30, 2023, we finalized the design and were validating the effectiveness of controls to account for and disclose complex transactions. As of December 31, 2023, we validated the effectiveness of controls to account for and disclose complex transactions. The applicable controls have been in operation for a sufficient period of time, and management has concluded, through testing, that these controls are operating effectively. Accordingly, the material weakness associated with the accounting for certain non-routine or complex transactions, including the proper application of U.S. GAAP, was remediated as of December 31, 2023.</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i/>
          <w:color w:val="000000"/>
          <w:sz w:val="20"/>
        </w:rPr>
      </w:pPr>
      <w:r>
        <w:rPr>
          <w:rFonts w:ascii="Arial" w:hAnsi="Arial"/>
          <w:i/>
          <w:color w:val="000000"/>
          <w:sz w:val="20"/>
        </w:rPr>
        <w:t>Remediation Plan for Remaining Material Weaknesses</w:t>
      </w:r>
    </w:p>
    <w:p>
      <w:pPr>
        <w:pStyle w:val="TextBody"/>
        <w:bidi w:val="0"/>
        <w:spacing w:before="120" w:after="283"/>
        <w:jc w:val="left"/>
        <w:rPr>
          <w:rFonts w:ascii="Times New Roman" w:hAnsi="Times New Roman"/>
          <w:sz w:val="20"/>
        </w:rPr>
      </w:pPr>
      <w:r>
        <w:rPr>
          <w:rFonts w:ascii="Arial" w:hAnsi="Arial"/>
          <w:color w:val="000000"/>
          <w:sz w:val="20"/>
        </w:rPr>
        <w:t>The Company is committed to remediating the material weaknesses in our internal control over financial reporting. We have implemented measures designed to improve our internal control over financial reporting to remediate these material weaknesses, and are refining the design and validating the effectiveness of these controls, including (i) ongoing hiring of additional accounting personnel; (ii) designing and implementing internal controls in our financial control environment, including establishing formal accounting policies and procedures and financial reporting controls; and (iii) implementing an accounting system upgrade with IT controls to ensure appropriate and restricted access to our accounting applications, programs, and data, including upgrading of our accounting system.</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Other than the material weakness associated with the accounting for certain non-routine or complex transactions, including the proper application of U.S. GAAP, which has been remediated, the remaining material weaknesses will not be considered remediated until the design requirements described above have been finalized, and the applicable controls have operated for a sufficient period of time and management has concluded, through testing, that these controls are operating effectively. Accordingly, the material weaknesses related to lack of sufficient resources, insufficient segregation of duties, lack of designing and maintaining formal accounting policies, procedures and controls and lack of designing and maintaining effective controls over IT, were not remediated as of December 31, 2025.</w:t>
      </w:r>
    </w:p>
    <w:p>
      <w:pPr>
        <w:pStyle w:val="TextBody"/>
        <w:bidi w:val="0"/>
        <w:spacing w:before="360" w:after="283"/>
        <w:jc w:val="left"/>
        <w:rPr>
          <w:rFonts w:ascii="Arial" w:hAnsi="Arial"/>
          <w:i/>
          <w:color w:val="000000"/>
          <w:sz w:val="20"/>
        </w:rPr>
      </w:pPr>
      <w:r>
        <w:rPr>
          <w:rFonts w:ascii="Arial" w:hAnsi="Arial"/>
          <w:i/>
          <w:color w:val="000000"/>
          <w:sz w:val="20"/>
        </w:rPr>
        <w:t>Limitations on the Effectiveness of Controls</w:t>
      </w:r>
    </w:p>
    <w:p>
      <w:pPr>
        <w:pStyle w:val="TextBody"/>
        <w:bidi w:val="0"/>
        <w:spacing w:before="120" w:after="283"/>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36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during the year ended December 31, 2025 that materially affected, or are reasonably likely to materially affect, our internal control over financial reporting.</w:t>
      </w:r>
    </w:p>
    <w:p>
      <w:pPr>
        <w:pStyle w:val="TextBody"/>
        <w:bidi w:val="0"/>
        <w:spacing w:before="360" w:after="283"/>
        <w:jc w:val="left"/>
        <w:rPr>
          <w:rFonts w:ascii="Times New Roman" w:hAnsi="Times New Roman"/>
          <w:sz w:val="20"/>
        </w:rPr>
      </w:pPr>
      <w:bookmarkStart w:id="17" w:name="item9b"/>
      <w:bookmarkEnd w:id="17"/>
      <w:r>
        <w:rPr>
          <w:rFonts w:ascii="Arial" w:hAnsi="Arial"/>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During the fourth quarter of 2025, none of our directors or officers (as defined in Section 16 of the Securities Exchange Act of 1934, as amended)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any contract, instruction or written plan for the purchase or sale of our securities that was intended to satisfy the affirmative defense conditions of Rule 10b5-1(c) or any “non-Rule 10b5-1 trading arrangement,” as defined in Item 408(a) of Regulation S-K.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8" w:name="disclosure_regarding_foreign"/>
      <w:bookmarkEnd w:id="18"/>
      <w:r>
        <w:rPr>
          <w:rFonts w:ascii="Arial" w:hAnsi="Arial"/>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part_iii"/>
      <w:bookmarkEnd w:id="19"/>
      <w:r>
        <w:rPr>
          <w:rFonts w:ascii="Arial" w:hAnsi="Arial"/>
          <w:b/>
          <w:color w:val="000000"/>
          <w:sz w:val="20"/>
        </w:rPr>
        <w:t>PA</w:t>
      </w:r>
      <w:bookmarkStart w:id="20" w:name="part_ii"/>
      <w:bookmarkEnd w:id="20"/>
      <w:r>
        <w:rPr>
          <w:rFonts w:ascii="Arial" w:hAnsi="Arial"/>
          <w:b/>
          <w:color w:val="000000"/>
          <w:sz w:val="20"/>
        </w:rPr>
        <w:t>RT III</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1" w:name="item10"/>
      <w:bookmarkEnd w:id="21"/>
      <w:r>
        <w:rPr>
          <w:rFonts w:ascii="Arial" w:hAnsi="Arial"/>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information required by this item is incorporated by reference to the Proxy Statement to be filed with the SEC within 120 days after the end of our fiscal year ended December 31, 2025.</w:t>
      </w:r>
    </w:p>
    <w:p>
      <w:pPr>
        <w:pStyle w:val="TextBody"/>
        <w:bidi w:val="0"/>
        <w:spacing w:before="240" w:after="283"/>
        <w:jc w:val="left"/>
        <w:rPr>
          <w:rFonts w:ascii="Times New Roman" w:hAnsi="Times New Roman"/>
          <w:sz w:val="20"/>
        </w:rPr>
      </w:pPr>
      <w:r>
        <w:rPr>
          <w:rFonts w:ascii="Arial" w:hAnsi="Arial"/>
          <w:color w:val="000000"/>
          <w:sz w:val="20"/>
        </w:rPr>
        <w:t>We have adopted</w:t>
      </w:r>
      <w:r>
        <w:rPr>
          <w:rFonts w:ascii="Times New Roman" w:hAnsi="Times New Roman"/>
          <w:color w:val="000000"/>
          <w:sz w:val="20"/>
        </w:rPr>
        <w:t xml:space="preserve"> </w:t>
      </w:r>
      <w:r>
        <w:rPr>
          <w:rFonts w:ascii="Arial" w:hAnsi="Arial"/>
          <w:color w:val="000000"/>
          <w:sz w:val="20"/>
        </w:rPr>
        <w:t>insider trading policies and procedures governing the purchase, sale and other dispositions of our securities by directors, officers and employees that are designed to promote compliance with insider trading laws, rules and regulations, and applicable Nasdaq listing standards, as well as procedures designed to further the foregoing purposes. A copy of our insider trading policy is filed with this Annual Report on Form 10-K as Exhibit 19.1.</w:t>
      </w:r>
    </w:p>
    <w:p>
      <w:pPr>
        <w:pStyle w:val="TextBody"/>
        <w:bidi w:val="0"/>
        <w:spacing w:before="360" w:after="283"/>
        <w:jc w:val="left"/>
        <w:rPr>
          <w:rFonts w:ascii="Times New Roman" w:hAnsi="Times New Roman"/>
          <w:sz w:val="20"/>
        </w:rPr>
      </w:pPr>
      <w:bookmarkStart w:id="22" w:name="item11"/>
      <w:bookmarkEnd w:id="22"/>
      <w:r>
        <w:rPr>
          <w:rFonts w:ascii="Arial" w:hAnsi="Arial"/>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information required by this item is incorporated by reference to the Proxy Statement to be filed with the SEC within 120 days after the end of our fiscal year ended December 31, 2025.</w:t>
      </w:r>
    </w:p>
    <w:p>
      <w:pPr>
        <w:pStyle w:val="TextBody"/>
        <w:bidi w:val="0"/>
        <w:spacing w:before="360" w:after="283"/>
        <w:jc w:val="left"/>
        <w:rPr>
          <w:rFonts w:ascii="Arial" w:hAnsi="Arial"/>
          <w:b/>
          <w:color w:val="000000"/>
          <w:sz w:val="20"/>
        </w:rPr>
      </w:pPr>
      <w:bookmarkStart w:id="23" w:name="item12"/>
      <w:bookmarkEnd w:id="23"/>
      <w:r>
        <w:rPr>
          <w:rFonts w:ascii="Arial" w:hAnsi="Arial"/>
          <w:b/>
          <w:color w:val="000000"/>
          <w:sz w:val="20"/>
        </w:rPr>
        <w:t>Item 12. Security Ownership of Certain Beneficial Owners and Management and Related Stockholder Matters.</w:t>
      </w:r>
    </w:p>
    <w:p>
      <w:pPr>
        <w:pStyle w:val="TextBody"/>
        <w:bidi w:val="0"/>
        <w:spacing w:before="120" w:after="283"/>
        <w:jc w:val="left"/>
        <w:rPr>
          <w:rFonts w:ascii="Arial" w:hAnsi="Arial"/>
          <w:color w:val="000000"/>
          <w:sz w:val="20"/>
        </w:rPr>
      </w:pPr>
      <w:r>
        <w:rPr>
          <w:rFonts w:ascii="Arial" w:hAnsi="Arial"/>
          <w:color w:val="000000"/>
          <w:sz w:val="20"/>
        </w:rPr>
        <w:t>The information required by this item is incorporated by reference to the Proxy Statement to be filed with the SEC within 120 days after the end of our fiscal year ended December 31, 2025.</w:t>
      </w:r>
    </w:p>
    <w:p>
      <w:pPr>
        <w:pStyle w:val="TextBody"/>
        <w:bidi w:val="0"/>
        <w:spacing w:before="360" w:after="283"/>
        <w:jc w:val="left"/>
        <w:rPr>
          <w:rFonts w:ascii="Arial" w:hAnsi="Arial"/>
          <w:b/>
          <w:color w:val="000000"/>
          <w:sz w:val="20"/>
        </w:rPr>
      </w:pPr>
      <w:bookmarkStart w:id="24" w:name="item13"/>
      <w:bookmarkEnd w:id="24"/>
      <w:r>
        <w:rPr>
          <w:rFonts w:ascii="Arial" w:hAnsi="Arial"/>
          <w:b/>
          <w:color w:val="000000"/>
          <w:sz w:val="20"/>
        </w:rPr>
        <w:t>Item 13. Certain Relationships and Related Transactions, and Director Independence.</w:t>
      </w:r>
    </w:p>
    <w:p>
      <w:pPr>
        <w:pStyle w:val="TextBody"/>
        <w:bidi w:val="0"/>
        <w:spacing w:before="120" w:after="283"/>
        <w:jc w:val="left"/>
        <w:rPr>
          <w:rFonts w:ascii="Arial" w:hAnsi="Arial"/>
          <w:color w:val="000000"/>
          <w:sz w:val="20"/>
        </w:rPr>
      </w:pPr>
      <w:r>
        <w:rPr>
          <w:rFonts w:ascii="Arial" w:hAnsi="Arial"/>
          <w:color w:val="000000"/>
          <w:sz w:val="20"/>
        </w:rPr>
        <w:t>The information required by this item is incorporated by reference to the Proxy Statement to be filed with the SEC within 120 days after the end of our fiscal year ended December 31, 2025.</w:t>
      </w:r>
    </w:p>
    <w:p>
      <w:pPr>
        <w:pStyle w:val="TextBody"/>
        <w:bidi w:val="0"/>
        <w:spacing w:before="360" w:after="283"/>
        <w:jc w:val="left"/>
        <w:rPr>
          <w:rFonts w:ascii="Arial" w:hAnsi="Arial"/>
          <w:b/>
          <w:color w:val="000000"/>
          <w:sz w:val="20"/>
        </w:rPr>
      </w:pPr>
      <w:bookmarkStart w:id="25" w:name="item14"/>
      <w:bookmarkEnd w:id="25"/>
      <w:r>
        <w:rPr>
          <w:rFonts w:ascii="Arial" w:hAnsi="Arial"/>
          <w:b/>
          <w:color w:val="000000"/>
          <w:sz w:val="20"/>
        </w:rPr>
        <w:t>Item 14. Principal Accounting Fees and Services.</w:t>
      </w:r>
    </w:p>
    <w:p>
      <w:pPr>
        <w:pStyle w:val="TextBody"/>
        <w:bidi w:val="0"/>
        <w:spacing w:before="120" w:after="283"/>
        <w:jc w:val="left"/>
        <w:rPr>
          <w:rFonts w:ascii="Arial" w:hAnsi="Arial"/>
          <w:color w:val="000000"/>
          <w:sz w:val="20"/>
        </w:rPr>
      </w:pPr>
      <w:r>
        <w:rPr>
          <w:rFonts w:ascii="Arial" w:hAnsi="Arial"/>
          <w:color w:val="000000"/>
          <w:sz w:val="20"/>
        </w:rPr>
        <w:t>The information required by this item is incorporated by reference to the Proxy Statement to be filed with the SEC within 120 days after the end of our fiscal year ended December 31, 2025.</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part_iv"/>
      <w:bookmarkEnd w:id="26"/>
      <w:r>
        <w:rPr>
          <w:rFonts w:ascii="Arial" w:hAnsi="Arial"/>
          <w:b/>
          <w:color w:val="000000"/>
          <w:sz w:val="20"/>
        </w:rPr>
        <w:t>PART IV</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27" w:name="item15"/>
      <w:bookmarkEnd w:id="27"/>
      <w:r>
        <w:rPr>
          <w:rFonts w:ascii="Arial" w:hAnsi="Arial"/>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The following documents are filed as a part of this Annual Report:</w:t>
      </w:r>
    </w:p>
    <w:p>
      <w:pPr>
        <w:pStyle w:val="TextBody"/>
        <w:bidi w:val="0"/>
        <w:spacing w:before="120" w:after="120"/>
        <w:jc w:val="left"/>
        <w:rPr>
          <w:rFonts w:ascii="Arial" w:hAnsi="Arial"/>
          <w:i/>
          <w:color w:val="000000"/>
          <w:sz w:val="20"/>
        </w:rPr>
      </w:pPr>
      <w:r>
        <w:rPr>
          <w:rFonts w:ascii="Arial" w:hAnsi="Arial"/>
          <w:i/>
          <w:color w:val="000000"/>
          <w:sz w:val="20"/>
        </w:rPr>
        <w:t>(1)</w:t>
      </w:r>
    </w:p>
    <w:p>
      <w:pPr>
        <w:pStyle w:val="TextBody"/>
        <w:bidi w:val="0"/>
        <w:spacing w:before="120" w:after="120"/>
        <w:jc w:val="left"/>
        <w:rPr>
          <w:rFonts w:ascii="Arial" w:hAnsi="Arial"/>
          <w:i/>
          <w:color w:val="000000"/>
          <w:sz w:val="20"/>
        </w:rPr>
      </w:pPr>
      <w:r>
        <w:rPr>
          <w:rFonts w:ascii="Arial" w:hAnsi="Arial"/>
          <w:i/>
          <w:color w:val="000000"/>
          <w:sz w:val="20"/>
        </w:rPr>
        <w:t>Financial Statements:</w:t>
      </w:r>
    </w:p>
    <w:tbl>
      <w:tblPr>
        <w:tblW w:w="9407" w:type="dxa"/>
        <w:jc w:val="left"/>
        <w:tblInd w:w="0" w:type="dxa"/>
        <w:tblLayout w:type="fixed"/>
        <w:tblCellMar>
          <w:top w:w="28" w:type="dxa"/>
          <w:left w:w="28" w:type="dxa"/>
          <w:bottom w:w="28" w:type="dxa"/>
          <w:right w:w="28" w:type="dxa"/>
        </w:tblCellMar>
      </w:tblPr>
      <w:tblGrid>
        <w:gridCol w:w="8971"/>
        <w:gridCol w:w="436"/>
      </w:tblGrid>
      <w:tr>
        <w:trPr/>
        <w:tc>
          <w:tcPr>
            <w:tcW w:w="89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8971" w:type="dxa"/>
            <w:tcBorders/>
            <w:tcMar>
              <w:top w:w="0" w:type="dxa"/>
              <w:left w:w="0" w:type="dxa"/>
              <w:bottom w:w="0" w:type="dxa"/>
              <w:right w:w="0" w:type="dxa"/>
            </w:tcMar>
            <w:vAlign w:val="center"/>
          </w:tcPr>
          <w:p>
            <w:pPr>
              <w:pStyle w:val="TableContents"/>
              <w:bidi w:val="0"/>
              <w:spacing w:before="0" w:after="283"/>
              <w:jc w:val="left"/>
              <w:rPr/>
            </w:pPr>
            <w:hyperlink w:anchor="auditor_report">
              <w:r>
                <w:rPr>
                  <w:rStyle w:val="InternetLink"/>
                  <w:rFonts w:ascii="Arial" w:hAnsi="Arial"/>
                  <w:color w:val="0000FF"/>
                  <w:sz w:val="20"/>
                  <w:u w:val="single"/>
                </w:rPr>
                <w:t>Report of Independent Registered Public Accounting Firm</w:t>
              </w:r>
            </w:hyperlink>
            <w:r>
              <w:rPr>
                <w:rFonts w:ascii="Times New Roman" w:hAnsi="Times New Roman"/>
                <w:color w:val="000000"/>
                <w:sz w:val="20"/>
              </w:rPr>
              <w:t> </w:t>
            </w:r>
            <w:r>
              <w:rPr>
                <w:rFonts w:ascii="Arial" w:hAnsi="Arial"/>
                <w:color w:val="000000"/>
                <w:sz w:val="20"/>
              </w:rPr>
              <w:t>(PCAOB ID: 238)</w:t>
            </w:r>
          </w:p>
        </w:tc>
        <w:tc>
          <w:tcPr>
            <w:tcW w:w="4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F-2</w:t>
            </w:r>
          </w:p>
        </w:tc>
      </w:tr>
      <w:tr>
        <w:trPr/>
        <w:tc>
          <w:tcPr>
            <w:tcW w:w="8971"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Arial" w:hAnsi="Arial"/>
                  <w:color w:val="0000FF"/>
                  <w:sz w:val="20"/>
                  <w:u w:val="single"/>
                </w:rPr>
                <w:t>Balance Sheets as of December 31, 2025 and 2024</w:t>
              </w:r>
            </w:hyperlink>
          </w:p>
        </w:tc>
        <w:tc>
          <w:tcPr>
            <w:tcW w:w="4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F-3</w:t>
            </w:r>
          </w:p>
        </w:tc>
      </w:tr>
      <w:tr>
        <w:trPr/>
        <w:tc>
          <w:tcPr>
            <w:tcW w:w="8971" w:type="dxa"/>
            <w:tcBorders/>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Arial" w:hAnsi="Arial"/>
                  <w:color w:val="0000FF"/>
                  <w:sz w:val="20"/>
                  <w:u w:val="single"/>
                </w:rPr>
                <w:t>Statements of Operations and Comprehensive Loss for the years ended December 31, 2025 and 2024</w:t>
              </w:r>
            </w:hyperlink>
          </w:p>
        </w:tc>
        <w:tc>
          <w:tcPr>
            <w:tcW w:w="4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F-4</w:t>
            </w:r>
          </w:p>
        </w:tc>
      </w:tr>
      <w:tr>
        <w:trPr/>
        <w:tc>
          <w:tcPr>
            <w:tcW w:w="8971"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Arial" w:hAnsi="Arial"/>
                  <w:color w:val="0000FF"/>
                  <w:sz w:val="20"/>
                  <w:u w:val="single"/>
                </w:rPr>
                <w:t>Statements of Stockholders’ Equity for the years ended December 31, 2025 and 2024</w:t>
              </w:r>
            </w:hyperlink>
          </w:p>
        </w:tc>
        <w:tc>
          <w:tcPr>
            <w:tcW w:w="4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F-5</w:t>
            </w:r>
          </w:p>
        </w:tc>
      </w:tr>
      <w:tr>
        <w:trPr/>
        <w:tc>
          <w:tcPr>
            <w:tcW w:w="8971"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Arial" w:hAnsi="Arial"/>
                  <w:color w:val="0000FF"/>
                  <w:sz w:val="20"/>
                  <w:u w:val="single"/>
                </w:rPr>
                <w:t>Statements of Cash Flows for the years ended December 31, 2025 and 2024</w:t>
              </w:r>
            </w:hyperlink>
          </w:p>
        </w:tc>
        <w:tc>
          <w:tcPr>
            <w:tcW w:w="4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F-6</w:t>
            </w:r>
          </w:p>
        </w:tc>
      </w:tr>
      <w:tr>
        <w:trPr/>
        <w:tc>
          <w:tcPr>
            <w:tcW w:w="8971" w:type="dxa"/>
            <w:tcBorders/>
            <w:tcMar>
              <w:top w:w="0" w:type="dxa"/>
              <w:left w:w="0" w:type="dxa"/>
              <w:bottom w:w="0" w:type="dxa"/>
              <w:right w:w="0" w:type="dxa"/>
            </w:tcMar>
            <w:vAlign w:val="center"/>
          </w:tcPr>
          <w:p>
            <w:pPr>
              <w:pStyle w:val="TableContents"/>
              <w:bidi w:val="0"/>
              <w:spacing w:before="0" w:after="283"/>
              <w:jc w:val="left"/>
              <w:rPr/>
            </w:pPr>
            <w:hyperlink w:anchor="notes_to_consolidated">
              <w:r>
                <w:rPr>
                  <w:rStyle w:val="InternetLink"/>
                  <w:rFonts w:ascii="Arial" w:hAnsi="Arial"/>
                  <w:color w:val="0000FF"/>
                  <w:sz w:val="20"/>
                  <w:u w:val="single"/>
                </w:rPr>
                <w:t>Notes to the Financial Statements</w:t>
              </w:r>
            </w:hyperlink>
          </w:p>
        </w:tc>
        <w:tc>
          <w:tcPr>
            <w:tcW w:w="4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F-7</w:t>
            </w:r>
          </w:p>
        </w:tc>
      </w:tr>
    </w:tbl>
    <w:p>
      <w:pPr>
        <w:pStyle w:val="TextBody"/>
        <w:bidi w:val="0"/>
        <w:jc w:val="left"/>
        <w:rPr/>
      </w:pPr>
      <w:r>
        <w:rPr/>
        <w:t> </w:t>
      </w:r>
    </w:p>
    <w:p>
      <w:pPr>
        <w:pStyle w:val="TextBody"/>
        <w:bidi w:val="0"/>
        <w:spacing w:before="0" w:after="0"/>
        <w:jc w:val="left"/>
        <w:rPr>
          <w:rFonts w:ascii="Arial" w:hAnsi="Arial"/>
          <w:i/>
          <w:color w:val="000000"/>
          <w:sz w:val="20"/>
        </w:rPr>
      </w:pPr>
      <w:r>
        <w:rPr>
          <w:rFonts w:ascii="Arial" w:hAnsi="Arial"/>
          <w:i/>
          <w:color w:val="000000"/>
          <w:sz w:val="20"/>
        </w:rPr>
        <w:t>(2)</w:t>
      </w:r>
    </w:p>
    <w:p>
      <w:pPr>
        <w:pStyle w:val="TextBody"/>
        <w:bidi w:val="0"/>
        <w:jc w:val="left"/>
        <w:rPr>
          <w:rFonts w:ascii="Arial" w:hAnsi="Arial"/>
          <w:i/>
          <w:color w:val="000000"/>
          <w:sz w:val="20"/>
        </w:rPr>
      </w:pPr>
      <w:r>
        <w:rPr>
          <w:rFonts w:ascii="Arial" w:hAnsi="Arial"/>
          <w:i/>
          <w:color w:val="000000"/>
          <w:sz w:val="20"/>
        </w:rPr>
        <w:t>Financial Statement Schedules:</w:t>
      </w:r>
    </w:p>
    <w:p>
      <w:pPr>
        <w:pStyle w:val="TextBody"/>
        <w:bidi w:val="0"/>
        <w:spacing w:before="120" w:after="283"/>
        <w:jc w:val="left"/>
        <w:rPr>
          <w:rFonts w:ascii="Arial" w:hAnsi="Arial"/>
          <w:color w:val="000000"/>
          <w:sz w:val="20"/>
        </w:rPr>
      </w:pPr>
      <w:r>
        <w:rPr>
          <w:rFonts w:ascii="Arial" w:hAnsi="Arial"/>
          <w:color w:val="000000"/>
          <w:sz w:val="20"/>
        </w:rPr>
        <w:t>All financial statement schedules have been omitted because they are not applicable, not required or the information required is shown in the financial statements or the notes thereto.</w:t>
      </w:r>
    </w:p>
    <w:p>
      <w:pPr>
        <w:pStyle w:val="TextBody"/>
        <w:bidi w:val="0"/>
        <w:spacing w:before="240" w:after="283"/>
        <w:jc w:val="left"/>
        <w:rPr>
          <w:rFonts w:ascii="Arial" w:hAnsi="Arial"/>
          <w:i/>
          <w:color w:val="000000"/>
          <w:sz w:val="20"/>
        </w:rPr>
      </w:pPr>
      <w:r>
        <w:rPr>
          <w:rFonts w:ascii="Arial" w:hAnsi="Arial"/>
          <w:i/>
          <w:color w:val="000000"/>
          <w:sz w:val="20"/>
        </w:rPr>
        <w:t>(3)</w:t>
      </w:r>
    </w:p>
    <w:p>
      <w:pPr>
        <w:pStyle w:val="TextBody"/>
        <w:bidi w:val="0"/>
        <w:spacing w:before="240" w:after="283"/>
        <w:jc w:val="left"/>
        <w:rPr>
          <w:rFonts w:ascii="Arial" w:hAnsi="Arial"/>
          <w:i/>
          <w:color w:val="000000"/>
          <w:sz w:val="20"/>
        </w:rPr>
      </w:pPr>
      <w:r>
        <w:rPr>
          <w:rFonts w:ascii="Arial" w:hAnsi="Arial"/>
          <w:i/>
          <w:color w:val="000000"/>
          <w:sz w:val="20"/>
        </w:rPr>
        <w:t>Exhibits:</w:t>
      </w:r>
    </w:p>
    <w:p>
      <w:pPr>
        <w:pStyle w:val="TextBody"/>
        <w:bidi w:val="0"/>
        <w:spacing w:before="120" w:after="283"/>
        <w:jc w:val="left"/>
        <w:rPr>
          <w:rFonts w:ascii="Times New Roman" w:hAnsi="Times New Roman"/>
          <w:sz w:val="20"/>
        </w:rPr>
      </w:pPr>
      <w:r>
        <w:rPr>
          <w:rFonts w:ascii="Arial" w:hAnsi="Arial"/>
          <w:color w:val="000000"/>
          <w:sz w:val="20"/>
        </w:rPr>
        <w:t>The list of exhibits filed with this Annual Report on Form 10-K is set forth in the Exhibit Index preceding the signature page and is incorporated herein by reference or filed with this Annual Report, in each case as indicated therein (numbered in accordance with Item 601 of Regulation S-K).</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bookmarkStart w:id="28" w:name="item16"/>
      <w:bookmarkEnd w:id="28"/>
      <w:r>
        <w:rPr>
          <w:rFonts w:ascii="Arial" w:hAnsi="Arial"/>
          <w:b/>
          <w:color w:val="000000"/>
          <w:sz w:val="20"/>
        </w:rPr>
        <w:t>Item 16. Form 10-K Summary.</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Arial" w:hAnsi="Arial"/>
          <w:b/>
          <w:color w:val="000000"/>
          <w:sz w:val="20"/>
        </w:rPr>
      </w:pPr>
      <w:r>
        <w:rPr>
          <w:rFonts w:ascii="Arial" w:hAnsi="Arial"/>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56"/>
        <w:gridCol w:w="146"/>
        <w:gridCol w:w="5468"/>
        <w:gridCol w:w="146"/>
        <w:gridCol w:w="601"/>
        <w:gridCol w:w="146"/>
        <w:gridCol w:w="825"/>
        <w:gridCol w:w="146"/>
        <w:gridCol w:w="766"/>
        <w:gridCol w:w="146"/>
        <w:gridCol w:w="959"/>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5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Exhibit</w:t>
            </w:r>
          </w:p>
          <w:p>
            <w:pPr>
              <w:pStyle w:val="TableContents"/>
              <w:bidi w:val="0"/>
              <w:spacing w:before="0" w:after="283"/>
              <w:jc w:val="center"/>
              <w:rPr>
                <w:rFonts w:ascii="Arial" w:hAnsi="Arial"/>
                <w:b/>
                <w:color w:val="000000"/>
                <w:sz w:val="20"/>
              </w:rPr>
            </w:pPr>
            <w:r>
              <w:rPr>
                <w:rFonts w:ascii="Arial" w:hAnsi="Arial"/>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 Date</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cs="Arial"/>
                  <w:color w:val="0000FF"/>
                  <w:szCs w:val="20"/>
                  <w:u w:val="single"/>
                </w:rPr>
                <w:t>﻿</w:t>
              </w:r>
            </w:hyperlink>
            <w:hyperlink r:id="rId4">
              <w:r>
                <w:rPr>
                  <w:rStyle w:val="InternetLink"/>
                  <w:rFonts w:ascii="Arial" w:hAnsi="Arial"/>
                  <w:color w:val="0000FF"/>
                  <w:sz w:val="20"/>
                  <w:u w:val="single"/>
                </w:rPr>
                <w:t>Amended and Restated Certificate of Incorporation</w:t>
              </w:r>
            </w:hyperlink>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24 2025</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tcBorders/>
            <w:tcMar>
              <w:top w:w="0" w:type="dxa"/>
              <w:left w:w="0" w:type="dxa"/>
              <w:bottom w:w="0" w:type="dxa"/>
              <w:right w:w="0" w:type="dxa"/>
            </w:tcMar>
            <w:vAlign w:val="center"/>
          </w:tcPr>
          <w:p>
            <w:pPr>
              <w:pStyle w:val="TableContents"/>
              <w:bidi w:val="0"/>
              <w:spacing w:before="0" w:after="283"/>
              <w:jc w:val="left"/>
              <w:rPr/>
            </w:pPr>
            <w:r>
              <w:rPr>
                <w:rFonts w:cs="Arial"/>
                <w:color w:val="000000"/>
                <w:szCs w:val="20"/>
              </w:rPr>
              <w:t>﻿</w:t>
            </w:r>
            <w:hyperlink r:id="rId5">
              <w:r>
                <w:rPr>
                  <w:rStyle w:val="InternetLink"/>
                  <w:rFonts w:ascii="Arial" w:hAnsi="Arial"/>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Certificate of Designations of Series A Junior Participating Preferred Stock of AN2 Therapeutics, Inc. filed with the Secretary of State of the State of Delaware on August 15,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19, 2024</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21,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Amended and Restated Investors’ Rights Agreement, by and among the Registrant and certain of its stockholders, dated March 5, 2021.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w:anchor="antx-ex4_3.htm">
              <w:r>
                <w:rPr>
                  <w:rStyle w:val="InternetLink"/>
                  <w:rFonts w:ascii="Arial" w:hAnsi="Arial"/>
                  <w:color w:val="0000FF"/>
                  <w:sz w:val="20"/>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20, 2025</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0000FF"/>
                  <w:sz w:val="20"/>
                  <w:u w:val="single"/>
                </w:rPr>
                <w:t>Form of 2026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10, 2026</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FF"/>
                  <w:sz w:val="20"/>
                  <w:u w:val="single"/>
                </w:rPr>
                <w:t>AN2 Therapeutics, Inc. 2017 Equity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FF"/>
                  <w:sz w:val="20"/>
                  <w:u w:val="single"/>
                </w:rPr>
                <w:t>Forms of Stock Option Grant Notice, Stock Option Agreement and Notice of Exercise and Early Exercise Stock Purchase Agreement under the AN2 Therapeutics, Inc. 2017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Arial" w:hAnsi="Arial"/>
                  <w:color w:val="0000FF"/>
                  <w:sz w:val="20"/>
                  <w:u w:val="single"/>
                </w:rPr>
                <w:t>AN2 Therapeutics, Inc. 2022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29, 2024</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Arial" w:hAnsi="Arial"/>
                  <w:color w:val="0000FF"/>
                  <w:sz w:val="20"/>
                  <w:u w:val="single"/>
                </w:rPr>
                <w:t>Forms of Stock Option Grant Notice, Stock Option Agreement and Notice of Exercise under the AN2 Therapeutics, Inc. 2022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Arial" w:hAnsi="Arial"/>
                  <w:color w:val="0000FF"/>
                  <w:sz w:val="20"/>
                  <w:u w:val="single"/>
                </w:rPr>
                <w:t>Form of Restricted Stock Unit Grant Notice and Award Agreement under the AN2 Therapeutics, Inc. 2022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29, 2024</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Arial" w:hAnsi="Arial"/>
                  <w:color w:val="0000FF"/>
                  <w:sz w:val="20"/>
                  <w:u w:val="single"/>
                </w:rPr>
                <w:t>AN2 Therapeutics, Inc 2022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29, 2024</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Arial" w:hAnsi="Arial"/>
                  <w:color w:val="0000FF"/>
                  <w:sz w:val="20"/>
                  <w:u w:val="single"/>
                </w:rPr>
                <w:t>AN2 Therapeutics, Inc. Amended and Restated 2022 Non-Employee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12, 2025</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Arial" w:hAnsi="Arial"/>
                  <w:color w:val="0000FF"/>
                  <w:sz w:val="20"/>
                  <w:u w:val="single"/>
                </w:rPr>
                <w:t>AN2 Therapeutics, Inc. Officer Severance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Arial" w:hAnsi="Arial"/>
                  <w:color w:val="0000FF"/>
                  <w:sz w:val="20"/>
                  <w:u w:val="single"/>
                </w:rPr>
                <w:t>Form of Indemnity Agreement by and between the Registrant and its directors and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Arial" w:hAnsi="Arial"/>
                  <w:color w:val="0000FF"/>
                  <w:sz w:val="20"/>
                  <w:u w:val="single"/>
                </w:rPr>
                <w:t>Offer Letter by and between the Registrant and Eric Easom, dated November 19, 2019.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w:anchor="antx-ex10_11.htm">
              <w:r>
                <w:rPr>
                  <w:rStyle w:val="InternetLink"/>
                  <w:rFonts w:ascii="Arial" w:hAnsi="Arial"/>
                  <w:color w:val="0000FF"/>
                  <w:sz w:val="20"/>
                  <w:u w:val="single"/>
                </w:rPr>
                <w:t>Amended and Restated Offer Letter by and between the Registrant and Lucy Day, dated January 29,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Arial" w:hAnsi="Arial"/>
                  <w:color w:val="0000FF"/>
                  <w:sz w:val="20"/>
                  <w:u w:val="single"/>
                </w:rPr>
                <w:t>License Agreement by and between the Registrant and Anacor Pharmaceuticals, Inc., dated November 20, 2019, as amended on December 3, 2021.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Arial" w:hAnsi="Arial"/>
                  <w:color w:val="0000FF"/>
                  <w:sz w:val="20"/>
                  <w:u w:val="single"/>
                </w:rPr>
                <w:t>License Agreement by and between the Registrant and Brii Biosciences Limited, dated November 20, 2019.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Arial" w:hAnsi="Arial"/>
                  <w:color w:val="0000FF"/>
                  <w:sz w:val="20"/>
                  <w:u w:val="single"/>
                </w:rPr>
                <w:t>Amended and Restated Global Health Agreement by and among the Registrant, Adjuvant Global Health Technology Fund L.P., and Adjuvant Global Health Technology Fund DE L.P., dated March 5, 2021.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5"/>
        <w:gridCol w:w="146"/>
        <w:gridCol w:w="5359"/>
        <w:gridCol w:w="146"/>
        <w:gridCol w:w="601"/>
        <w:gridCol w:w="146"/>
        <w:gridCol w:w="706"/>
        <w:gridCol w:w="146"/>
        <w:gridCol w:w="766"/>
        <w:gridCol w:w="146"/>
        <w:gridCol w:w="1178"/>
      </w:tblGrid>
      <w:tr>
        <w:trPr/>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8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65"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Exhibit</w:t>
            </w:r>
          </w:p>
          <w:p>
            <w:pPr>
              <w:pStyle w:val="TableContents"/>
              <w:bidi w:val="0"/>
              <w:spacing w:before="0" w:after="283"/>
              <w:jc w:val="center"/>
              <w:rPr>
                <w:rFonts w:ascii="Arial" w:hAnsi="Arial"/>
                <w:b/>
                <w:color w:val="000000"/>
                <w:sz w:val="20"/>
              </w:rPr>
            </w:pPr>
            <w:r>
              <w:rPr>
                <w:rFonts w:ascii="Arial" w:hAnsi="Arial"/>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5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 Date</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9"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Arial" w:hAnsi="Arial"/>
                  <w:color w:val="0000FF"/>
                  <w:sz w:val="20"/>
                  <w:u w:val="single"/>
                </w:rPr>
                <w:t>Offer Letter by and between the Registrant and Joshua Eizen, dated September 19,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9, 2022</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10.16</w:t>
            </w:r>
            <w:r>
              <w:rPr>
                <w:rFonts w:ascii="Arial" w:hAnsi="Arial"/>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9"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Arial" w:hAnsi="Arial"/>
                  <w:color w:val="0000FF"/>
                  <w:sz w:val="20"/>
                  <w:u w:val="single"/>
                </w:rPr>
                <w:t>Exclusive Patent License Agreement, dated October 10, 2023, by and between the Registrant and the University of Georgia Research Foundation,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25, 2025</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9"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Arial" w:hAnsi="Arial"/>
                  <w:color w:val="0000FF"/>
                  <w:sz w:val="20"/>
                  <w:u w:val="single"/>
                </w:rPr>
                <w:t>Securities Purchase Agreement, dated March 8, 2026, by and among AN2 Therapeutics, Inc. and the Purchasers.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10, 2026</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9"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Arial" w:hAnsi="Arial"/>
                  <w:color w:val="0000FF"/>
                  <w:sz w:val="20"/>
                  <w:u w:val="single"/>
                </w:rPr>
                <w:t>Registration Rights Agreement, dated March 10, 2025, by and among AN2 Therapeutics, Inc. and the investors party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10, 2026</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9"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Arial" w:hAnsi="Arial"/>
                  <w:color w:val="0000FF"/>
                  <w:sz w:val="20"/>
                  <w:u w:val="single"/>
                </w:rPr>
                <w:t>AN2 Therapeutics, Inc. 2022 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25, 2025</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9" w:type="dxa"/>
            <w:tcBorders/>
            <w:tcMar>
              <w:top w:w="0" w:type="dxa"/>
              <w:left w:w="0" w:type="dxa"/>
              <w:bottom w:w="0" w:type="dxa"/>
              <w:right w:w="0" w:type="dxa"/>
            </w:tcMar>
            <w:vAlign w:val="center"/>
          </w:tcPr>
          <w:p>
            <w:pPr>
              <w:pStyle w:val="TableContents"/>
              <w:bidi w:val="0"/>
              <w:spacing w:before="0" w:after="283"/>
              <w:jc w:val="left"/>
              <w:rPr/>
            </w:pPr>
            <w:hyperlink w:anchor="antx-ex23_1.htm">
              <w:r>
                <w:rPr>
                  <w:rStyle w:val="InternetLink"/>
                  <w:rFonts w:ascii="Arial" w:hAnsi="Arial"/>
                  <w:color w:val="0000FF"/>
                  <w:sz w:val="20"/>
                  <w:u w:val="single"/>
                </w:rPr>
                <w:t>Consent of PricewaterhouseCoopers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9"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Power of Attorney (incorporated by reference to the signature page to this Annual Report on Form 10-K.)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tcBorders/>
            <w:tcMar>
              <w:top w:w="0" w:type="dxa"/>
              <w:left w:w="0" w:type="dxa"/>
              <w:bottom w:w="0" w:type="dxa"/>
              <w:right w:w="0" w:type="dxa"/>
            </w:tcMar>
            <w:vAlign w:val="center"/>
          </w:tcPr>
          <w:p>
            <w:pPr>
              <w:pStyle w:val="TableContents"/>
              <w:bidi w:val="0"/>
              <w:spacing w:before="0" w:after="283"/>
              <w:jc w:val="left"/>
              <w:rPr/>
            </w:pPr>
            <w:r>
              <w:rPr>
                <w:rFonts w:cs="Arial"/>
                <w:color w:val="000000"/>
                <w:szCs w:val="20"/>
              </w:rPr>
              <w:t>﻿</w:t>
            </w:r>
            <w:hyperlink w:anchor="antx-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tcBorders/>
            <w:tcMar>
              <w:top w:w="0" w:type="dxa"/>
              <w:left w:w="0" w:type="dxa"/>
              <w:bottom w:w="0" w:type="dxa"/>
              <w:right w:w="0" w:type="dxa"/>
            </w:tcMar>
            <w:vAlign w:val="center"/>
          </w:tcPr>
          <w:p>
            <w:pPr>
              <w:pStyle w:val="TableContents"/>
              <w:bidi w:val="0"/>
              <w:spacing w:before="0" w:after="283"/>
              <w:jc w:val="left"/>
              <w:rPr/>
            </w:pPr>
            <w:r>
              <w:rPr>
                <w:rFonts w:cs="Arial"/>
                <w:color w:val="000000"/>
                <w:szCs w:val="20"/>
              </w:rPr>
              <w:t>﻿</w:t>
            </w:r>
            <w:hyperlink w:anchor="antx-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tcBorders/>
            <w:tcMar>
              <w:top w:w="0" w:type="dxa"/>
              <w:left w:w="0" w:type="dxa"/>
              <w:bottom w:w="0" w:type="dxa"/>
              <w:right w:w="0" w:type="dxa"/>
            </w:tcMar>
            <w:vAlign w:val="center"/>
          </w:tcPr>
          <w:p>
            <w:pPr>
              <w:pStyle w:val="TableContents"/>
              <w:bidi w:val="0"/>
              <w:spacing w:before="0" w:after="283"/>
              <w:jc w:val="left"/>
              <w:rPr/>
            </w:pPr>
            <w:r>
              <w:rPr>
                <w:rFonts w:cs="Arial"/>
                <w:color w:val="000000"/>
                <w:szCs w:val="20"/>
              </w:rPr>
              <w:t>﻿</w:t>
            </w:r>
            <w:hyperlink w:anchor="antx-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tcBorders/>
            <w:tcMar>
              <w:top w:w="0" w:type="dxa"/>
              <w:left w:w="0" w:type="dxa"/>
              <w:bottom w:w="0" w:type="dxa"/>
              <w:right w:w="0" w:type="dxa"/>
            </w:tcMar>
            <w:vAlign w:val="center"/>
          </w:tcPr>
          <w:p>
            <w:pPr>
              <w:pStyle w:val="TableContents"/>
              <w:bidi w:val="0"/>
              <w:spacing w:before="0" w:after="283"/>
              <w:jc w:val="left"/>
              <w:rPr/>
            </w:pPr>
            <w:r>
              <w:rPr>
                <w:rFonts w:cs="Arial"/>
                <w:color w:val="000000"/>
                <w:szCs w:val="20"/>
              </w:rPr>
              <w:t>﻿</w:t>
            </w:r>
            <w:hyperlink w:anchor="antx-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59"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Arial" w:hAnsi="Arial"/>
                  <w:color w:val="0000FF"/>
                  <w:sz w:val="20"/>
                  <w:u w:val="single"/>
                </w:rPr>
                <w:t>Compensation Recovery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29, 2024</w:t>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bottom w:val="single" w:sz="4" w:space="1" w:color="000000"/>
        </w:pBdr>
        <w:bidi w:val="0"/>
        <w:jc w:val="left"/>
        <w:rPr/>
      </w:pPr>
      <w:r>
        <w:rPr/>
        <w:t> </w:t>
      </w:r>
    </w:p>
    <w:p>
      <w:pPr>
        <w:pStyle w:val="TextBody"/>
        <w:bidi w:val="0"/>
        <w:spacing w:before="120" w:after="283"/>
        <w:jc w:val="left"/>
        <w:rPr>
          <w:rFonts w:ascii="Arial" w:hAnsi="Arial"/>
          <w:color w:val="000000"/>
          <w:sz w:val="16"/>
        </w:rPr>
      </w:pPr>
      <w:r>
        <w:rPr>
          <w:rFonts w:ascii="Arial" w:hAnsi="Arial"/>
          <w:color w:val="000000"/>
          <w:sz w:val="16"/>
        </w:rPr>
        <w:t>* Filed herewith.</w:t>
      </w:r>
    </w:p>
    <w:p>
      <w:pPr>
        <w:pStyle w:val="TextBody"/>
        <w:bidi w:val="0"/>
        <w:spacing w:before="120" w:after="283"/>
        <w:jc w:val="left"/>
        <w:rPr>
          <w:rFonts w:ascii="Arial" w:hAnsi="Arial"/>
          <w:color w:val="000000"/>
          <w:sz w:val="16"/>
        </w:rPr>
      </w:pPr>
      <w:r>
        <w:rPr>
          <w:rFonts w:ascii="Arial" w:hAnsi="Arial"/>
          <w:color w:val="000000"/>
          <w:sz w:val="16"/>
        </w:rPr>
        <w:t># Indicates management contract or compensatory plan.</w:t>
      </w:r>
    </w:p>
    <w:p>
      <w:pPr>
        <w:pStyle w:val="TextBody"/>
        <w:bidi w:val="0"/>
        <w:spacing w:before="120" w:after="283"/>
        <w:jc w:val="left"/>
        <w:rPr>
          <w:rFonts w:ascii="Arial" w:hAnsi="Arial"/>
          <w:color w:val="000000"/>
          <w:sz w:val="16"/>
        </w:rPr>
      </w:pPr>
      <w:r>
        <w:rPr>
          <w:rFonts w:ascii="Arial" w:hAnsi="Arial"/>
          <w:color w:val="000000"/>
          <w:sz w:val="16"/>
        </w:rPr>
        <w:t> Portions of this exhibit (indicated by [*]) have been omitted because the registrant has determined that the information is both not material and is the type that the registrant treats as private or confidential.</w:t>
      </w:r>
    </w:p>
    <w:p>
      <w:pPr>
        <w:pStyle w:val="TextBody"/>
        <w:bidi w:val="0"/>
        <w:spacing w:before="120" w:after="283"/>
        <w:jc w:val="left"/>
        <w:rPr>
          <w:rFonts w:ascii="Arial" w:hAnsi="Arial"/>
          <w:color w:val="000000"/>
          <w:sz w:val="16"/>
        </w:rPr>
      </w:pPr>
      <w:r>
        <w:rPr>
          <w:rFonts w:ascii="Arial" w:hAnsi="Arial"/>
          <w:color w:val="000000"/>
          <w:sz w:val="16"/>
        </w:rPr>
        <w:t>** The following materials are formatted in Inline XBRL (Extensible Business Reporting Language): (i) the cover page; (ii) the Balance Sheets as of December 31, 2025 and 2024; (iii) the Statements of Operations and Comprehensive Loss for the years ended December 31, 2025 and 2024; (iv) the Statements of Stockholders’ Equity for the years ended December 31, 2025 and 2024; (vi) the Statements of Cash Flows for the years ended December 31, 2025 and 2024; (vii) Notes to Financial Statements tagged as blocks of text.</w:t>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 The certification attached as Exhibit 32.1 and Exhibit 32.2 that accompany this Annual Report is not deemed filed with the Securities and Exchange Commission and is not to be incorporated by reference into any filing of the Company under the Securities Act of 1933, as amended, or the Securities Exchange Act of 1934, as amended, whether made before or after the date of this Annual Report, irrespective of any general incorporation language contained in such filing.</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9" w:name="signatures"/>
      <w:bookmarkEnd w:id="29"/>
      <w:r>
        <w:rPr>
          <w:rFonts w:ascii="Arial" w:hAnsi="Arial"/>
          <w:b/>
          <w:color w:val="000000"/>
          <w:sz w:val="20"/>
        </w:rPr>
        <w:t>SIGNATURES</w:t>
      </w:r>
    </w:p>
    <w:p>
      <w:pPr>
        <w:pStyle w:val="TextBody"/>
        <w:bidi w:val="0"/>
        <w:spacing w:before="120" w:after="283"/>
        <w:jc w:val="left"/>
        <w:rPr>
          <w:rFonts w:ascii="Times New Roman" w:hAnsi="Times New Roman"/>
          <w:sz w:val="20"/>
        </w:rPr>
      </w:pPr>
      <w:r>
        <w:rPr>
          <w:rFonts w:ascii="Arial" w:hAnsi="Arial"/>
          <w:color w:val="000000"/>
          <w:sz w:val="20"/>
        </w:rPr>
        <w:t>Pursuant to the requirements of Section 13 or 15(d) of the Securities Exchange Act of 1934, as amended, the Registrant has duly caused this Report to be signed on its behalf by the undersigned, thereunto duly authorized on March 17, 2026</w:t>
      </w:r>
      <w:r>
        <w:rPr>
          <w:rFonts w:ascii="Arial" w:hAnsi="Arial"/>
          <w:b/>
          <w:color w:val="000000"/>
          <w:sz w:val="20"/>
        </w:rPr>
        <w:t>.</w:t>
      </w:r>
    </w:p>
    <w:p>
      <w:pPr>
        <w:pStyle w:val="TextBody"/>
        <w:bidi w:val="0"/>
        <w:jc w:val="left"/>
        <w:rPr/>
      </w:pPr>
      <w:r>
        <w:rPr/>
        <w:t> </w:t>
      </w:r>
    </w:p>
    <w:tbl>
      <w:tblPr>
        <w:tblW w:w="3650" w:type="dxa"/>
        <w:jc w:val="left"/>
        <w:tblInd w:w="0" w:type="dxa"/>
        <w:tblLayout w:type="fixed"/>
        <w:tblCellMar>
          <w:top w:w="28" w:type="dxa"/>
          <w:left w:w="28" w:type="dxa"/>
          <w:bottom w:w="28" w:type="dxa"/>
          <w:right w:w="28" w:type="dxa"/>
        </w:tblCellMar>
      </w:tblPr>
      <w:tblGrid>
        <w:gridCol w:w="161"/>
        <w:gridCol w:w="146"/>
        <w:gridCol w:w="406"/>
        <w:gridCol w:w="146"/>
        <w:gridCol w:w="27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AN2 Therapeutics,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Eric Easom</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20"/>
              </w:rPr>
            </w:pPr>
            <w:r>
              <w:rPr>
                <w:rFonts w:ascii="Arial" w:hAnsi="Arial"/>
                <w:b/>
                <w:i/>
                <w:color w:val="000000"/>
                <w:sz w:val="20"/>
              </w:rPr>
              <w:t>(Principal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Lucy O. Day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Chief Financial Officer</w:t>
            </w:r>
            <w:r>
              <w:rPr>
                <w:rFonts w:ascii="Times New Roman" w:hAnsi="Times New Roman"/>
                <w:color w:val="000000"/>
                <w:sz w:val="20"/>
              </w:rPr>
              <w:t xml:space="preserve">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20"/>
              </w:rPr>
            </w:pPr>
            <w:r>
              <w:rPr>
                <w:rFonts w:ascii="Arial" w:hAnsi="Arial"/>
                <w:b/>
                <w:i/>
                <w:color w:val="000000"/>
                <w:sz w:val="20"/>
              </w:rPr>
              <w:t>(Principal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Sarah Williams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Sarah Williams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Accounting Officer</w:t>
            </w:r>
          </w:p>
        </w:tc>
      </w:tr>
    </w:tbl>
    <w:p>
      <w:pPr>
        <w:pStyle w:val="TextBody"/>
        <w:bidi w:val="0"/>
        <w:jc w:val="left"/>
        <w:rPr/>
      </w:pPr>
      <w:r>
        <w:rPr/>
        <w:t> </w:t>
      </w:r>
    </w:p>
    <w:p>
      <w:pPr>
        <w:pStyle w:val="TextBody"/>
        <w:bidi w:val="0"/>
        <w:jc w:val="center"/>
        <w:rPr>
          <w:rFonts w:ascii="Arial" w:hAnsi="Arial"/>
          <w:b/>
          <w:color w:val="000000"/>
          <w:sz w:val="20"/>
        </w:rPr>
      </w:pPr>
      <w:bookmarkStart w:id="30" w:name="power_of_attorney"/>
      <w:bookmarkEnd w:id="30"/>
      <w:r>
        <w:rPr>
          <w:rFonts w:ascii="Arial" w:hAnsi="Arial"/>
          <w:b/>
          <w:color w:val="000000"/>
          <w:sz w:val="20"/>
        </w:rPr>
        <w:t xml:space="preserve">POWER OF ATTORNEY </w:t>
      </w:r>
    </w:p>
    <w:p>
      <w:pPr>
        <w:pStyle w:val="TextBody"/>
        <w:bidi w:val="0"/>
        <w:spacing w:before="120" w:after="283"/>
        <w:jc w:val="left"/>
        <w:rPr>
          <w:rFonts w:ascii="Arial" w:hAnsi="Arial"/>
          <w:color w:val="000000"/>
          <w:sz w:val="20"/>
        </w:rPr>
      </w:pPr>
      <w:r>
        <w:rPr>
          <w:rFonts w:ascii="Arial" w:hAnsi="Arial"/>
          <w:color w:val="000000"/>
          <w:sz w:val="20"/>
        </w:rPr>
        <w:t xml:space="preserve">KNOW ALL PERSONS BY THESE PRESENTS, that each person whose signature appears below constitutes and appoints Eric Easom and Lucy O. Day,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 </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915" w:type="dxa"/>
        <w:jc w:val="left"/>
        <w:tblInd w:w="0" w:type="dxa"/>
        <w:tblLayout w:type="fixed"/>
        <w:tblCellMar>
          <w:top w:w="28" w:type="dxa"/>
          <w:left w:w="28" w:type="dxa"/>
          <w:bottom w:w="28" w:type="dxa"/>
          <w:right w:w="28" w:type="dxa"/>
        </w:tblCellMar>
      </w:tblPr>
      <w:tblGrid>
        <w:gridCol w:w="2311"/>
        <w:gridCol w:w="146"/>
        <w:gridCol w:w="3811"/>
        <w:gridCol w:w="146"/>
        <w:gridCol w:w="150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 Chair and Director</w:t>
              <w:b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Eric Easom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Lucy O.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Sarah Williams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Principal Accounting Officer</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17, 2026</w:t>
            </w:r>
          </w:p>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Sarah Williams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Maggie FitzPatrick</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Lead Independent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Maggie FItzPatrick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Kabeer Aziz</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Kabeer Aziz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Gilbert L. Marks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Gilbert L. 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Patricia (Patty) Martin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Patricia (Patty) Martin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660" w:type="dxa"/>
        <w:jc w:val="left"/>
        <w:tblInd w:w="0" w:type="dxa"/>
        <w:tblLayout w:type="fixed"/>
        <w:tblCellMar>
          <w:top w:w="28" w:type="dxa"/>
          <w:left w:w="28" w:type="dxa"/>
          <w:bottom w:w="28" w:type="dxa"/>
          <w:right w:w="28" w:type="dxa"/>
        </w:tblCellMar>
      </w:tblPr>
      <w:tblGrid>
        <w:gridCol w:w="2086"/>
        <w:gridCol w:w="146"/>
        <w:gridCol w:w="781"/>
        <w:gridCol w:w="146"/>
        <w:gridCol w:w="150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Rob Readnour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Rob Readnour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Melvin Spigelman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Melvin Spigelman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Stephanie Wong</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Stephanie Wong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Joseph Zakrzewski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17, 2026</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Joseph Zakrzewski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INDEX TO FINANCIAL STATEMENTS</w:t>
      </w:r>
    </w:p>
    <w:p>
      <w:pPr>
        <w:pStyle w:val="TextBody"/>
        <w:bidi w:val="0"/>
        <w:spacing w:before="40" w:after="283"/>
        <w:jc w:val="left"/>
        <w:rPr/>
      </w:pPr>
      <w:r>
        <w:rPr/>
        <w:t> </w:t>
      </w:r>
    </w:p>
    <w:tbl>
      <w:tblPr>
        <w:tblW w:w="9407" w:type="dxa"/>
        <w:jc w:val="left"/>
        <w:tblInd w:w="0" w:type="dxa"/>
        <w:tblLayout w:type="fixed"/>
        <w:tblCellMar>
          <w:top w:w="28" w:type="dxa"/>
          <w:left w:w="28" w:type="dxa"/>
          <w:bottom w:w="28" w:type="dxa"/>
          <w:right w:w="28" w:type="dxa"/>
        </w:tblCellMar>
      </w:tblPr>
      <w:tblGrid>
        <w:gridCol w:w="8971"/>
        <w:gridCol w:w="436"/>
      </w:tblGrid>
      <w:tr>
        <w:trPr/>
        <w:tc>
          <w:tcPr>
            <w:tcW w:w="89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ditor_report">
              <w:r>
                <w:rPr>
                  <w:rStyle w:val="InternetLink"/>
                  <w:rFonts w:ascii="Arial" w:hAnsi="Arial"/>
                  <w:color w:val="0000FF"/>
                  <w:sz w:val="20"/>
                  <w:u w:val="single"/>
                </w:rPr>
                <w:t>Report of Independent Registered Public Accounting Firm</w:t>
              </w:r>
            </w:hyperlink>
            <w:hyperlink w:anchor="auditor_report">
              <w:r>
                <w:rPr>
                  <w:rStyle w:val="InternetLink"/>
                  <w:rFonts w:ascii="Times New Roman" w:hAnsi="Times New Roman"/>
                  <w:color w:val="000000"/>
                  <w:sz w:val="20"/>
                  <w:u w:val="single"/>
                </w:rPr>
                <w:t xml:space="preserve"> </w:t>
              </w:r>
            </w:hyperlink>
            <w:hyperlink w:anchor="auditor_report">
              <w:r>
                <w:rPr>
                  <w:rStyle w:val="InternetLink"/>
                  <w:rFonts w:ascii="Arial" w:hAnsi="Arial"/>
                  <w:color w:val="000000"/>
                  <w:sz w:val="20"/>
                  <w:u w:val="single"/>
                </w:rPr>
                <w:t>(PCAOB ID: 238)</w:t>
              </w:r>
            </w:hyperlink>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F-2</w:t>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Arial" w:hAnsi="Arial"/>
                  <w:color w:val="0000FF"/>
                  <w:sz w:val="20"/>
                  <w:u w:val="single"/>
                </w:rPr>
                <w:t>Balance Sheets as of December 31, 2025 and 2024</w:t>
              </w:r>
            </w:hyperlink>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F-3</w:t>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Arial" w:hAnsi="Arial"/>
                  <w:color w:val="0000FF"/>
                  <w:sz w:val="20"/>
                  <w:u w:val="single"/>
                </w:rPr>
                <w:t>Statements of Operations and Comprehensive Loss for the years ended December 31, 2025 and 2024</w:t>
              </w:r>
            </w:hyperlink>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F-4</w:t>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Arial" w:hAnsi="Arial"/>
                  <w:color w:val="0000FF"/>
                  <w:sz w:val="20"/>
                  <w:u w:val="single"/>
                </w:rPr>
                <w:t>Statements of Stockholders’ Equity for the years ended December 31, 2025 and 2024</w:t>
              </w:r>
            </w:hyperlink>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F-5</w:t>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Arial" w:hAnsi="Arial"/>
                  <w:color w:val="0000FF"/>
                  <w:sz w:val="20"/>
                  <w:u w:val="single"/>
                </w:rPr>
                <w:t>Statements of Cash Flows for the years ended December 31, 2025 and 2024</w:t>
              </w:r>
            </w:hyperlink>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F-6</w:t>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
              <w:r>
                <w:rPr>
                  <w:rStyle w:val="InternetLink"/>
                  <w:rFonts w:ascii="Arial" w:hAnsi="Arial"/>
                  <w:color w:val="0000FF"/>
                  <w:sz w:val="20"/>
                  <w:u w:val="single"/>
                </w:rPr>
                <w:t>Notes to the Financial Statements</w:t>
              </w:r>
            </w:hyperlink>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F-7</w:t>
            </w:r>
          </w:p>
        </w:tc>
      </w:tr>
    </w:tbl>
    <w:p>
      <w:pPr>
        <w:pStyle w:val="TextBody"/>
        <w:bidi w:val="0"/>
        <w:spacing w:before="240" w:after="283"/>
        <w:jc w:val="left"/>
        <w:rPr/>
      </w:pPr>
      <w:r>
        <w:rPr/>
        <w:t> </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31" w:name="auditor_report"/>
      <w:bookmarkEnd w:id="31"/>
      <w:r>
        <w:rPr>
          <w:rFonts w:ascii="Arial" w:hAnsi="Arial"/>
          <w:b/>
          <w:color w:val="000000"/>
          <w:sz w:val="20"/>
        </w:rPr>
        <w:t>Report of Independent Registered Public Accounting Firm</w:t>
      </w:r>
    </w:p>
    <w:p>
      <w:pPr>
        <w:pStyle w:val="TextBody"/>
        <w:bidi w:val="0"/>
        <w:spacing w:before="240" w:after="283"/>
        <w:jc w:val="left"/>
        <w:rPr>
          <w:rFonts w:ascii="Arial" w:hAnsi="Arial"/>
          <w:color w:val="000000"/>
          <w:sz w:val="20"/>
        </w:rPr>
      </w:pPr>
      <w:r>
        <w:rPr>
          <w:rFonts w:ascii="Arial" w:hAnsi="Arial"/>
          <w:color w:val="000000"/>
          <w:sz w:val="20"/>
        </w:rPr>
        <w:t>To the Board of Directors and Stockholders of AN2 Therapeutics, Inc.</w:t>
      </w:r>
    </w:p>
    <w:p>
      <w:pPr>
        <w:pStyle w:val="TextBody"/>
        <w:bidi w:val="0"/>
        <w:spacing w:before="240" w:after="283"/>
        <w:jc w:val="left"/>
        <w:rPr>
          <w:rFonts w:ascii="Arial" w:hAnsi="Arial"/>
          <w:b/>
          <w:i/>
          <w:color w:val="000000"/>
          <w:sz w:val="20"/>
        </w:rPr>
      </w:pPr>
      <w:r>
        <w:rPr>
          <w:rFonts w:ascii="Arial" w:hAnsi="Arial"/>
          <w:b/>
          <w:i/>
          <w:color w:val="000000"/>
          <w:sz w:val="20"/>
        </w:rPr>
        <w:t>Opinion on the Financial Statements</w:t>
      </w:r>
    </w:p>
    <w:p>
      <w:pPr>
        <w:pStyle w:val="TextBody"/>
        <w:bidi w:val="0"/>
        <w:spacing w:before="240" w:after="283"/>
        <w:jc w:val="left"/>
        <w:rPr>
          <w:rFonts w:ascii="Arial" w:hAnsi="Arial"/>
          <w:color w:val="000000"/>
          <w:sz w:val="20"/>
        </w:rPr>
      </w:pPr>
      <w:r>
        <w:rPr>
          <w:rFonts w:ascii="Arial" w:hAnsi="Arial"/>
          <w:color w:val="000000"/>
          <w:sz w:val="20"/>
        </w:rPr>
        <w:t>We have audited the accompanying balance sheets of AN2 Therapeutics, Inc. (the “Company”) as of December 31, 2025 and 2024, and the related statements of operations and comprehensive loss, of stockholders’ equity and of cash flows for the years then ended, including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240" w:after="283"/>
        <w:jc w:val="left"/>
        <w:rPr>
          <w:rFonts w:ascii="Arial" w:hAnsi="Arial"/>
          <w:b/>
          <w:i/>
          <w:color w:val="000000"/>
          <w:sz w:val="20"/>
        </w:rPr>
      </w:pPr>
      <w:r>
        <w:rPr>
          <w:rFonts w:ascii="Arial" w:hAnsi="Arial"/>
          <w:b/>
          <w:i/>
          <w:color w:val="000000"/>
          <w:sz w:val="20"/>
        </w:rPr>
        <w:t>Basis for Opinion</w:t>
      </w:r>
    </w:p>
    <w:p>
      <w:pPr>
        <w:pStyle w:val="TextBody"/>
        <w:bidi w:val="0"/>
        <w:spacing w:before="240" w:after="283"/>
        <w:jc w:val="left"/>
        <w:rPr>
          <w:rFonts w:ascii="Arial" w:hAnsi="Arial"/>
          <w:color w:val="000000"/>
          <w:sz w:val="20"/>
        </w:rPr>
      </w:pPr>
      <w:r>
        <w:rPr>
          <w:rFonts w:ascii="Arial" w:hAnsi="Arial"/>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Arial" w:hAnsi="Arial"/>
          <w:color w:val="000000"/>
          <w:sz w:val="20"/>
        </w:rPr>
      </w:pPr>
      <w:r>
        <w:rPr>
          <w:rFonts w:ascii="Arial" w:hAnsi="Arial"/>
          <w:color w:val="000000"/>
          <w:sz w:val="20"/>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left"/>
        <w:rPr>
          <w:rFonts w:ascii="Arial" w:hAnsi="Arial"/>
          <w:color w:val="000000"/>
          <w:sz w:val="20"/>
        </w:rPr>
      </w:pPr>
      <w:r>
        <w:rPr>
          <w:rFonts w:ascii="Arial" w:hAnsi="Arial"/>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/s/ PricewaterhouseCoopers LLP</w:t>
      </w:r>
    </w:p>
    <w:p>
      <w:pPr>
        <w:pStyle w:val="TextBody"/>
        <w:bidi w:val="0"/>
        <w:spacing w:before="240" w:after="283"/>
        <w:jc w:val="left"/>
        <w:rPr>
          <w:rFonts w:ascii="Arial" w:hAnsi="Arial"/>
          <w:color w:val="000000"/>
          <w:sz w:val="20"/>
        </w:rPr>
      </w:pPr>
      <w:r>
        <w:rPr>
          <w:rFonts w:ascii="Arial" w:hAnsi="Arial"/>
          <w:color w:val="000000"/>
          <w:sz w:val="20"/>
        </w:rPr>
        <w:t>San Jose, California</w:t>
      </w:r>
    </w:p>
    <w:p>
      <w:pPr>
        <w:pStyle w:val="TextBody"/>
        <w:bidi w:val="0"/>
        <w:spacing w:before="240" w:after="283"/>
        <w:jc w:val="left"/>
        <w:rPr>
          <w:rFonts w:ascii="Arial" w:hAnsi="Arial"/>
          <w:color w:val="000000"/>
          <w:sz w:val="20"/>
        </w:rPr>
      </w:pPr>
      <w:r>
        <w:rPr>
          <w:rFonts w:ascii="Arial" w:hAnsi="Arial"/>
          <w:color w:val="000000"/>
          <w:sz w:val="20"/>
        </w:rPr>
        <w:t>March 17, 2026</w:t>
      </w:r>
    </w:p>
    <w:p>
      <w:pPr>
        <w:pStyle w:val="TextBody"/>
        <w:bidi w:val="0"/>
        <w:spacing w:before="240" w:after="283"/>
        <w:jc w:val="left"/>
        <w:rPr>
          <w:rFonts w:ascii="Arial" w:hAnsi="Arial"/>
          <w:color w:val="000000"/>
          <w:sz w:val="20"/>
        </w:rPr>
      </w:pPr>
      <w:r>
        <w:rPr>
          <w:rFonts w:ascii="Arial" w:hAnsi="Arial"/>
          <w:color w:val="000000"/>
          <w:sz w:val="20"/>
        </w:rPr>
        <w:t>We have served as the Company’s auditor since 2021, which includes periods before the Company became subject to SEC reporting requirements.</w:t>
      </w:r>
    </w:p>
    <w:p>
      <w:pPr>
        <w:pStyle w:val="TextBody"/>
        <w:bidi w:val="0"/>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Times New Roman" w:hAnsi="Times New Roman"/>
          <w:sz w:val="20"/>
        </w:rPr>
      </w:pPr>
      <w:bookmarkStart w:id="32" w:name="balance_sheets"/>
      <w:bookmarkEnd w:id="32"/>
      <w:r>
        <w:rPr>
          <w:rFonts w:ascii="Arial" w:hAnsi="Arial"/>
          <w:b/>
          <w:color w:val="000000"/>
          <w:sz w:val="20"/>
        </w:rPr>
        <w:t>BALANCE SHEETS</w:t>
      </w:r>
      <w:r>
        <w:rPr>
          <w:rFonts w:ascii="Times New Roman" w:hAnsi="Times New Roman"/>
          <w:color w:val="000000"/>
          <w:sz w:val="20"/>
        </w:rPr>
        <w:t xml:space="preserve"> </w:t>
      </w:r>
    </w:p>
    <w:p>
      <w:pPr>
        <w:pStyle w:val="TextBody"/>
        <w:bidi w:val="0"/>
        <w:jc w:val="center"/>
        <w:rPr>
          <w:rFonts w:ascii="Arial" w:hAnsi="Arial"/>
          <w:b/>
          <w:i/>
          <w:color w:val="000000"/>
          <w:sz w:val="20"/>
        </w:rPr>
      </w:pPr>
      <w:r>
        <w:rPr>
          <w:rFonts w:ascii="Arial" w:hAnsi="Arial"/>
          <w:b/>
          <w:i/>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3"/>
        <w:gridCol w:w="146"/>
        <w:gridCol w:w="225"/>
        <w:gridCol w:w="915"/>
        <w:gridCol w:w="166"/>
        <w:gridCol w:w="146"/>
        <w:gridCol w:w="225"/>
        <w:gridCol w:w="915"/>
        <w:gridCol w:w="774"/>
      </w:tblGrid>
      <w:tr>
        <w:trPr/>
        <w:tc>
          <w:tcPr>
            <w:tcW w:w="6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21,351</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62,267</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2,644</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59,937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86,262</w:t>
            </w:r>
          </w:p>
        </w:tc>
        <w:tc>
          <w:tcPr>
            <w:tcW w:w="7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5,021</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92,087</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3,317</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4,454</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10,238</w:t>
            </w:r>
          </w:p>
        </w:tc>
        <w:tc>
          <w:tcPr>
            <w:tcW w:w="77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10,238</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Preferred stock, $0.00001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at December 31, 2025 and December 31, 2024; no</w:t>
            </w:r>
            <w:r>
              <w:rPr>
                <w:rFonts w:ascii="Times New Roman" w:hAnsi="Times New Roman"/>
                <w:color w:val="000000"/>
                <w:sz w:val="20"/>
              </w:rPr>
              <w:t> </w:t>
            </w:r>
            <w:r>
              <w:rPr>
                <w:rFonts w:ascii="Arial" w:hAnsi="Arial"/>
                <w:color w:val="000000"/>
                <w:sz w:val="20"/>
              </w:rPr>
              <w:t>shares issued and outstanding at December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$0.00001</w:t>
            </w:r>
            <w:r>
              <w:rPr>
                <w:rFonts w:ascii="Times New Roman" w:hAnsi="Times New Roman"/>
                <w:color w:val="000000"/>
                <w:sz w:val="20"/>
              </w:rPr>
              <w:t> </w:t>
            </w:r>
            <w:r>
              <w:rPr>
                <w:rFonts w:ascii="Arial" w:hAnsi="Arial"/>
                <w:color w:val="000000"/>
                <w:sz w:val="20"/>
              </w:rPr>
              <w:t>par value; 500,000,000</w:t>
            </w:r>
            <w:r>
              <w:rPr>
                <w:rFonts w:ascii="Times New Roman" w:hAnsi="Times New Roman"/>
                <w:color w:val="000000"/>
                <w:sz w:val="20"/>
              </w:rPr>
              <w:t> </w:t>
            </w:r>
            <w:r>
              <w:rPr>
                <w:rFonts w:ascii="Arial" w:hAnsi="Arial"/>
                <w:color w:val="000000"/>
                <w:sz w:val="20"/>
              </w:rPr>
              <w:t>shares authorized at December 31, 2025 and December 31, 2024; 27,413,171</w:t>
            </w:r>
            <w:r>
              <w:rPr>
                <w:rFonts w:ascii="Times New Roman" w:hAnsi="Times New Roman"/>
                <w:color w:val="000000"/>
                <w:sz w:val="20"/>
              </w:rPr>
              <w:t> </w:t>
            </w:r>
            <w:r>
              <w:rPr>
                <w:rFonts w:ascii="Arial" w:hAnsi="Arial"/>
                <w:color w:val="000000"/>
                <w:sz w:val="20"/>
              </w:rPr>
              <w:t>and 29,919,634</w:t>
            </w:r>
            <w:r>
              <w:rPr>
                <w:rFonts w:ascii="Times New Roman" w:hAnsi="Times New Roman"/>
                <w:color w:val="000000"/>
                <w:sz w:val="20"/>
              </w:rPr>
              <w:t> </w:t>
            </w:r>
            <w:r>
              <w:rPr>
                <w:rFonts w:ascii="Arial" w:hAnsi="Arial"/>
                <w:color w:val="000000"/>
                <w:sz w:val="20"/>
              </w:rPr>
              <w:t>shares issued and outstanding at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287,594</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(205,776</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81,849</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92,087</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financial statements.</w:t>
      </w:r>
    </w:p>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Times New Roman" w:hAnsi="Times New Roman"/>
          <w:sz w:val="20"/>
        </w:rPr>
      </w:pPr>
      <w:bookmarkStart w:id="33" w:name="statements_of_operations"/>
      <w:bookmarkEnd w:id="33"/>
      <w:r>
        <w:rPr>
          <w:rFonts w:ascii="Arial" w:hAnsi="Arial"/>
          <w:b/>
          <w:color w:val="000000"/>
          <w:sz w:val="20"/>
        </w:rPr>
        <w:t>STATEMENTS OF OPERATIONS AND COMPREHENSIVE LOSS</w:t>
      </w:r>
      <w:r>
        <w:rPr>
          <w:rFonts w:ascii="Times New Roman" w:hAnsi="Times New Roman"/>
          <w:color w:val="000000"/>
          <w:sz w:val="20"/>
        </w:rPr>
        <w:t xml:space="preserve"> </w:t>
      </w:r>
    </w:p>
    <w:p>
      <w:pPr>
        <w:pStyle w:val="TextBody"/>
        <w:bidi w:val="0"/>
        <w:jc w:val="center"/>
        <w:rPr>
          <w:rFonts w:ascii="Arial" w:hAnsi="Arial"/>
          <w:b/>
          <w:i/>
          <w:color w:val="000000"/>
          <w:sz w:val="20"/>
        </w:rPr>
      </w:pPr>
      <w:r>
        <w:rPr>
          <w:rFonts w:ascii="Arial" w:hAnsi="Arial"/>
          <w:b/>
          <w:i/>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42"/>
        <w:gridCol w:w="146"/>
        <w:gridCol w:w="211"/>
        <w:gridCol w:w="1066"/>
        <w:gridCol w:w="166"/>
        <w:gridCol w:w="146"/>
        <w:gridCol w:w="211"/>
        <w:gridCol w:w="1066"/>
        <w:gridCol w:w="751"/>
      </w:tblGrid>
      <w:tr>
        <w:trPr/>
        <w:tc>
          <w:tcPr>
            <w:tcW w:w="6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6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40,488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44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56,788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(56,788</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5,466</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(51,321</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30,215,747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29,828,227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(51,565</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financial statements.</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bookmarkStart w:id="34" w:name="stockholders_equity"/>
      <w:bookmarkEnd w:id="34"/>
      <w:r>
        <w:rPr>
          <w:rFonts w:ascii="Arial" w:hAnsi="Arial"/>
          <w:b/>
          <w:color w:val="000000"/>
          <w:sz w:val="20"/>
        </w:rPr>
        <w:t>STATEMENTS OF STOCKHOLDERS’ EQUITY</w:t>
      </w:r>
    </w:p>
    <w:p>
      <w:pPr>
        <w:pStyle w:val="TextBody"/>
        <w:bidi w:val="0"/>
        <w:jc w:val="center"/>
        <w:rPr>
          <w:rFonts w:ascii="Arial" w:hAnsi="Arial"/>
          <w:b/>
          <w:i/>
          <w:color w:val="000000"/>
          <w:sz w:val="20"/>
        </w:rPr>
      </w:pPr>
      <w:r>
        <w:rPr>
          <w:rFonts w:ascii="Arial" w:hAnsi="Arial"/>
          <w:b/>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78"/>
        <w:gridCol w:w="146"/>
        <w:gridCol w:w="146"/>
        <w:gridCol w:w="796"/>
        <w:gridCol w:w="151"/>
        <w:gridCol w:w="146"/>
        <w:gridCol w:w="201"/>
        <w:gridCol w:w="385"/>
        <w:gridCol w:w="146"/>
        <w:gridCol w:w="146"/>
        <w:gridCol w:w="181"/>
        <w:gridCol w:w="601"/>
        <w:gridCol w:w="146"/>
        <w:gridCol w:w="146"/>
        <w:gridCol w:w="356"/>
        <w:gridCol w:w="740"/>
        <w:gridCol w:w="151"/>
        <w:gridCol w:w="146"/>
        <w:gridCol w:w="203"/>
        <w:gridCol w:w="728"/>
        <w:gridCol w:w="151"/>
        <w:gridCol w:w="146"/>
        <w:gridCol w:w="224"/>
        <w:gridCol w:w="748"/>
        <w:gridCol w:w="197"/>
      </w:tblGrid>
      <w:tr>
        <w:trPr/>
        <w:tc>
          <w:tcPr>
            <w:tcW w:w="3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xml:space="preserve">Accumulated </w:t>
              <w:br/>
              <w:t xml:space="preserve">Other </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br/>
              <w:t>Stockholders’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29,741,445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278,881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(154,455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124,701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70,700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28,930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38,556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release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8,338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(51,321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(51,321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29,919,634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287,594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(205,776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81,849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87,045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63,124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295,368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6,246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Unrealized gain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pre-funded warrants in exchange for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(2,952,000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(35,174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(35,174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3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27,413,171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293,953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(240,950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53,060</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Arial" w:hAnsi="Arial"/>
          <w:color w:val="000000"/>
          <w:sz w:val="20"/>
        </w:rPr>
      </w:pPr>
      <w:r>
        <w:rPr>
          <w:rFonts w:ascii="Arial" w:hAnsi="Arial"/>
          <w:color w:val="000000"/>
          <w:sz w:val="20"/>
        </w:rPr>
        <w:t>The accompanying notes are an integral part of these financial statements.</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bookmarkStart w:id="35" w:name="cash_flows"/>
      <w:bookmarkEnd w:id="35"/>
      <w:r>
        <w:rPr>
          <w:rFonts w:ascii="Arial" w:hAnsi="Arial"/>
          <w:b/>
          <w:color w:val="000000"/>
          <w:sz w:val="20"/>
        </w:rPr>
        <w:t>STATEMENTS OF CASH FLOWS</w:t>
      </w:r>
    </w:p>
    <w:p>
      <w:pPr>
        <w:pStyle w:val="TextBody"/>
        <w:bidi w:val="0"/>
        <w:jc w:val="center"/>
        <w:rPr>
          <w:rFonts w:ascii="Arial" w:hAnsi="Arial"/>
          <w:b/>
          <w:i/>
          <w:color w:val="000000"/>
          <w:sz w:val="20"/>
        </w:rPr>
      </w:pPr>
      <w:r>
        <w:rPr>
          <w:rFonts w:ascii="Arial" w:hAnsi="Arial"/>
          <w:b/>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7"/>
        <w:gridCol w:w="146"/>
        <w:gridCol w:w="211"/>
        <w:gridCol w:w="751"/>
        <w:gridCol w:w="166"/>
        <w:gridCol w:w="146"/>
        <w:gridCol w:w="211"/>
        <w:gridCol w:w="796"/>
        <w:gridCol w:w="1311"/>
      </w:tblGrid>
      <w:tr>
        <w:trPr/>
        <w:tc>
          <w:tcPr>
            <w:tcW w:w="6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w:t>
              <w:br/>
              <w:t>December 31,</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(51,321</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8,338</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accretion of discount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(3,279</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807</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(2,342</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(2,227</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(49,257</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(46,751</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101,340</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54,589</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issuance of common stock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5,704</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15,647</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21,351</w:t>
            </w:r>
          </w:p>
        </w:tc>
        <w:tc>
          <w:tcPr>
            <w:tcW w:w="1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The accompanying notes are an integral part of these financial statements.</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Times New Roman" w:hAnsi="Times New Roman"/>
          <w:sz w:val="20"/>
        </w:rPr>
      </w:pPr>
      <w:bookmarkStart w:id="36" w:name="notes"/>
      <w:bookmarkEnd w:id="36"/>
      <w:r>
        <w:rPr>
          <w:rFonts w:ascii="Arial" w:hAnsi="Arial"/>
          <w:b/>
          <w:color w:val="000000"/>
          <w:sz w:val="20"/>
        </w:rPr>
        <w:t xml:space="preserve">Notes to </w:t>
      </w:r>
      <w:bookmarkStart w:id="37" w:name="notes_to_consolidated"/>
      <w:bookmarkEnd w:id="37"/>
      <w:r>
        <w:rPr>
          <w:rFonts w:ascii="Arial" w:hAnsi="Arial"/>
          <w:b/>
          <w:color w:val="000000"/>
          <w:sz w:val="20"/>
        </w:rPr>
        <w:t>Financial Statements</w:t>
      </w:r>
    </w:p>
    <w:p>
      <w:pPr>
        <w:pStyle w:val="TextBody"/>
        <w:bidi w:val="0"/>
        <w:spacing w:before="360" w:after="283"/>
        <w:jc w:val="left"/>
        <w:rPr>
          <w:rFonts w:ascii="Arial" w:hAnsi="Arial"/>
          <w:b/>
          <w:color w:val="000000"/>
          <w:sz w:val="20"/>
        </w:rPr>
      </w:pPr>
      <w:r>
        <w:rPr>
          <w:rFonts w:ascii="Arial" w:hAnsi="Arial"/>
          <w:b/>
          <w:color w:val="000000"/>
          <w:sz w:val="20"/>
        </w:rPr>
        <w:t>Note 1. Organization and Description of the Business</w:t>
      </w:r>
    </w:p>
    <w:p>
      <w:pPr>
        <w:pStyle w:val="TextBody"/>
        <w:bidi w:val="0"/>
        <w:spacing w:before="120" w:after="283"/>
        <w:jc w:val="left"/>
        <w:rPr>
          <w:rFonts w:ascii="Arial" w:hAnsi="Arial"/>
          <w:b/>
          <w:i/>
          <w:color w:val="000000"/>
          <w:sz w:val="20"/>
        </w:rPr>
      </w:pPr>
      <w:r>
        <w:rPr>
          <w:rFonts w:ascii="Arial" w:hAnsi="Arial"/>
          <w:b/>
          <w:i/>
          <w:color w:val="000000"/>
          <w:sz w:val="20"/>
        </w:rPr>
        <w:t>Description of Business</w:t>
      </w:r>
    </w:p>
    <w:p>
      <w:pPr>
        <w:pStyle w:val="TextBody"/>
        <w:bidi w:val="0"/>
        <w:spacing w:before="120" w:after="283"/>
        <w:jc w:val="left"/>
        <w:rPr>
          <w:rFonts w:ascii="Arial" w:hAnsi="Arial"/>
          <w:color w:val="000000"/>
          <w:sz w:val="20"/>
        </w:rPr>
      </w:pPr>
      <w:r>
        <w:rPr>
          <w:rFonts w:ascii="Arial" w:hAnsi="Arial"/>
          <w:color w:val="000000"/>
          <w:sz w:val="20"/>
        </w:rPr>
        <w:t>AN2 Therapeutics, Inc. (the “Company”) is a clinical stage biopharmaceutical company focused on the discovery and development of novel small molecule therapeutics derived from our boron chemistry platform. Our development pipeline spans hematologic diseases, infectious diseases and oncology with three Phase 2 studies expected to initiate in 2026, two preclinical candidates, as well as advanced research programs focused on targets in oncology, bone disorders and infectious diseases. We are committed to delivering high-impact drugs to patients that address critical unmet needs and improve health outcomes. The Company was incorporated in the state of Delaware in February 2017, began operations in November 2019, began trading on the Nasdaq Global Select Market on March 25, 2022 under the symbol “ANTX”, and is based in Menlo Park, California.</w:t>
      </w:r>
    </w:p>
    <w:p>
      <w:pPr>
        <w:pStyle w:val="TextBody"/>
        <w:bidi w:val="0"/>
        <w:spacing w:before="240" w:after="283"/>
        <w:jc w:val="left"/>
        <w:rPr>
          <w:rFonts w:ascii="Arial" w:hAnsi="Arial"/>
          <w:color w:val="000000"/>
          <w:sz w:val="20"/>
        </w:rPr>
      </w:pPr>
      <w:r>
        <w:rPr>
          <w:rFonts w:ascii="Arial" w:hAnsi="Arial"/>
          <w:color w:val="000000"/>
          <w:sz w:val="20"/>
        </w:rPr>
        <w:t>Since launching operations in November 2019, the Company has devoted substantially all of its resources to performing research and development activities, including with respect to its initial product candidate, epetraborole, and other product candidates, business planning and restructuring, hiring personnel, raising capital, and providing general and administrative support for these operations.</w:t>
      </w:r>
    </w:p>
    <w:p>
      <w:pPr>
        <w:pStyle w:val="TextBody"/>
        <w:bidi w:val="0"/>
        <w:spacing w:before="360" w:after="283"/>
        <w:jc w:val="left"/>
        <w:rPr>
          <w:rFonts w:ascii="Arial" w:hAnsi="Arial"/>
          <w:b/>
          <w:color w:val="000000"/>
          <w:sz w:val="20"/>
        </w:rPr>
      </w:pPr>
      <w:r>
        <w:rPr>
          <w:rFonts w:ascii="Arial" w:hAnsi="Arial"/>
          <w:b/>
          <w:color w:val="000000"/>
          <w:sz w:val="20"/>
        </w:rPr>
        <w:t>Financings</w:t>
      </w:r>
    </w:p>
    <w:p>
      <w:pPr>
        <w:pStyle w:val="TextBody"/>
        <w:bidi w:val="0"/>
        <w:spacing w:before="120" w:after="283"/>
        <w:jc w:val="left"/>
        <w:rPr>
          <w:rFonts w:ascii="Arial" w:hAnsi="Arial"/>
          <w:b/>
          <w:i/>
          <w:color w:val="000000"/>
          <w:sz w:val="20"/>
        </w:rPr>
      </w:pPr>
      <w:r>
        <w:rPr>
          <w:rFonts w:ascii="Arial" w:hAnsi="Arial"/>
          <w:b/>
          <w:i/>
          <w:color w:val="000000"/>
          <w:sz w:val="20"/>
        </w:rPr>
        <w:t>At-The-Market Offering</w:t>
      </w:r>
    </w:p>
    <w:p>
      <w:pPr>
        <w:pStyle w:val="TextBody"/>
        <w:bidi w:val="0"/>
        <w:spacing w:before="120" w:after="283"/>
        <w:jc w:val="left"/>
        <w:rPr>
          <w:rFonts w:ascii="Times New Roman" w:hAnsi="Times New Roman"/>
          <w:sz w:val="20"/>
        </w:rPr>
      </w:pPr>
      <w:r>
        <w:rPr>
          <w:rFonts w:ascii="Arial" w:hAnsi="Arial"/>
          <w:color w:val="000000"/>
          <w:sz w:val="20"/>
        </w:rPr>
        <w:t>On April 6, 2023, the Company entered into a sales agreement (“Sales Agreement”) with Cowen and Company, LLC as the Company’s sales agent (“Agent”)</w:t>
      </w:r>
      <w:r>
        <w:rPr>
          <w:rFonts w:ascii="Times New Roman" w:hAnsi="Times New Roman"/>
          <w:color w:val="000000"/>
          <w:sz w:val="20"/>
        </w:rPr>
        <w:t xml:space="preserve"> </w:t>
      </w:r>
      <w:r>
        <w:rPr>
          <w:rFonts w:ascii="Arial" w:hAnsi="Arial"/>
          <w:color w:val="000000"/>
          <w:sz w:val="20"/>
        </w:rPr>
        <w:t>to issue and sell up to an aggregate gross sales of $100.0</w:t>
      </w:r>
      <w:r>
        <w:rPr>
          <w:rFonts w:ascii="Times New Roman" w:hAnsi="Times New Roman"/>
          <w:color w:val="000000"/>
          <w:sz w:val="20"/>
        </w:rPr>
        <w:t xml:space="preserve"> </w:t>
      </w:r>
      <w:r>
        <w:rPr>
          <w:rFonts w:ascii="Arial" w:hAnsi="Arial"/>
          <w:color w:val="000000"/>
          <w:sz w:val="20"/>
        </w:rPr>
        <w:t>million in shares (“Shares”) of the Company’s common stock through an “at-the-market” equity offering program (“ATM Offering”). The Company will pay commissions to the Agent of up to 3.0% of the gross proceeds of the sale of the Shares sold under the Sales Agreement and reimburse the Agent for certain expenses. During the year ended December 31, 2023, the Company issued and sold 2,502,000</w:t>
      </w:r>
      <w:r>
        <w:rPr>
          <w:rFonts w:ascii="Times New Roman" w:hAnsi="Times New Roman"/>
          <w:color w:val="000000"/>
          <w:sz w:val="20"/>
        </w:rPr>
        <w:t xml:space="preserve"> </w:t>
      </w:r>
      <w:r>
        <w:rPr>
          <w:rFonts w:ascii="Arial" w:hAnsi="Arial"/>
          <w:color w:val="000000"/>
          <w:sz w:val="20"/>
        </w:rPr>
        <w:t>shares of common stock under the ATM Offering, resulting in net proceeds of $19.1</w:t>
      </w:r>
      <w:r>
        <w:rPr>
          <w:rFonts w:ascii="Times New Roman" w:hAnsi="Times New Roman"/>
          <w:color w:val="000000"/>
          <w:sz w:val="20"/>
        </w:rPr>
        <w:t xml:space="preserve"> </w:t>
      </w:r>
      <w:r>
        <w:rPr>
          <w:rFonts w:ascii="Arial" w:hAnsi="Arial"/>
          <w:color w:val="000000"/>
          <w:sz w:val="20"/>
        </w:rPr>
        <w:t>million, after deducting commissions and other offering costs. The Company did not sell any shares of common stock through the ATM Offering during the year ended December 31, 2025.</w:t>
      </w:r>
    </w:p>
    <w:p>
      <w:pPr>
        <w:pStyle w:val="TextBody"/>
        <w:bidi w:val="0"/>
        <w:spacing w:before="360" w:after="283"/>
        <w:jc w:val="left"/>
        <w:rPr>
          <w:rFonts w:ascii="Arial" w:hAnsi="Arial"/>
          <w:b/>
          <w:i/>
          <w:color w:val="000000"/>
          <w:sz w:val="20"/>
        </w:rPr>
      </w:pPr>
      <w:r>
        <w:rPr>
          <w:rFonts w:ascii="Arial" w:hAnsi="Arial"/>
          <w:b/>
          <w:i/>
          <w:color w:val="000000"/>
          <w:sz w:val="20"/>
        </w:rPr>
        <w:t>Underwritten Offering</w:t>
      </w:r>
    </w:p>
    <w:p>
      <w:pPr>
        <w:pStyle w:val="TextBody"/>
        <w:bidi w:val="0"/>
        <w:spacing w:before="120" w:after="283"/>
        <w:jc w:val="left"/>
        <w:rPr>
          <w:rFonts w:ascii="Times New Roman" w:hAnsi="Times New Roman"/>
          <w:sz w:val="20"/>
        </w:rPr>
      </w:pPr>
      <w:r>
        <w:rPr>
          <w:rFonts w:ascii="Arial" w:hAnsi="Arial"/>
          <w:color w:val="000000"/>
          <w:sz w:val="20"/>
        </w:rPr>
        <w:t>On August 15, 2023, the Company entered into an underwriting agreement (the “Underwriting Agreement”) with Cowen and Company, LLC, Leerink Partners LLC and Evercore Group L.L.C., as representatives of several underwriters, to issue and sell 7,777,778</w:t>
      </w:r>
      <w:r>
        <w:rPr>
          <w:rFonts w:ascii="Times New Roman" w:hAnsi="Times New Roman"/>
          <w:color w:val="000000"/>
          <w:sz w:val="20"/>
        </w:rPr>
        <w:t xml:space="preserve"> </w:t>
      </w:r>
      <w:r>
        <w:rPr>
          <w:rFonts w:ascii="Arial" w:hAnsi="Arial"/>
          <w:color w:val="000000"/>
          <w:sz w:val="20"/>
        </w:rPr>
        <w:t>shares of common stock at an offering price of $9.00</w:t>
      </w:r>
      <w:r>
        <w:rPr>
          <w:rFonts w:ascii="Times New Roman" w:hAnsi="Times New Roman"/>
          <w:color w:val="000000"/>
          <w:sz w:val="20"/>
        </w:rPr>
        <w:t xml:space="preserve"> </w:t>
      </w:r>
      <w:r>
        <w:rPr>
          <w:rFonts w:ascii="Arial" w:hAnsi="Arial"/>
          <w:color w:val="000000"/>
          <w:sz w:val="20"/>
        </w:rPr>
        <w:t>per share, resulting in net proceeds of $65.5</w:t>
      </w:r>
      <w:r>
        <w:rPr>
          <w:rFonts w:ascii="Times New Roman" w:hAnsi="Times New Roman"/>
          <w:color w:val="000000"/>
          <w:sz w:val="20"/>
        </w:rPr>
        <w:t xml:space="preserve"> </w:t>
      </w:r>
      <w:r>
        <w:rPr>
          <w:rFonts w:ascii="Arial" w:hAnsi="Arial"/>
          <w:color w:val="000000"/>
          <w:sz w:val="20"/>
        </w:rPr>
        <w:t>million, after deducting commissions and other offering costs (the “Underwritten Offering”).</w:t>
      </w:r>
    </w:p>
    <w:p>
      <w:pPr>
        <w:pStyle w:val="TextBody"/>
        <w:bidi w:val="0"/>
        <w:spacing w:before="360" w:after="283"/>
        <w:jc w:val="left"/>
        <w:rPr>
          <w:rFonts w:ascii="Arial" w:hAnsi="Arial"/>
          <w:b/>
          <w:color w:val="000000"/>
          <w:sz w:val="20"/>
        </w:rPr>
      </w:pPr>
      <w:r>
        <w:rPr>
          <w:rFonts w:ascii="Arial" w:hAnsi="Arial"/>
          <w:b/>
          <w:color w:val="000000"/>
          <w:sz w:val="20"/>
        </w:rPr>
        <w:t>Note 2. Summary of Significant Accounting Policies</w:t>
      </w:r>
    </w:p>
    <w:p>
      <w:pPr>
        <w:pStyle w:val="TextBody"/>
        <w:bidi w:val="0"/>
        <w:spacing w:before="120" w:after="283"/>
        <w:jc w:val="left"/>
        <w:rPr>
          <w:rFonts w:ascii="Arial" w:hAnsi="Arial"/>
          <w:b/>
          <w:i/>
          <w:color w:val="000000"/>
          <w:sz w:val="20"/>
        </w:rPr>
      </w:pPr>
      <w:r>
        <w:rPr>
          <w:rFonts w:ascii="Arial" w:hAnsi="Arial"/>
          <w:b/>
          <w:i/>
          <w:color w:val="000000"/>
          <w:sz w:val="20"/>
        </w:rPr>
        <w:t>Basis of Presentation</w:t>
      </w:r>
    </w:p>
    <w:p>
      <w:pPr>
        <w:pStyle w:val="TextBody"/>
        <w:bidi w:val="0"/>
        <w:spacing w:before="120" w:after="283"/>
        <w:jc w:val="left"/>
        <w:rPr>
          <w:rFonts w:ascii="Arial" w:hAnsi="Arial"/>
          <w:color w:val="000000"/>
          <w:sz w:val="20"/>
        </w:rPr>
      </w:pPr>
      <w:r>
        <w:rPr>
          <w:rFonts w:ascii="Arial" w:hAnsi="Arial"/>
          <w:color w:val="000000"/>
          <w:sz w:val="20"/>
        </w:rPr>
        <w:t>The Company’s financial statements have been prepared in accordance with United States generally accepted accounting principles (“U.S. GAAP”). Certain reclassifications have been made to the prior year presentation to conform to the current year presentation. The prior year presentation of "other income, net" on the statements of operations and comprehensive loss has been separated to “interest income” and “other income” and conformed to reflect the current year's presentation.</w:t>
      </w:r>
    </w:p>
    <w:p>
      <w:pPr>
        <w:pStyle w:val="TextBody"/>
        <w:bidi w:val="0"/>
        <w:spacing w:before="360" w:after="283"/>
        <w:jc w:val="left"/>
        <w:rPr>
          <w:rFonts w:ascii="Arial" w:hAnsi="Arial"/>
          <w:b/>
          <w:i/>
          <w:color w:val="000000"/>
          <w:sz w:val="20"/>
        </w:rPr>
      </w:pPr>
      <w:r>
        <w:rPr>
          <w:rFonts w:ascii="Arial" w:hAnsi="Arial"/>
          <w:b/>
          <w:i/>
          <w:color w:val="000000"/>
          <w:sz w:val="20"/>
        </w:rPr>
        <w:t>Risks and Uncertainties</w:t>
      </w:r>
    </w:p>
    <w:p>
      <w:pPr>
        <w:pStyle w:val="TextBody"/>
        <w:bidi w:val="0"/>
        <w:spacing w:before="120" w:after="283"/>
        <w:jc w:val="left"/>
        <w:rPr>
          <w:rFonts w:ascii="Arial" w:hAnsi="Arial"/>
          <w:i/>
          <w:color w:val="000000"/>
          <w:sz w:val="20"/>
        </w:rPr>
      </w:pPr>
      <w:r>
        <w:rPr>
          <w:rFonts w:ascii="Arial" w:hAnsi="Arial"/>
          <w:i/>
          <w:color w:val="000000"/>
          <w:sz w:val="20"/>
        </w:rPr>
        <w:t>Liquidity</w:t>
      </w:r>
    </w:p>
    <w:p>
      <w:pPr>
        <w:pStyle w:val="TextBody"/>
        <w:bidi w:val="0"/>
        <w:spacing w:before="120" w:after="283"/>
        <w:jc w:val="left"/>
        <w:rPr>
          <w:rFonts w:ascii="Times New Roman" w:hAnsi="Times New Roman"/>
          <w:sz w:val="20"/>
        </w:rPr>
      </w:pPr>
      <w:r>
        <w:rPr>
          <w:rFonts w:ascii="Arial" w:hAnsi="Arial"/>
          <w:color w:val="000000"/>
          <w:sz w:val="20"/>
        </w:rPr>
        <w:t>Since inception, the Company has incurred significant losses and negative net cash flows from operations. During the years ended December 31, 2025 and 2024, the Company incurred a net loss of $35.2</w:t>
      </w:r>
      <w:r>
        <w:rPr>
          <w:rFonts w:ascii="Times New Roman" w:hAnsi="Times New Roman"/>
          <w:color w:val="000000"/>
          <w:sz w:val="20"/>
        </w:rPr>
        <w:t xml:space="preserve"> </w:t>
      </w:r>
      <w:r>
        <w:rPr>
          <w:rFonts w:ascii="Arial" w:hAnsi="Arial"/>
          <w:color w:val="000000"/>
          <w:sz w:val="20"/>
        </w:rPr>
        <w:t>million and $51.3</w:t>
      </w:r>
      <w:r>
        <w:rPr>
          <w:rFonts w:ascii="Times New Roman" w:hAnsi="Times New Roman"/>
          <w:color w:val="000000"/>
          <w:sz w:val="20"/>
        </w:rPr>
        <w:t xml:space="preserve"> </w:t>
      </w:r>
      <w:r>
        <w:rPr>
          <w:rFonts w:ascii="Arial" w:hAnsi="Arial"/>
          <w:color w:val="000000"/>
          <w:sz w:val="20"/>
        </w:rPr>
        <w:t>million, respectively, and had cash flows used in operating activities of $29.8</w:t>
      </w:r>
      <w:r>
        <w:rPr>
          <w:rFonts w:ascii="Times New Roman" w:hAnsi="Times New Roman"/>
          <w:color w:val="000000"/>
          <w:sz w:val="20"/>
        </w:rPr>
        <w:t xml:space="preserve"> </w:t>
      </w:r>
      <w:r>
        <w:rPr>
          <w:rFonts w:ascii="Arial" w:hAnsi="Arial"/>
          <w:color w:val="000000"/>
          <w:sz w:val="20"/>
        </w:rPr>
        <w:t>million and $49.3</w:t>
      </w:r>
      <w:r>
        <w:rPr>
          <w:rFonts w:ascii="Times New Roman" w:hAnsi="Times New Roman"/>
          <w:color w:val="000000"/>
          <w:sz w:val="20"/>
        </w:rPr>
        <w:t xml:space="preserve"> </w:t>
      </w:r>
      <w:r>
        <w:rPr>
          <w:rFonts w:ascii="Arial" w:hAnsi="Arial"/>
          <w:color w:val="000000"/>
          <w:sz w:val="20"/>
        </w:rPr>
        <w:t>million, respectively. The Company has an accumulated deficit of $241.0</w:t>
      </w:r>
      <w:r>
        <w:rPr>
          <w:rFonts w:ascii="Times New Roman" w:hAnsi="Times New Roman"/>
          <w:color w:val="000000"/>
          <w:sz w:val="20"/>
        </w:rPr>
        <w:t xml:space="preserve"> </w:t>
      </w:r>
      <w:r>
        <w:rPr>
          <w:rFonts w:ascii="Arial" w:hAnsi="Arial"/>
          <w:color w:val="000000"/>
          <w:sz w:val="20"/>
        </w:rPr>
        <w:t>million and $205.8</w:t>
      </w:r>
      <w:r>
        <w:rPr>
          <w:rFonts w:ascii="Times New Roman" w:hAnsi="Times New Roman"/>
          <w:color w:val="000000"/>
          <w:sz w:val="20"/>
        </w:rPr>
        <w:t xml:space="preserve"> </w:t>
      </w:r>
      <w:r>
        <w:rPr>
          <w:rFonts w:ascii="Arial" w:hAnsi="Arial"/>
          <w:color w:val="000000"/>
          <w:sz w:val="20"/>
        </w:rPr>
        <w:t>million as of December 31, 2025 and 2024, respectively, and will require substantial additional capital for research and development activities. The Company anticipates incurring additional losses until such time, if ever, that it can generate significant sales of its product candidates currently in development.</w:t>
      </w:r>
    </w:p>
    <w:p>
      <w:pPr>
        <w:pStyle w:val="TextBody"/>
        <w:bidi w:val="0"/>
        <w:jc w:val="center"/>
        <w:rPr>
          <w:rFonts w:ascii="Arial" w:hAnsi="Arial"/>
          <w:color w:val="000000"/>
          <w:sz w:val="20"/>
        </w:rPr>
      </w:pPr>
      <w:r>
        <w:rPr>
          <w:rFonts w:ascii="Arial" w:hAnsi="Arial"/>
          <w:color w:val="000000"/>
          <w:sz w:val="20"/>
        </w:rPr>
        <w:t>F-7</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Arial" w:hAnsi="Arial"/>
          <w:color w:val="000000"/>
          <w:sz w:val="20"/>
        </w:rPr>
        <w:t>As of December 31, 2025, the Company had cash, cash equivalents, short-term investments and long-term investments of $60.0</w:t>
      </w:r>
      <w:r>
        <w:rPr>
          <w:rFonts w:ascii="Times New Roman" w:hAnsi="Times New Roman"/>
          <w:color w:val="000000"/>
          <w:sz w:val="20"/>
        </w:rPr>
        <w:t xml:space="preserve"> </w:t>
      </w:r>
      <w:r>
        <w:rPr>
          <w:rFonts w:ascii="Arial" w:hAnsi="Arial"/>
          <w:color w:val="000000"/>
          <w:sz w:val="20"/>
        </w:rPr>
        <w:t>million. Management believes that its cash, cash equivalents and investments as of December 31, 2025</w:t>
      </w:r>
      <w:r>
        <w:rPr>
          <w:rFonts w:ascii="Times New Roman" w:hAnsi="Times New Roman"/>
          <w:color w:val="000000"/>
          <w:sz w:val="20"/>
        </w:rPr>
        <w:t xml:space="preserve"> </w:t>
      </w:r>
      <w:r>
        <w:rPr>
          <w:rFonts w:ascii="Arial" w:hAnsi="Arial"/>
          <w:color w:val="000000"/>
          <w:sz w:val="20"/>
        </w:rPr>
        <w:t>will be sufficient to fund its current operating plan through at least 12 months from the issuance date of these financial statements. Future capital requirements will depend on many factors, including the timing and extent of spending on research and development, including costs for preclinical and nonclinical studies, clinical trials, and clinical trial material manufacturing.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pStyle w:val="TextBody"/>
        <w:bidi w:val="0"/>
        <w:spacing w:before="360" w:after="283"/>
        <w:jc w:val="left"/>
        <w:rPr>
          <w:rFonts w:ascii="Arial" w:hAnsi="Arial"/>
          <w:b/>
          <w:i/>
          <w:color w:val="000000"/>
          <w:sz w:val="20"/>
        </w:rPr>
      </w:pPr>
      <w:r>
        <w:rPr>
          <w:rFonts w:ascii="Arial" w:hAnsi="Arial"/>
          <w:b/>
          <w:i/>
          <w:color w:val="000000"/>
          <w:sz w:val="20"/>
        </w:rPr>
        <w:t>Segments</w:t>
      </w:r>
    </w:p>
    <w:p>
      <w:pPr>
        <w:pStyle w:val="TextBody"/>
        <w:bidi w:val="0"/>
        <w:spacing w:before="120" w:after="283"/>
        <w:jc w:val="left"/>
        <w:rPr>
          <w:rFonts w:ascii="Times New Roman" w:hAnsi="Times New Roman"/>
          <w:sz w:val="20"/>
        </w:rPr>
      </w:pPr>
      <w:r>
        <w:rPr>
          <w:rFonts w:ascii="Arial" w:hAnsi="Arial"/>
          <w:color w:val="000000"/>
          <w:sz w:val="20"/>
        </w:rPr>
        <w:t>The Company operates and manages its business as one</w:t>
      </w:r>
      <w:r>
        <w:rPr>
          <w:rFonts w:ascii="Times New Roman" w:hAnsi="Times New Roman"/>
          <w:color w:val="000000"/>
          <w:sz w:val="20"/>
        </w:rPr>
        <w:t xml:space="preserve"> </w:t>
      </w:r>
      <w:r>
        <w:rPr>
          <w:rFonts w:ascii="Arial" w:hAnsi="Arial"/>
          <w:color w:val="000000"/>
          <w:sz w:val="20"/>
        </w:rPr>
        <w:t>reportable and operating segment. For financial information related to the Company's one operating segment see Note 13 - Segment Reporting.</w:t>
      </w:r>
    </w:p>
    <w:p>
      <w:pPr>
        <w:pStyle w:val="TextBody"/>
        <w:bidi w:val="0"/>
        <w:spacing w:before="360" w:after="283"/>
        <w:jc w:val="left"/>
        <w:rPr>
          <w:rFonts w:ascii="Arial" w:hAnsi="Arial"/>
          <w:b/>
          <w:i/>
          <w:color w:val="000000"/>
          <w:sz w:val="20"/>
        </w:rPr>
      </w:pPr>
      <w:r>
        <w:rPr>
          <w:rFonts w:ascii="Arial" w:hAnsi="Arial"/>
          <w:b/>
          <w:i/>
          <w:color w:val="000000"/>
          <w:sz w:val="20"/>
        </w:rPr>
        <w:t>Use of Estimates</w:t>
      </w:r>
    </w:p>
    <w:p>
      <w:pPr>
        <w:pStyle w:val="TextBody"/>
        <w:bidi w:val="0"/>
        <w:spacing w:before="120" w:after="283"/>
        <w:jc w:val="left"/>
        <w:rPr>
          <w:rFonts w:ascii="Arial" w:hAnsi="Arial"/>
          <w:color w:val="000000"/>
          <w:sz w:val="20"/>
        </w:rPr>
      </w:pPr>
      <w:r>
        <w:rPr>
          <w:rFonts w:ascii="Arial" w:hAnsi="Arial"/>
          <w:color w:val="000000"/>
          <w:sz w:val="20"/>
        </w:rPr>
        <w:t>The preparation of financial statements in conformity with U.S. GAAP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research and development accruals, fair value of assets and stock-based compensation.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360" w:after="283"/>
        <w:jc w:val="left"/>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All research and development costs, including work performed by third parties, are expensed as incurred. Research and development costs consist of salaries and other personnel-related expenses, including associated stock-based compensation, consulting fees, and facility costs, as well as fees paid to other entities that conduct certain research and development activities on behalf of the Company. Payments made prior to the receipt of goods or services to be used in research and development are capitalized until the goods are received or services are rendered.</w:t>
      </w:r>
    </w:p>
    <w:p>
      <w:pPr>
        <w:pStyle w:val="TextBody"/>
        <w:bidi w:val="0"/>
        <w:spacing w:before="240" w:after="283"/>
        <w:jc w:val="left"/>
        <w:rPr>
          <w:rFonts w:ascii="Arial" w:hAnsi="Arial"/>
          <w:color w:val="000000"/>
          <w:sz w:val="20"/>
        </w:rPr>
      </w:pPr>
      <w:r>
        <w:rPr>
          <w:rFonts w:ascii="Arial" w:hAnsi="Arial"/>
          <w:color w:val="000000"/>
          <w:sz w:val="20"/>
        </w:rPr>
        <w:t>As part of the process of preparing its financial statements, the Company estimates its accrued expenses.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contract manufacturing and clinical and other research organizations, academic research centers and other vendors in connection with research and development activities for which the Company has not yet been invoiced.</w:t>
      </w:r>
    </w:p>
    <w:p>
      <w:pPr>
        <w:pStyle w:val="TextBody"/>
        <w:bidi w:val="0"/>
        <w:jc w:val="center"/>
        <w:rPr>
          <w:rFonts w:ascii="Arial" w:hAnsi="Arial"/>
          <w:color w:val="000000"/>
          <w:sz w:val="20"/>
        </w:rPr>
      </w:pPr>
      <w:r>
        <w:rPr>
          <w:rFonts w:ascii="Arial" w:hAnsi="Arial"/>
          <w:color w:val="000000"/>
          <w:sz w:val="20"/>
        </w:rPr>
        <w:t>F-8</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i/>
          <w:color w:val="000000"/>
          <w:sz w:val="20"/>
        </w:rPr>
      </w:pPr>
      <w:r>
        <w:rPr>
          <w:rFonts w:ascii="Arial" w:hAnsi="Arial"/>
          <w:b/>
          <w:i/>
          <w:color w:val="000000"/>
          <w:sz w:val="20"/>
        </w:rPr>
        <w:t>Stock-Based Compensation</w:t>
      </w:r>
    </w:p>
    <w:p>
      <w:pPr>
        <w:pStyle w:val="TextBody"/>
        <w:bidi w:val="0"/>
        <w:spacing w:before="120" w:after="283"/>
        <w:jc w:val="left"/>
        <w:rPr>
          <w:rFonts w:ascii="Arial" w:hAnsi="Arial"/>
          <w:color w:val="000000"/>
          <w:sz w:val="20"/>
        </w:rPr>
      </w:pPr>
      <w:r>
        <w:rPr>
          <w:rFonts w:ascii="Arial" w:hAnsi="Arial"/>
          <w:color w:val="000000"/>
          <w:sz w:val="20"/>
        </w:rPr>
        <w:t>The Company measures and recognizes compensation expense for equity-classified stock-based awards made to employees, directors and non-employees based on the grant date estimated fair value of each award. Compensation expense for employee and director awards is recognized on a straight-line basis over the requisite service period which is generally the vesting period for the entire award. Expense is adjusted for forfeitures as they occur. Compensation expense for non-employee awards is recognized in the same period and manner as if the Company had paid cash for the goods or services provided.</w:t>
      </w:r>
    </w:p>
    <w:p>
      <w:pPr>
        <w:pStyle w:val="TextBody"/>
        <w:bidi w:val="0"/>
        <w:spacing w:before="240" w:after="283"/>
        <w:jc w:val="left"/>
        <w:rPr>
          <w:rFonts w:ascii="Arial" w:hAnsi="Arial"/>
          <w:color w:val="000000"/>
          <w:sz w:val="20"/>
        </w:rPr>
      </w:pPr>
      <w:r>
        <w:rPr>
          <w:rFonts w:ascii="Arial" w:hAnsi="Arial"/>
          <w:color w:val="000000"/>
          <w:sz w:val="20"/>
        </w:rPr>
        <w:t>The valuation model used for calculating the fair value of stock options for stock-based compensation expense is the Black-Scholes option-pricing model (the “Black-Scholes model”). The Black-Scholes model requires management to make assumptions and judgments about the variables used in the calculation, including the expected term, the expected volatility of common stock, an assumed risk-free interest rate, and expected dividends the Company may pay. Management uses the simplified calculation (based on the mid-point between the vesting date and the end of the contractual term) of the expected term for its stock options as the Company has concluded that its stock option history does not provide a reasonable basis upon which to estimate expected term. Through November 2025, volatility is based on an average of the historical volatilities of the common stock of entities with characteristics similar to the Company’s. Beginning in December 2025, after sufficient trading data of the Company’s own stock on the Nasdaq Global Market became available, we adopted a blended volatility methodology that combines the Company’s historical volatility with that of a peer group, weighing the volatility of its peer group for the amount of time prior to the March 2022 IPO so that the blended volatility term equals the expected term of the related stock-based award. We will continue to utilize this blended volatility methodology until sufficient historical trading data of the Company's own stock is available. The risk-free rate is based on the U.S. Treasury yield curve in effect at the time of grant for periods corresponding with the expected life of the option. The Company uses an assumed dividend yield of zero as the Company has never paid dividends and has no current plans to pay any dividends on its common stock.</w:t>
      </w:r>
    </w:p>
    <w:p>
      <w:pPr>
        <w:pStyle w:val="TextBody"/>
        <w:bidi w:val="0"/>
        <w:spacing w:before="240" w:after="283"/>
        <w:jc w:val="left"/>
        <w:rPr>
          <w:rFonts w:ascii="Arial" w:hAnsi="Arial"/>
          <w:color w:val="000000"/>
          <w:sz w:val="20"/>
        </w:rPr>
      </w:pPr>
      <w:r>
        <w:rPr>
          <w:rFonts w:ascii="Arial" w:hAnsi="Arial"/>
          <w:color w:val="000000"/>
          <w:sz w:val="20"/>
        </w:rPr>
        <w:t>For option awards that contain performance conditions, compensation cost is recognized in the period in which it becomes probable that the performance condition will be satisfied. For option awards that vest upon a liquidity event or a change in control, the performance condition is not probable of being achieved until the event occurs. As a result, no compensation expense would be recognized until the performance-based vesting condition is achieved.</w:t>
      </w:r>
    </w:p>
    <w:p>
      <w:pPr>
        <w:pStyle w:val="TextBody"/>
        <w:bidi w:val="0"/>
        <w:spacing w:before="360" w:after="283"/>
        <w:jc w:val="left"/>
        <w:rPr>
          <w:rFonts w:ascii="Arial" w:hAnsi="Arial"/>
          <w:b/>
          <w:i/>
          <w:color w:val="000000"/>
          <w:sz w:val="20"/>
        </w:rPr>
      </w:pPr>
      <w:r>
        <w:rPr>
          <w:rFonts w:ascii="Arial" w:hAnsi="Arial"/>
          <w:b/>
          <w:i/>
          <w:color w:val="000000"/>
          <w:sz w:val="20"/>
        </w:rPr>
        <w:t>Warrants</w:t>
      </w:r>
    </w:p>
    <w:p>
      <w:pPr>
        <w:pStyle w:val="TextBody"/>
        <w:bidi w:val="0"/>
        <w:spacing w:before="120" w:after="283"/>
        <w:jc w:val="left"/>
        <w:rPr>
          <w:rFonts w:ascii="Arial" w:hAnsi="Arial"/>
          <w:color w:val="000000"/>
          <w:sz w:val="20"/>
        </w:rPr>
      </w:pPr>
      <w:r>
        <w:rPr>
          <w:rFonts w:ascii="Arial" w:hAnsi="Arial"/>
          <w:color w:val="000000"/>
          <w:sz w:val="20"/>
        </w:rPr>
        <w:t>The Company accounts for warrants as equity-classified instruments based on an assessment of the warrant’s specific terms and applicable authoritative guidance in the Financial Accounting Standards Board ASC 480, Distinguishing Liabilities from Equity (“ASC 480”) and ASC 815, Derivatives and Hedging (“ASC 815”). This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In addition, the Company determines if the warrants meet the definition of a derivative based on their contractual terms. This assessment, which requires the use of professional judgment, is conducted at the time of warrant issuance and as of each subsequent quarterly period end date while the warrants are outstanding.</w:t>
      </w:r>
    </w:p>
    <w:p>
      <w:pPr>
        <w:pStyle w:val="TextBody"/>
        <w:bidi w:val="0"/>
        <w:spacing w:before="240" w:after="283"/>
        <w:jc w:val="left"/>
        <w:rPr>
          <w:rFonts w:ascii="Arial" w:hAnsi="Arial"/>
          <w:color w:val="000000"/>
          <w:sz w:val="20"/>
        </w:rPr>
      </w:pPr>
      <w:r>
        <w:rPr>
          <w:rFonts w:ascii="Arial" w:hAnsi="Arial"/>
          <w:color w:val="000000"/>
          <w:sz w:val="20"/>
        </w:rPr>
        <w:t>For issued or modified warrants that meet all of the criteria for equity classification, the warrants are required to be recorded as a component of additional paid-in capital at the time of issuance. The Company also evaluates if changes in contractual terms or other considerations would result in the reclassification of outstanding warrants from stockholders’ equity to liabilities (or vice versa).</w:t>
      </w:r>
    </w:p>
    <w:p>
      <w:pPr>
        <w:pStyle w:val="TextBody"/>
        <w:bidi w:val="0"/>
        <w:spacing w:before="360" w:after="283"/>
        <w:jc w:val="left"/>
        <w:rPr>
          <w:rFonts w:ascii="Times New Roman" w:hAnsi="Times New Roman"/>
          <w:sz w:val="20"/>
        </w:rPr>
      </w:pPr>
      <w:r>
        <w:rPr>
          <w:rFonts w:ascii="Arial" w:hAnsi="Arial"/>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 considers all highly liquid investments with a maturity of three months or less when purchased to be cash equivalents. Cash equivalents, which consist of money market funds and commercial paper, are stated at fair value. As of December 31, 2025 and 2024, the Company had cash and cash equivalents of $19.9</w:t>
      </w:r>
      <w:r>
        <w:rPr>
          <w:rFonts w:ascii="Times New Roman" w:hAnsi="Times New Roman"/>
          <w:color w:val="000000"/>
          <w:sz w:val="20"/>
        </w:rPr>
        <w:t xml:space="preserve"> </w:t>
      </w:r>
      <w:r>
        <w:rPr>
          <w:rFonts w:ascii="Arial" w:hAnsi="Arial"/>
          <w:color w:val="000000"/>
          <w:sz w:val="20"/>
        </w:rPr>
        <w:t>million and $21.4</w:t>
      </w:r>
      <w:r>
        <w:rPr>
          <w:rFonts w:ascii="Times New Roman" w:hAnsi="Times New Roman"/>
          <w:color w:val="000000"/>
          <w:sz w:val="20"/>
        </w:rPr>
        <w:t xml:space="preserve"> </w:t>
      </w:r>
      <w:r>
        <w:rPr>
          <w:rFonts w:ascii="Arial" w:hAnsi="Arial"/>
          <w:color w:val="000000"/>
          <w:sz w:val="20"/>
        </w:rPr>
        <w:t>million, respectively.</w:t>
      </w:r>
    </w:p>
    <w:p>
      <w:pPr>
        <w:pStyle w:val="TextBody"/>
        <w:bidi w:val="0"/>
        <w:jc w:val="center"/>
        <w:rPr>
          <w:rFonts w:ascii="Arial" w:hAnsi="Arial"/>
          <w:color w:val="000000"/>
          <w:sz w:val="20"/>
        </w:rPr>
      </w:pPr>
      <w:r>
        <w:rPr>
          <w:rFonts w:ascii="Arial" w:hAnsi="Arial"/>
          <w:color w:val="000000"/>
          <w:sz w:val="20"/>
        </w:rPr>
        <w:t>F-9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i/>
          <w:color w:val="000000"/>
          <w:sz w:val="20"/>
        </w:rPr>
      </w:pPr>
      <w:r>
        <w:rPr>
          <w:rFonts w:ascii="Arial" w:hAnsi="Arial"/>
          <w:b/>
          <w:i/>
          <w:color w:val="000000"/>
          <w:sz w:val="20"/>
        </w:rPr>
        <w:t>Investments</w:t>
      </w:r>
    </w:p>
    <w:p>
      <w:pPr>
        <w:pStyle w:val="TextBody"/>
        <w:bidi w:val="0"/>
        <w:spacing w:before="120" w:after="283"/>
        <w:jc w:val="left"/>
        <w:rPr>
          <w:rFonts w:ascii="Times New Roman" w:hAnsi="Times New Roman"/>
          <w:sz w:val="20"/>
        </w:rPr>
      </w:pPr>
      <w:r>
        <w:rPr>
          <w:rFonts w:ascii="Arial" w:hAnsi="Arial"/>
          <w:color w:val="000000"/>
          <w:sz w:val="20"/>
        </w:rPr>
        <w:t>Investments consist of U.S. Treasury securities, commercial paper, U.S. Government agency securities, and corporate debt securities. All of the Company’s investments are classified as available-for-sale and are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 The cost of investments sold, if any, is based on the specific identification method.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Unrealized gains and losses on available-for-sale investments are reported in accumulated other comprehensive gain (loss) as a separate component of stockholders’ equity.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statements of operations and comprehensive loss. If neither criterion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other income. Any unrealized losses from declines in fair value below the amortized cost basis as a result of non-credit factors are recognized in accumulated other comprehensive income (loss) as a separate component of stockholders’ equity, along with unrealized gains. Realized gains and losses and declines in fair value, if any, on available-for-sale securities are included in other income in the statements of operations and comprehensive loss.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to prepaid expenses and other current assets. There have been no</w:t>
      </w:r>
      <w:r>
        <w:rPr>
          <w:rFonts w:ascii="Times New Roman" w:hAnsi="Times New Roman"/>
          <w:color w:val="000000"/>
          <w:sz w:val="20"/>
        </w:rPr>
        <w:t xml:space="preserve"> </w:t>
      </w:r>
      <w:r>
        <w:rPr>
          <w:rFonts w:ascii="Arial" w:hAnsi="Arial"/>
          <w:color w:val="000000"/>
          <w:sz w:val="20"/>
        </w:rPr>
        <w:t>uncollectible accrued interest write-offs in the years ended December 31, 2025 or 2024.</w:t>
      </w:r>
    </w:p>
    <w:p>
      <w:pPr>
        <w:pStyle w:val="TextBody"/>
        <w:bidi w:val="0"/>
        <w:spacing w:before="240" w:after="283"/>
        <w:jc w:val="left"/>
        <w:rPr>
          <w:rFonts w:ascii="Times New Roman" w:hAnsi="Times New Roman"/>
          <w:sz w:val="20"/>
        </w:rPr>
      </w:pPr>
      <w:r>
        <w:rPr>
          <w:rFonts w:ascii="Arial" w:hAnsi="Arial"/>
          <w:color w:val="000000"/>
          <w:sz w:val="20"/>
        </w:rPr>
        <w:t>As of December 31, 2025 and 2024, the Company had investments of $40.1</w:t>
      </w:r>
      <w:r>
        <w:rPr>
          <w:rFonts w:ascii="Times New Roman" w:hAnsi="Times New Roman"/>
          <w:color w:val="000000"/>
          <w:sz w:val="20"/>
        </w:rPr>
        <w:t xml:space="preserve"> </w:t>
      </w:r>
      <w:r>
        <w:rPr>
          <w:rFonts w:ascii="Arial" w:hAnsi="Arial"/>
          <w:color w:val="000000"/>
          <w:sz w:val="20"/>
        </w:rPr>
        <w:t>million and $67.3</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360" w:after="283"/>
        <w:jc w:val="left"/>
        <w:rPr>
          <w:rFonts w:ascii="Arial" w:hAnsi="Arial"/>
          <w:b/>
          <w:i/>
          <w:color w:val="000000"/>
          <w:sz w:val="20"/>
        </w:rPr>
      </w:pPr>
      <w:r>
        <w:rPr>
          <w:rFonts w:ascii="Arial" w:hAnsi="Arial"/>
          <w:b/>
          <w:i/>
          <w:color w:val="000000"/>
          <w:sz w:val="20"/>
        </w:rPr>
        <w:t>Concentrations of Credit Risk</w:t>
      </w:r>
    </w:p>
    <w:p>
      <w:pPr>
        <w:pStyle w:val="TextBody"/>
        <w:bidi w:val="0"/>
        <w:spacing w:before="120" w:after="283"/>
        <w:jc w:val="left"/>
        <w:rPr>
          <w:rFonts w:ascii="Arial" w:hAnsi="Arial"/>
          <w:color w:val="000000"/>
          <w:sz w:val="20"/>
        </w:rPr>
      </w:pPr>
      <w:r>
        <w:rPr>
          <w:rFonts w:ascii="Arial" w:hAnsi="Arial"/>
          <w:color w:val="000000"/>
          <w:sz w:val="20"/>
        </w:rPr>
        <w:t>Financial instruments that potentially subject the Company to concentrations of credit risk consist of cash, cash equivalents and investments. The Company’s cash is invested through financial institutions in the U.S. The Company’s investments consist of debt securities, issued by highly rated corporate entities or the U.S. government. The Company’s exposure to any individual corporate entity is limited by its investment policy. Deposits have and will continue to exceed federally insured limits. The Company invests its cash equivalents in highly rated money market funds. Through December 31, 2025, the Company has not experienced any credit losses in such accounts.</w:t>
      </w:r>
    </w:p>
    <w:p>
      <w:pPr>
        <w:pStyle w:val="TextBody"/>
        <w:bidi w:val="0"/>
        <w:spacing w:before="240" w:after="283"/>
        <w:jc w:val="left"/>
        <w:rPr>
          <w:rFonts w:ascii="Arial" w:hAnsi="Arial"/>
          <w:color w:val="000000"/>
          <w:sz w:val="20"/>
        </w:rPr>
      </w:pPr>
      <w:r>
        <w:rPr>
          <w:rFonts w:ascii="Arial" w:hAnsi="Arial"/>
          <w:color w:val="000000"/>
          <w:sz w:val="20"/>
        </w:rPr>
        <w:t>The Company is exposed to credit risk in the event of a default by the financial institutions holding its cash to the extent recorded on the balance sheets. Through December 31, 2025, the Company has no off-balance sheet concentrations of credit risk.</w:t>
      </w:r>
    </w:p>
    <w:p>
      <w:pPr>
        <w:pStyle w:val="TextBody"/>
        <w:bidi w:val="0"/>
        <w:jc w:val="center"/>
        <w:rPr>
          <w:rFonts w:ascii="Arial" w:hAnsi="Arial"/>
          <w:color w:val="000000"/>
          <w:sz w:val="20"/>
        </w:rPr>
      </w:pPr>
      <w:r>
        <w:rPr>
          <w:rFonts w:ascii="Arial" w:hAnsi="Arial"/>
          <w:color w:val="000000"/>
          <w:sz w:val="20"/>
        </w:rPr>
        <w:t>F-10</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i/>
          <w:color w:val="000000"/>
          <w:sz w:val="20"/>
        </w:rPr>
      </w:pPr>
      <w:r>
        <w:rPr>
          <w:rFonts w:ascii="Arial" w:hAnsi="Arial"/>
          <w:b/>
          <w:i/>
          <w:color w:val="000000"/>
          <w:sz w:val="20"/>
        </w:rPr>
        <w:t>Government Contract</w:t>
      </w:r>
    </w:p>
    <w:p>
      <w:pPr>
        <w:pStyle w:val="TextBody"/>
        <w:bidi w:val="0"/>
        <w:spacing w:before="120" w:after="283"/>
        <w:jc w:val="left"/>
        <w:rPr>
          <w:rFonts w:ascii="Times New Roman" w:hAnsi="Times New Roman"/>
          <w:sz w:val="20"/>
        </w:rPr>
      </w:pPr>
      <w:r>
        <w:rPr>
          <w:rFonts w:ascii="Arial" w:hAnsi="Arial"/>
          <w:color w:val="000000"/>
          <w:sz w:val="20"/>
        </w:rPr>
        <w:t>In September 2022, the Company received a cost-reimbursement contract award under which the Company is eligible to receive up to $17.8</w:t>
      </w:r>
      <w:r>
        <w:rPr>
          <w:rFonts w:ascii="Times New Roman" w:hAnsi="Times New Roman"/>
          <w:color w:val="000000"/>
          <w:sz w:val="20"/>
        </w:rPr>
        <w:t xml:space="preserve"> </w:t>
      </w:r>
      <w:r>
        <w:rPr>
          <w:rFonts w:ascii="Arial" w:hAnsi="Arial"/>
          <w:color w:val="000000"/>
          <w:sz w:val="20"/>
        </w:rPr>
        <w:t>million from the U.S. National Institute of Allergy and Infectious Diseases (“NIAID”) to support preclinical, Phase 1 studies and other activities to enable advancement of epetraborole into late-stage development for acute systemic melioidosis and other biothreat pathogens. In April 2025, the Company entered into a contract modification with NIAID for a $0.5</w:t>
      </w:r>
      <w:r>
        <w:rPr>
          <w:rFonts w:ascii="Times New Roman" w:hAnsi="Times New Roman"/>
          <w:color w:val="000000"/>
          <w:sz w:val="20"/>
        </w:rPr>
        <w:t xml:space="preserve"> </w:t>
      </w:r>
      <w:r>
        <w:rPr>
          <w:rFonts w:ascii="Arial" w:hAnsi="Arial"/>
          <w:color w:val="000000"/>
          <w:sz w:val="20"/>
        </w:rPr>
        <w:t>million increase and term extension to an existing NIAID contract option. In June 2025, as part of a U.S. Government cost efficiency initiative under a 2025 Executive Order, the Company was notified that the NIAID will not exercise certain remaining options under the contract, resulting in a total $9.0</w:t>
      </w:r>
      <w:r>
        <w:rPr>
          <w:rFonts w:ascii="Times New Roman" w:hAnsi="Times New Roman"/>
          <w:color w:val="000000"/>
          <w:sz w:val="20"/>
        </w:rPr>
        <w:t xml:space="preserve"> </w:t>
      </w:r>
      <w:r>
        <w:rPr>
          <w:rFonts w:ascii="Arial" w:hAnsi="Arial"/>
          <w:color w:val="000000"/>
          <w:sz w:val="20"/>
        </w:rPr>
        <w:t>million reduction to the $18.3</w:t>
      </w:r>
      <w:r>
        <w:rPr>
          <w:rFonts w:ascii="Times New Roman" w:hAnsi="Times New Roman"/>
          <w:color w:val="000000"/>
          <w:sz w:val="20"/>
        </w:rPr>
        <w:t xml:space="preserve"> </w:t>
      </w:r>
      <w:r>
        <w:rPr>
          <w:rFonts w:ascii="Arial" w:hAnsi="Arial"/>
          <w:color w:val="000000"/>
          <w:sz w:val="20"/>
        </w:rPr>
        <w:t>million contract, for a total cumulative contract funding of up to $9.3</w:t>
      </w:r>
      <w:r>
        <w:rPr>
          <w:rFonts w:ascii="Times New Roman" w:hAnsi="Times New Roman"/>
          <w:color w:val="000000"/>
          <w:sz w:val="20"/>
        </w:rPr>
        <w:t xml:space="preserve"> </w:t>
      </w:r>
      <w:r>
        <w:rPr>
          <w:rFonts w:ascii="Arial" w:hAnsi="Arial"/>
          <w:color w:val="000000"/>
          <w:sz w:val="20"/>
        </w:rPr>
        <w:t>million. With the completion of pivotal work under the contract, including the manufacture of drug product, the Company is engaged with federal agencies to fund a Phase 2 proof-of-concept clinical trial for acute melioidosis. This project will be funded in whole with Federal funds from the NIAID, National Institutes of Health, and Department of Health and Human Services Contract No. 75N93022C00059. Accounting for this contract does not fall under ASC 606, Revenue from Contracts with Customers, as NIAID will not benefit directly from the advancement of epetraborole. As there was no authoritative guidance under U.S. GAAP on accounting for government assistance to for-profit business entities at the inception of the NIAID contract, the Company applied International Accounting Standards (IAS) 20, Accounting for Government Grants and Disclosure of Government Assistance, by analogy when accounting for the NIAID contract payments to the Company. The Company has not yet adopted Accounting Standards Update 2025-10, which was announced in December 2025 to address accounting for government assistance to for-profit business entities (see Recent Accounting Pronouncements Not Yet Adopted). Under IAS 20, government contract proceeds are recognized when there is reasonable assurance the conditions of the contract will be met and the contract funding will be received. For the NIAID contract, this occurs after the qualifying expenses related to the contract have been incurred, or the Company concludes the conditions of the contract have been substantially met. The income related to the reimbursement of operating expenses is then recorded as a reduction of those expenses (see Note 4 - Funding Arrangements).</w:t>
      </w:r>
    </w:p>
    <w:p>
      <w:pPr>
        <w:pStyle w:val="TextBody"/>
        <w:bidi w:val="0"/>
        <w:spacing w:before="360" w:after="283"/>
        <w:jc w:val="left"/>
        <w:rPr>
          <w:rFonts w:ascii="Arial" w:hAnsi="Arial"/>
          <w:b/>
          <w:i/>
          <w:color w:val="000000"/>
          <w:sz w:val="20"/>
        </w:rPr>
      </w:pPr>
      <w:r>
        <w:rPr>
          <w:rFonts w:ascii="Arial" w:hAnsi="Arial"/>
          <w:b/>
          <w:i/>
          <w:color w:val="000000"/>
          <w:sz w:val="20"/>
        </w:rPr>
        <w:t>Grant Agreements</w:t>
      </w:r>
    </w:p>
    <w:p>
      <w:pPr>
        <w:pStyle w:val="TextBody"/>
        <w:bidi w:val="0"/>
        <w:spacing w:before="120" w:after="283"/>
        <w:jc w:val="left"/>
        <w:rPr>
          <w:rFonts w:ascii="Arial" w:hAnsi="Arial"/>
          <w:color w:val="000000"/>
          <w:sz w:val="20"/>
        </w:rPr>
      </w:pPr>
      <w:r>
        <w:rPr>
          <w:rFonts w:ascii="Arial" w:hAnsi="Arial"/>
          <w:color w:val="000000"/>
          <w:sz w:val="20"/>
        </w:rPr>
        <w:t>The Company recognizes grant proceeds from the Gates Foundation, formerly the Bill and Melinda Gates Foundation, in accordance with ASC 958-605, Not-for-Profit Entities - Revenue Recognition. When qualifying costs are incurred and the conditions of the grant agreement have been met, the Company records a reduction to the research and development expenses incurred and a corresponding grant receivable. Cash received from grants in advance of incurring qualifying costs is recorded as a liability and recognized as a reduction to the qualifying research and development expenses incurred (see Note 4 - Funding Arrangements).</w:t>
      </w:r>
    </w:p>
    <w:p>
      <w:pPr>
        <w:pStyle w:val="TextBody"/>
        <w:bidi w:val="0"/>
        <w:spacing w:before="360" w:after="283"/>
        <w:jc w:val="left"/>
        <w:rPr>
          <w:rFonts w:ascii="Arial" w:hAnsi="Arial"/>
          <w:b/>
          <w:i/>
          <w:color w:val="000000"/>
          <w:sz w:val="20"/>
        </w:rPr>
      </w:pPr>
      <w:r>
        <w:rPr>
          <w:rFonts w:ascii="Arial" w:hAnsi="Arial"/>
          <w:b/>
          <w:i/>
          <w:color w:val="000000"/>
          <w:sz w:val="20"/>
        </w:rPr>
        <w:t>Comprehensive Loss</w:t>
      </w:r>
    </w:p>
    <w:p>
      <w:pPr>
        <w:pStyle w:val="TextBody"/>
        <w:bidi w:val="0"/>
        <w:spacing w:before="120" w:after="283"/>
        <w:jc w:val="left"/>
        <w:rPr>
          <w:rFonts w:ascii="Times New Roman" w:hAnsi="Times New Roman"/>
          <w:sz w:val="20"/>
        </w:rPr>
      </w:pPr>
      <w:r>
        <w:rPr>
          <w:rFonts w:ascii="Arial" w:hAnsi="Arial"/>
          <w:color w:val="000000"/>
          <w:sz w:val="20"/>
        </w:rPr>
        <w:t>Comprehensive loss includes net loss and certain changes in stockholders’ equity that are excluded from net loss. The Company’s other comprehensive loss consists of net changes in unrealized gains and losses on its available-for-sale investments. For the years ended December 31, 2025 and 2024, the Company had an insignificant amount of net unrealized gain and $0.2</w:t>
      </w:r>
      <w:r>
        <w:rPr>
          <w:rFonts w:ascii="Times New Roman" w:hAnsi="Times New Roman"/>
          <w:color w:val="000000"/>
          <w:sz w:val="20"/>
        </w:rPr>
        <w:t xml:space="preserve"> </w:t>
      </w:r>
      <w:r>
        <w:rPr>
          <w:rFonts w:ascii="Arial" w:hAnsi="Arial"/>
          <w:color w:val="000000"/>
          <w:sz w:val="20"/>
        </w:rPr>
        <w:t>million of net unrealized loss on available-for-sale investments, respectively.</w:t>
      </w:r>
    </w:p>
    <w:p>
      <w:pPr>
        <w:pStyle w:val="TextBody"/>
        <w:bidi w:val="0"/>
        <w:jc w:val="center"/>
        <w:rPr>
          <w:rFonts w:ascii="Arial" w:hAnsi="Arial"/>
          <w:color w:val="000000"/>
          <w:sz w:val="20"/>
        </w:rPr>
      </w:pPr>
      <w:r>
        <w:rPr>
          <w:rFonts w:ascii="Arial" w:hAnsi="Arial"/>
          <w:color w:val="000000"/>
          <w:sz w:val="20"/>
        </w:rPr>
        <w:t>F-11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i/>
          <w:color w:val="000000"/>
          <w:sz w:val="20"/>
        </w:rPr>
      </w:pPr>
      <w:r>
        <w:rPr>
          <w:rFonts w:ascii="Arial" w:hAnsi="Arial"/>
          <w:b/>
          <w:i/>
          <w:color w:val="000000"/>
          <w:sz w:val="20"/>
        </w:rPr>
        <w:t>Net Loss Per Share</w:t>
      </w:r>
    </w:p>
    <w:p>
      <w:pPr>
        <w:pStyle w:val="TextBody"/>
        <w:bidi w:val="0"/>
        <w:spacing w:before="120" w:after="283"/>
        <w:jc w:val="left"/>
        <w:rPr>
          <w:rFonts w:ascii="Times New Roman" w:hAnsi="Times New Roman"/>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stock options, unvested restricted stock units (“RSUs”), common stock subject to repurchase related to unvested early exercise of stock options, and shares committed under the Company’s 2022 Employee Stock Purchase Plan (“ESPP”) are considered to be potentially dilutive securities. Basic and diluted net loss attributable to common stockholders per share is presented in conformity with the two-class method required for participating securities. The Company also considers the shares issued upon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the Company’s losses. As such, the net loss was attributed entirely to common stockholders. In June 2025, the Company entered into exchange agreements with certain existing stockholders to exchange 2,952,000</w:t>
      </w:r>
      <w:r>
        <w:rPr>
          <w:rFonts w:ascii="Times New Roman" w:hAnsi="Times New Roman"/>
          <w:color w:val="000000"/>
          <w:sz w:val="20"/>
        </w:rPr>
        <w:t xml:space="preserve"> </w:t>
      </w:r>
      <w:r>
        <w:rPr>
          <w:rFonts w:ascii="Arial" w:hAnsi="Arial"/>
          <w:color w:val="000000"/>
          <w:sz w:val="20"/>
        </w:rPr>
        <w:t>shares of the Company’s common stock for pre-funded warrants (the “Warrants”) for an equivalent number of shares of common stock at a nominal exercise price of $0.00001</w:t>
      </w:r>
      <w:r>
        <w:rPr>
          <w:rFonts w:ascii="Times New Roman" w:hAnsi="Times New Roman"/>
          <w:color w:val="000000"/>
          <w:sz w:val="20"/>
        </w:rPr>
        <w:t xml:space="preserve"> </w:t>
      </w:r>
      <w:r>
        <w:rPr>
          <w:rFonts w:ascii="Arial" w:hAnsi="Arial"/>
          <w:color w:val="000000"/>
          <w:sz w:val="20"/>
        </w:rPr>
        <w:t>per share. The shares of common stock into which the Warrants may be exercised are considered outstanding for the purposes of computing net loss per share because the shares may be issued for little or no consideration, they are fully vested and the Warrants are immediately exercisable upon their issuance date. Because the Company has reported a net loss for all periods presented, diluted net loss per share is the same as basic net loss per share for those periods because the impact of potentially dilutive securities would be anti-dilutive.</w:t>
      </w:r>
    </w:p>
    <w:p>
      <w:pPr>
        <w:pStyle w:val="TextBody"/>
        <w:bidi w:val="0"/>
        <w:spacing w:before="360" w:after="283"/>
        <w:jc w:val="left"/>
        <w:rPr>
          <w:rFonts w:ascii="Arial" w:hAnsi="Arial"/>
          <w:b/>
          <w:i/>
          <w:color w:val="000000"/>
          <w:sz w:val="20"/>
        </w:rPr>
      </w:pPr>
      <w:r>
        <w:rPr>
          <w:rFonts w:ascii="Arial" w:hAnsi="Arial"/>
          <w:b/>
          <w:i/>
          <w:color w:val="000000"/>
          <w:sz w:val="20"/>
        </w:rPr>
        <w:t>Restructuring Charges</w:t>
      </w:r>
    </w:p>
    <w:p>
      <w:pPr>
        <w:pStyle w:val="TextBody"/>
        <w:bidi w:val="0"/>
        <w:spacing w:before="120" w:after="283"/>
        <w:jc w:val="left"/>
        <w:rPr>
          <w:rFonts w:ascii="Arial" w:hAnsi="Arial"/>
          <w:color w:val="000000"/>
          <w:sz w:val="20"/>
        </w:rPr>
      </w:pPr>
      <w:r>
        <w:rPr>
          <w:rFonts w:ascii="Arial" w:hAnsi="Arial"/>
          <w:color w:val="000000"/>
          <w:sz w:val="20"/>
        </w:rPr>
        <w:t>Restructuring charges consist primarily of employee severance payments and other employee termination-related expenses. The Company records restructuring charges based on whether the termination benefits are provided under an on-going benefit arrangement or under a one-time benefit arrangement. The Company accounts for on-going benefit arrangements, such as those documented by employment agreements or a pre-existing severance policy, in accordance with ASC 712, Nonretirement Postemployment Benefits. Under ASC 712, liabilities for postemployment benefits are recorded at the time the obligations are probable of being incurred and can be reasonably estimated. The Company accounts for one-time employment benefit arrangements in accordance with ASC 420, Exit or Disposal Cost Obligations.</w:t>
      </w:r>
    </w:p>
    <w:p>
      <w:pPr>
        <w:pStyle w:val="TextBody"/>
        <w:bidi w:val="0"/>
        <w:spacing w:before="360" w:after="283"/>
        <w:jc w:val="left"/>
        <w:rPr>
          <w:rFonts w:ascii="Times New Roman" w:hAnsi="Times New Roman"/>
          <w:sz w:val="20"/>
        </w:rPr>
      </w:pPr>
      <w:r>
        <w:rPr>
          <w:rFonts w:ascii="Arial" w:hAnsi="Arial"/>
          <w:b/>
          <w:i/>
          <w:color w:val="000000"/>
          <w:sz w:val="20"/>
        </w:rPr>
        <w:t>JOBS Act Accounting Election</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The Company may take advantage of these provisions for up to five years (which is through March 2027), unless the Company ceases to be an emerging growth company at an earlier date. As a result, these financial statements may not be comparable to companies that comply with new or revised accounting pronouncements as of public company effective dates.</w:t>
      </w:r>
    </w:p>
    <w:p>
      <w:pPr>
        <w:pStyle w:val="TextBody"/>
        <w:bidi w:val="0"/>
        <w:jc w:val="center"/>
        <w:rPr>
          <w:rFonts w:ascii="Arial" w:hAnsi="Arial"/>
          <w:color w:val="000000"/>
          <w:sz w:val="20"/>
        </w:rPr>
      </w:pPr>
      <w:r>
        <w:rPr>
          <w:rFonts w:ascii="Arial" w:hAnsi="Arial"/>
          <w:color w:val="000000"/>
          <w:sz w:val="20"/>
        </w:rPr>
        <w:t>F-12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i/>
          <w:color w:val="000000"/>
          <w:sz w:val="20"/>
        </w:rPr>
      </w:pPr>
      <w:r>
        <w:rPr>
          <w:rFonts w:ascii="Arial" w:hAnsi="Arial"/>
          <w:b/>
          <w:i/>
          <w:color w:val="000000"/>
          <w:sz w:val="20"/>
        </w:rPr>
        <w:t>Recently Adopted Accounting Pronouncements</w:t>
      </w:r>
    </w:p>
    <w:p>
      <w:pPr>
        <w:pStyle w:val="TextBody"/>
        <w:bidi w:val="0"/>
        <w:spacing w:before="120" w:after="283"/>
        <w:jc w:val="left"/>
        <w:rPr>
          <w:rFonts w:ascii="Times New Roman" w:hAnsi="Times New Roman"/>
          <w:sz w:val="20"/>
        </w:rPr>
      </w:pPr>
      <w:r>
        <w:rPr>
          <w:rFonts w:ascii="Arial" w:hAnsi="Arial"/>
          <w:color w:val="000000"/>
          <w:sz w:val="20"/>
        </w:rPr>
        <w:t>In August 2020, the FASB issued ASU 2020-06, Debt - Debt with Conversion and Other Options (Subtopic 470-20) and Derivatives and Hedging-Contracts in Entity’s Own Equity (Subtopic 815-40), Accounting for Convertible Instruments and Contracts in an Entity’s Own Equity (“ASU 2020-06”). ASU 2020-06 simplifies the accounting for convertible instruments by reducing the number of accounting models available for convertible debt instruments, replacing the treasury stock method with the if-converted method for calculation of diluted earnings per share, and removing certain settlement conditions that are required for equity contracts to qualify for the derivative scope exception. ASU 2020-06 was effective for annual periods beginning after December 15, 2023, but was not applicable to the Company at that time. The Company adopted</w:t>
      </w:r>
      <w:r>
        <w:rPr>
          <w:rFonts w:ascii="Times New Roman" w:hAnsi="Times New Roman"/>
          <w:color w:val="000000"/>
          <w:sz w:val="20"/>
        </w:rPr>
        <w:t xml:space="preserve"> </w:t>
      </w:r>
      <w:r>
        <w:rPr>
          <w:rFonts w:ascii="Arial" w:hAnsi="Arial"/>
          <w:color w:val="000000"/>
          <w:sz w:val="20"/>
        </w:rPr>
        <w:t>ASU 2020-06 on June 17, 2025</w:t>
      </w:r>
      <w:r>
        <w:rPr>
          <w:rFonts w:ascii="Times New Roman" w:hAnsi="Times New Roman"/>
          <w:color w:val="000000"/>
          <w:sz w:val="20"/>
        </w:rPr>
        <w:t xml:space="preserve"> </w:t>
      </w:r>
      <w:r>
        <w:rPr>
          <w:rFonts w:ascii="Arial" w:hAnsi="Arial"/>
          <w:color w:val="000000"/>
          <w:sz w:val="20"/>
        </w:rPr>
        <w:t>using the modified retrospective method in connection with accounting for the pre-funded warrant exchange (See Note 8 – Equity, Issuance of Pre-Funded Warrants in Exchange for Common Stock). Adoption of this standard did not have an impact on the Company's financial statements or net loss per share amounts.</w:t>
      </w:r>
    </w:p>
    <w:p>
      <w:pPr>
        <w:pStyle w:val="TextBody"/>
        <w:bidi w:val="0"/>
        <w:spacing w:before="240" w:after="283"/>
        <w:jc w:val="left"/>
        <w:rPr>
          <w:rFonts w:ascii="Times New Roman" w:hAnsi="Times New Roman"/>
          <w:sz w:val="20"/>
        </w:rPr>
      </w:pPr>
      <w:r>
        <w:rPr>
          <w:rFonts w:ascii="Arial" w:hAnsi="Arial"/>
          <w:color w:val="000000"/>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adopted</w:t>
      </w:r>
      <w:r>
        <w:rPr>
          <w:rFonts w:ascii="Times New Roman" w:hAnsi="Times New Roman"/>
          <w:color w:val="000000"/>
          <w:sz w:val="20"/>
        </w:rPr>
        <w:t xml:space="preserve"> </w:t>
      </w:r>
      <w:r>
        <w:rPr>
          <w:rFonts w:ascii="Arial" w:hAnsi="Arial"/>
          <w:color w:val="000000"/>
          <w:sz w:val="20"/>
        </w:rPr>
        <w:t>ASU 2023-09 for the year ended December 31, 2025, prospectively. Newly required disclosures have been included in Note 10 - Income Taxes.</w:t>
      </w:r>
    </w:p>
    <w:p>
      <w:pPr>
        <w:pStyle w:val="TextBody"/>
        <w:bidi w:val="0"/>
        <w:spacing w:before="240" w:after="283"/>
        <w:jc w:val="left"/>
        <w:rPr>
          <w:rFonts w:ascii="Arial" w:hAnsi="Arial"/>
          <w:color w:val="000000"/>
          <w:sz w:val="20"/>
        </w:rPr>
      </w:pPr>
      <w:r>
        <w:rPr>
          <w:rFonts w:ascii="Arial" w:hAnsi="Arial"/>
          <w:color w:val="000000"/>
          <w:sz w:val="20"/>
        </w:rPr>
        <w:t>On July 4, 2025, the U.S. government enacted the One Big Beautiful Bill Act (the “OBBBA”), which includes several changes to U.S. federal income tax law, including the temporary and permanent extension of certain expiring provisions of the Tax Cuts and Jobs Act of 2017. Adoption of the relevant provisions of the OBBBA did not have a material impact on the Company's financial statements and related disclosures. The Company will continue to monitor the impact of the OBBBA in future periods.</w:t>
      </w:r>
    </w:p>
    <w:p>
      <w:pPr>
        <w:pStyle w:val="TextBody"/>
        <w:bidi w:val="0"/>
        <w:spacing w:before="360" w:after="283"/>
        <w:jc w:val="left"/>
        <w:rPr>
          <w:rFonts w:ascii="Arial" w:hAnsi="Arial"/>
          <w:b/>
          <w:i/>
          <w:color w:val="000000"/>
          <w:sz w:val="20"/>
        </w:rPr>
      </w:pPr>
      <w:r>
        <w:rPr>
          <w:rFonts w:ascii="Arial" w:hAnsi="Arial"/>
          <w:b/>
          <w:i/>
          <w:color w:val="000000"/>
          <w:sz w:val="20"/>
        </w:rPr>
        <w:t>Recent Accounting Pronouncements Not Yet Adopted</w:t>
      </w:r>
    </w:p>
    <w:p>
      <w:pPr>
        <w:pStyle w:val="TextBody"/>
        <w:bidi w:val="0"/>
        <w:spacing w:before="120" w:after="283"/>
        <w:jc w:val="left"/>
        <w:rPr>
          <w:rFonts w:ascii="Times New Roman" w:hAnsi="Times New Roman"/>
          <w:sz w:val="20"/>
        </w:rPr>
      </w:pPr>
      <w:r>
        <w:rPr>
          <w:rFonts w:ascii="Arial" w:hAnsi="Arial"/>
          <w:color w:val="000000"/>
          <w:sz w:val="20"/>
        </w:rPr>
        <w:t>From time to time, new accounting pronouncements are issued by the FASB or other standard setting bodies and adopted by the Company as of the specified effective date. Unless otherwise noted, the Company believes that the impact of recently issued standards that are not yet effective will not have a material impact on its financial statements and disclosures. As an emerging growth company, it has been the Company's intention to take advantage of certain temporary exemptions from various reporting requirements, as well as taking advantage of additional transitional relief.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November 2024, the FASB issued ASU 2024-03, Income Statement—Reporting Comprehensive Income—Expense Disaggregation Disclosures (Subtopic 220-40): Disaggregation of Income Statement Expense</w:t>
      </w:r>
      <w:r>
        <w:rPr>
          <w:rFonts w:ascii="Arial" w:hAnsi="Arial"/>
          <w:i/>
          <w:color w:val="000000"/>
          <w:sz w:val="20"/>
        </w:rPr>
        <w:t>s</w:t>
      </w:r>
      <w:r>
        <w:rPr>
          <w:rFonts w:ascii="Times New Roman" w:hAnsi="Times New Roman"/>
          <w:color w:val="000000"/>
          <w:sz w:val="20"/>
        </w:rPr>
        <w:t xml:space="preserve"> </w:t>
      </w:r>
      <w:r>
        <w:rPr>
          <w:rFonts w:ascii="Arial" w:hAnsi="Arial"/>
          <w:color w:val="000000"/>
          <w:sz w:val="20"/>
        </w:rPr>
        <w:t>(“ASU 2024-03”) and in January 2025, the FASB issued ASU No. 2025-01, Income Statement—Reporting Comprehensive Income—Expense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included in certain expense captions in the Statements of Operations, as well as qualitatively describe remaining amounts included in those captions. ASU 2024-03 will also require the Company to disclose both the amount and the Company’s definition of selling expenses. ASU 2024-03 is effective for annual periods beginning after December 15, 2026 and may be adopted on a prospective or retrospective basis. Early adoption is permitted. The Company is evaluating the impact of this standard on its financial statements and related disclosures.</w:t>
      </w:r>
    </w:p>
    <w:p>
      <w:pPr>
        <w:pStyle w:val="TextBody"/>
        <w:bidi w:val="0"/>
        <w:spacing w:before="240" w:after="283"/>
        <w:jc w:val="left"/>
        <w:rPr>
          <w:rFonts w:ascii="Arial" w:hAnsi="Arial"/>
          <w:color w:val="000000"/>
          <w:sz w:val="20"/>
        </w:rPr>
      </w:pPr>
      <w:r>
        <w:rPr>
          <w:rFonts w:ascii="Arial" w:hAnsi="Arial"/>
          <w:color w:val="000000"/>
          <w:sz w:val="20"/>
        </w:rPr>
        <w:t>In December 2025, the FASB issued ASU 2025-10, Government Grants (Topic 832) (“ASU 2025-10”), which adds guidance to ASC 832, Government Assistance, on the recognition, measurement, and presentation of government grants. ASU 2025-10 is effective for fiscal years, including interim reporting periods within those fiscal years, beginning after December 15, 2028 and may be adopted on a modified prospective or modified or full retrospective basis. Early adoption is permitted. The Company is evaluating the impact of this standard on its financial statements and related disclosures.</w:t>
      </w:r>
    </w:p>
    <w:p>
      <w:pPr>
        <w:pStyle w:val="TextBody"/>
        <w:bidi w:val="0"/>
        <w:spacing w:before="240" w:after="283"/>
        <w:jc w:val="left"/>
        <w:rPr>
          <w:rFonts w:ascii="Arial" w:hAnsi="Arial"/>
          <w:color w:val="000000"/>
          <w:sz w:val="20"/>
        </w:rPr>
      </w:pPr>
      <w:r>
        <w:rPr>
          <w:rFonts w:ascii="Arial" w:hAnsi="Arial"/>
          <w:color w:val="000000"/>
          <w:sz w:val="20"/>
        </w:rPr>
        <w:t>In December 2025, the FASB issued ASU 2025-11, Interim Reporting (“ASU 2025-11”), which clarifies guidance on interim reporting. ASU 2025-11 is effective for interim periods within annual reporting periods beginning after December 15, 2027 and may be adopted on a prospective or retrospective basis. Early adoption is permitted. The Company is evaluating the impact of this standard on its financial statements and related disclosures.</w:t>
      </w:r>
    </w:p>
    <w:p>
      <w:pPr>
        <w:pStyle w:val="TextBody"/>
        <w:bidi w:val="0"/>
        <w:jc w:val="center"/>
        <w:rPr>
          <w:rFonts w:ascii="Arial" w:hAnsi="Arial"/>
          <w:color w:val="000000"/>
          <w:sz w:val="20"/>
        </w:rPr>
      </w:pPr>
      <w:r>
        <w:rPr>
          <w:rFonts w:ascii="Arial" w:hAnsi="Arial"/>
          <w:color w:val="000000"/>
          <w:sz w:val="20"/>
        </w:rPr>
        <w:t>F-13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3. Fair Value Measurements</w:t>
      </w:r>
    </w:p>
    <w:p>
      <w:pPr>
        <w:pStyle w:val="TextBody"/>
        <w:bidi w:val="0"/>
        <w:spacing w:before="120" w:after="283"/>
        <w:jc w:val="left"/>
        <w:rPr>
          <w:rFonts w:ascii="Arial" w:hAnsi="Arial"/>
          <w:color w:val="000000"/>
          <w:sz w:val="20"/>
        </w:rPr>
      </w:pPr>
      <w:r>
        <w:rPr>
          <w:rFonts w:ascii="Arial" w:hAnsi="Arial"/>
          <w:color w:val="000000"/>
          <w:sz w:val="20"/>
        </w:rPr>
        <w:t>The Company adopted ASU 2016-13 beginning January 1, 2023. The Company records certain financial assets and liabilities at fair value.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1: Inputs which include quoted prices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2: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Level 3: Unobservable inputs that are supported by little or no market activity and that are significant to the fair value of the assets or liabilities.</w:t>
      </w:r>
    </w:p>
    <w:p>
      <w:pPr>
        <w:pStyle w:val="TextBody"/>
        <w:bidi w:val="0"/>
        <w:spacing w:before="240" w:after="283"/>
        <w:jc w:val="left"/>
        <w:rPr>
          <w:rFonts w:ascii="Arial" w:hAnsi="Arial"/>
          <w:color w:val="000000"/>
          <w:sz w:val="20"/>
        </w:rPr>
      </w:pPr>
      <w:r>
        <w:rPr>
          <w:rFonts w:ascii="Arial" w:hAnsi="Arial"/>
          <w:color w:val="000000"/>
          <w:sz w:val="20"/>
        </w:rPr>
        <w:t>The Company’s primary financial instruments include cash, cash equivalents and investments, prepaid expenses, accounts payable, and accrued liabilities. The carrying amounts of the Company’s financial instruments, other than cash equivalents and investments, approximate fair value due to their relatively short maturities.</w:t>
      </w:r>
    </w:p>
    <w:p>
      <w:pPr>
        <w:pStyle w:val="TextBody"/>
        <w:bidi w:val="0"/>
        <w:spacing w:before="240" w:after="240"/>
        <w:jc w:val="left"/>
        <w:rPr>
          <w:rFonts w:ascii="Times New Roman" w:hAnsi="Times New Roman"/>
          <w:sz w:val="20"/>
        </w:rPr>
      </w:pPr>
      <w:r>
        <w:rPr>
          <w:rFonts w:ascii="Arial" w:hAnsi="Arial"/>
          <w:color w:val="000000"/>
          <w:sz w:val="20"/>
        </w:rPr>
        <w:t>The following table presents the Company’s financial assets, which consist of cash equivalents and investments classified as available-for-sale investments, that are measured at fair value on a recurring basis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86"/>
        <w:gridCol w:w="146"/>
        <w:gridCol w:w="677"/>
        <w:gridCol w:w="146"/>
        <w:gridCol w:w="279"/>
        <w:gridCol w:w="922"/>
        <w:gridCol w:w="146"/>
        <w:gridCol w:w="146"/>
        <w:gridCol w:w="460"/>
        <w:gridCol w:w="756"/>
        <w:gridCol w:w="146"/>
        <w:gridCol w:w="146"/>
        <w:gridCol w:w="464"/>
        <w:gridCol w:w="762"/>
        <w:gridCol w:w="166"/>
        <w:gridCol w:w="146"/>
        <w:gridCol w:w="335"/>
        <w:gridCol w:w="1099"/>
        <w:gridCol w:w="477"/>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Fair Value</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7,104</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22,841</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3,964</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6,810</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3,957</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1,508</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47,724</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center"/>
        <w:rPr>
          <w:rFonts w:ascii="Arial" w:hAnsi="Arial"/>
          <w:color w:val="000000"/>
          <w:sz w:val="20"/>
        </w:rPr>
      </w:pPr>
      <w:r>
        <w:rPr>
          <w:rFonts w:ascii="Arial" w:hAnsi="Arial"/>
          <w:color w:val="000000"/>
          <w:sz w:val="20"/>
        </w:rPr>
        <w:t>F-14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86"/>
        <w:gridCol w:w="146"/>
        <w:gridCol w:w="677"/>
        <w:gridCol w:w="146"/>
        <w:gridCol w:w="279"/>
        <w:gridCol w:w="922"/>
        <w:gridCol w:w="146"/>
        <w:gridCol w:w="146"/>
        <w:gridCol w:w="460"/>
        <w:gridCol w:w="756"/>
        <w:gridCol w:w="146"/>
        <w:gridCol w:w="146"/>
        <w:gridCol w:w="441"/>
        <w:gridCol w:w="785"/>
        <w:gridCol w:w="166"/>
        <w:gridCol w:w="146"/>
        <w:gridCol w:w="335"/>
        <w:gridCol w:w="1099"/>
        <w:gridCol w:w="477"/>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Fair Value</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10,127</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25,930</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30,839</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3,505</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1,993</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5,021</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77,384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77,415</w:t>
            </w:r>
          </w:p>
        </w:tc>
        <w:tc>
          <w:tcPr>
            <w:tcW w:w="4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Company classifies its money market funds and U.S. Treasury securities, which are valued based on quoted market prices in active markets with no valuation adjustment, as Level 1 assets within the fair value hierarchy.</w:t>
      </w:r>
    </w:p>
    <w:p>
      <w:pPr>
        <w:pStyle w:val="TextBody"/>
        <w:bidi w:val="0"/>
        <w:spacing w:before="240" w:after="283"/>
        <w:jc w:val="left"/>
        <w:rPr>
          <w:rFonts w:ascii="Times New Roman" w:hAnsi="Times New Roman"/>
          <w:sz w:val="20"/>
        </w:rPr>
      </w:pPr>
      <w:r>
        <w:rPr>
          <w:rFonts w:ascii="Arial" w:hAnsi="Arial"/>
          <w:color w:val="000000"/>
          <w:sz w:val="20"/>
        </w:rPr>
        <w:t>The Company classifies its investments in commercial paper, corporate debt securities, U.S. government agency securities and U.S. Treasury securities as Level 2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w:t>
      </w:r>
      <w:r>
        <w:rPr>
          <w:rFonts w:ascii="Times New Roman" w:hAnsi="Times New Roman"/>
          <w:color w:val="000000"/>
          <w:sz w:val="20"/>
        </w:rPr>
        <w:t xml:space="preserve"> </w:t>
      </w:r>
      <w:r>
        <w:rPr>
          <w:rFonts w:ascii="Arial" w:hAnsi="Arial"/>
          <w:color w:val="000000"/>
          <w:sz w:val="20"/>
        </w:rPr>
        <w:t>transfers of financial instruments between valuation levels during the year ended December 31, 2025.</w:t>
      </w:r>
    </w:p>
    <w:p>
      <w:pPr>
        <w:pStyle w:val="TextBody"/>
        <w:bidi w:val="0"/>
        <w:spacing w:before="240" w:after="283"/>
        <w:jc w:val="left"/>
        <w:rPr>
          <w:rFonts w:ascii="Arial" w:hAnsi="Arial"/>
          <w:color w:val="000000"/>
          <w:sz w:val="20"/>
        </w:rPr>
      </w:pPr>
      <w:r>
        <w:rPr>
          <w:rFonts w:ascii="Arial" w:hAnsi="Arial"/>
          <w:color w:val="000000"/>
          <w:sz w:val="20"/>
        </w:rPr>
        <w:t>As of December 31, 2025, none of the Company’s available-for-sale investments that were in an unrealized loss position had been in an unrealized loss position for more than 12 months. During the years ended December 31, 2025 and 2024, the Company did not sell any available-for-sale investments.</w:t>
      </w:r>
    </w:p>
    <w:p>
      <w:pPr>
        <w:pStyle w:val="TextBody"/>
        <w:bidi w:val="0"/>
        <w:spacing w:before="240" w:after="283"/>
        <w:jc w:val="left"/>
        <w:rPr>
          <w:rFonts w:ascii="Arial" w:hAnsi="Arial"/>
          <w:color w:val="000000"/>
          <w:sz w:val="20"/>
        </w:rPr>
      </w:pPr>
      <w:r>
        <w:rPr>
          <w:rFonts w:ascii="Arial" w:hAnsi="Arial"/>
          <w:color w:val="000000"/>
          <w:sz w:val="20"/>
        </w:rPr>
        <w:t>The Company’s short-term investments had maturities of less than one year from the balance sheet date. The Company’s long-term investments had maturities of between one and two years from the balance sheet date.</w:t>
      </w:r>
    </w:p>
    <w:p>
      <w:pPr>
        <w:pStyle w:val="TextBody"/>
        <w:bidi w:val="0"/>
        <w:spacing w:before="240" w:after="283"/>
        <w:jc w:val="left"/>
        <w:rPr>
          <w:rFonts w:ascii="Times New Roman" w:hAnsi="Times New Roman"/>
          <w:sz w:val="20"/>
        </w:rPr>
      </w:pPr>
      <w:r>
        <w:rPr>
          <w:rFonts w:ascii="Arial" w:hAnsi="Arial"/>
          <w:color w:val="000000"/>
          <w:sz w:val="20"/>
        </w:rPr>
        <w:t>The Company does not intend to sell the securities in an unrealized loss position and does not expect they will be required to sell the securities before recovery of the unamortized cost basis. Additionally, the Company evaluated its securities for credit losses and considered the decline in market value to be primarily attributable to current economic and market conditions and not credit related. Accordingly, no</w:t>
      </w:r>
      <w:r>
        <w:rPr>
          <w:rFonts w:ascii="Times New Roman" w:hAnsi="Times New Roman"/>
          <w:color w:val="000000"/>
          <w:sz w:val="20"/>
        </w:rPr>
        <w:t xml:space="preserve"> </w:t>
      </w:r>
      <w:r>
        <w:rPr>
          <w:rFonts w:ascii="Arial" w:hAnsi="Arial"/>
          <w:color w:val="000000"/>
          <w:sz w:val="20"/>
        </w:rPr>
        <w:t>allowance for credit losses has been recognized as of December 31, 2025 and 2024. During the years ended December 31, 2025 and 2024, the Company did not recognize any impairment losses related to investments.</w:t>
      </w:r>
    </w:p>
    <w:p>
      <w:pPr>
        <w:pStyle w:val="TextBody"/>
        <w:bidi w:val="0"/>
        <w:spacing w:before="240" w:after="283"/>
        <w:jc w:val="left"/>
        <w:rPr>
          <w:rFonts w:ascii="Times New Roman" w:hAnsi="Times New Roman"/>
          <w:sz w:val="20"/>
        </w:rPr>
      </w:pPr>
      <w:r>
        <w:rPr>
          <w:rFonts w:ascii="Arial" w:hAnsi="Arial"/>
          <w:color w:val="000000"/>
          <w:sz w:val="20"/>
        </w:rPr>
        <w:t>As of December 31, 2025 and 2024, the Company had accrued interest receivable of $0.4</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respectively, which was included in prepaid expenses and other current assets on the balance sheets.</w:t>
      </w:r>
    </w:p>
    <w:p>
      <w:pPr>
        <w:pStyle w:val="TextBody"/>
        <w:bidi w:val="0"/>
        <w:jc w:val="center"/>
        <w:rPr>
          <w:rFonts w:ascii="Arial" w:hAnsi="Arial"/>
          <w:color w:val="000000"/>
          <w:sz w:val="20"/>
        </w:rPr>
      </w:pPr>
      <w:r>
        <w:rPr>
          <w:rFonts w:ascii="Arial" w:hAnsi="Arial"/>
          <w:color w:val="000000"/>
          <w:sz w:val="20"/>
        </w:rPr>
        <w:t>F-15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color w:val="000000"/>
          <w:sz w:val="20"/>
        </w:rPr>
      </w:pPr>
      <w:r>
        <w:rPr>
          <w:rFonts w:ascii="Arial" w:hAnsi="Arial"/>
          <w:b/>
          <w:color w:val="000000"/>
          <w:sz w:val="20"/>
        </w:rPr>
        <w:t>Note 4. Funding Arrangements</w:t>
      </w:r>
    </w:p>
    <w:p>
      <w:pPr>
        <w:pStyle w:val="TextBody"/>
        <w:bidi w:val="0"/>
        <w:spacing w:before="120" w:after="283"/>
        <w:jc w:val="left"/>
        <w:rPr>
          <w:rFonts w:ascii="Arial" w:hAnsi="Arial"/>
          <w:b/>
          <w:i/>
          <w:color w:val="000000"/>
          <w:sz w:val="20"/>
        </w:rPr>
      </w:pPr>
      <w:r>
        <w:rPr>
          <w:rFonts w:ascii="Arial" w:hAnsi="Arial"/>
          <w:b/>
          <w:i/>
          <w:color w:val="000000"/>
          <w:sz w:val="20"/>
        </w:rPr>
        <w:t>NIAID Contract</w:t>
      </w:r>
    </w:p>
    <w:p>
      <w:pPr>
        <w:pStyle w:val="TextBody"/>
        <w:bidi w:val="0"/>
        <w:spacing w:before="120" w:after="283"/>
        <w:jc w:val="left"/>
        <w:rPr>
          <w:rFonts w:ascii="Times New Roman" w:hAnsi="Times New Roman"/>
          <w:sz w:val="20"/>
        </w:rPr>
      </w:pPr>
      <w:r>
        <w:rPr>
          <w:rFonts w:ascii="Arial" w:hAnsi="Arial"/>
          <w:color w:val="000000"/>
          <w:sz w:val="20"/>
        </w:rPr>
        <w:t>In September 2022, the Company received a cost-reimbursement contract award from the NIAID to support preclinical, Phase 1 studies and other activities to enable the advancement of epetraborole into late-stage development for acute systemic melioidosis and other biothreat pathogens. Under the original award, the Company was eligible to receive up to $17.8</w:t>
      </w:r>
      <w:r>
        <w:rPr>
          <w:rFonts w:ascii="Times New Roman" w:hAnsi="Times New Roman"/>
          <w:color w:val="000000"/>
          <w:sz w:val="20"/>
        </w:rPr>
        <w:t xml:space="preserve"> </w:t>
      </w:r>
      <w:r>
        <w:rPr>
          <w:rFonts w:ascii="Arial" w:hAnsi="Arial"/>
          <w:color w:val="000000"/>
          <w:sz w:val="20"/>
        </w:rPr>
        <w:t>million in funding over a total term of 48 months, consisting of a base period and seven option periods. In July 2023 and May 2024, the NIAID exercised two</w:t>
      </w:r>
      <w:r>
        <w:rPr>
          <w:rFonts w:ascii="Times New Roman" w:hAnsi="Times New Roman"/>
          <w:color w:val="000000"/>
          <w:sz w:val="20"/>
        </w:rPr>
        <w:t xml:space="preserve"> </w:t>
      </w:r>
      <w:r>
        <w:rPr>
          <w:rFonts w:ascii="Arial" w:hAnsi="Arial"/>
          <w:color w:val="000000"/>
          <w:sz w:val="20"/>
        </w:rPr>
        <w:t>of seven</w:t>
      </w:r>
      <w:r>
        <w:rPr>
          <w:rFonts w:ascii="Times New Roman" w:hAnsi="Times New Roman"/>
          <w:color w:val="000000"/>
          <w:sz w:val="20"/>
        </w:rPr>
        <w:t xml:space="preserve"> </w:t>
      </w:r>
      <w:r>
        <w:rPr>
          <w:rFonts w:ascii="Arial" w:hAnsi="Arial"/>
          <w:color w:val="000000"/>
          <w:sz w:val="20"/>
        </w:rPr>
        <w:t>available options under the NIAID contract (No: 75N93022C00059), resulting in an increase in committed contract funding of $0.7</w:t>
      </w:r>
      <w:r>
        <w:rPr>
          <w:rFonts w:ascii="Times New Roman" w:hAnsi="Times New Roman"/>
          <w:color w:val="000000"/>
          <w:sz w:val="20"/>
        </w:rPr>
        <w:t xml:space="preserve"> </w:t>
      </w:r>
      <w:r>
        <w:rPr>
          <w:rFonts w:ascii="Arial" w:hAnsi="Arial"/>
          <w:color w:val="000000"/>
          <w:sz w:val="20"/>
        </w:rPr>
        <w:t>million and $3.8</w:t>
      </w:r>
      <w:r>
        <w:rPr>
          <w:rFonts w:ascii="Times New Roman" w:hAnsi="Times New Roman"/>
          <w:color w:val="000000"/>
          <w:sz w:val="20"/>
        </w:rPr>
        <w:t xml:space="preserve"> </w:t>
      </w:r>
      <w:r>
        <w:rPr>
          <w:rFonts w:ascii="Arial" w:hAnsi="Arial"/>
          <w:color w:val="000000"/>
          <w:sz w:val="20"/>
        </w:rPr>
        <w:t>million, respectively, for a cumulative total of $8.8</w:t>
      </w:r>
      <w:r>
        <w:rPr>
          <w:rFonts w:ascii="Times New Roman" w:hAnsi="Times New Roman"/>
          <w:color w:val="000000"/>
          <w:sz w:val="20"/>
        </w:rPr>
        <w:t xml:space="preserve"> </w:t>
      </w:r>
      <w:r>
        <w:rPr>
          <w:rFonts w:ascii="Arial" w:hAnsi="Arial"/>
          <w:color w:val="000000"/>
          <w:sz w:val="20"/>
        </w:rPr>
        <w:t>million. In April 2025, the Company entered into a contract modification with NIAID for a $0.5</w:t>
      </w:r>
      <w:r>
        <w:rPr>
          <w:rFonts w:ascii="Times New Roman" w:hAnsi="Times New Roman"/>
          <w:color w:val="000000"/>
          <w:sz w:val="20"/>
        </w:rPr>
        <w:t xml:space="preserve"> </w:t>
      </w:r>
      <w:r>
        <w:rPr>
          <w:rFonts w:ascii="Arial" w:hAnsi="Arial"/>
          <w:color w:val="000000"/>
          <w:sz w:val="20"/>
        </w:rPr>
        <w:t>million increase and term extension to an existing NIAID contract option. In June 2025, as part of a U.S. government cost efficiency initiative under a 2025 Executive Order, the Company was notified that the NIAID will not exercise certain remaining options under the contract, resulting in a total $9.0</w:t>
      </w:r>
      <w:r>
        <w:rPr>
          <w:rFonts w:ascii="Times New Roman" w:hAnsi="Times New Roman"/>
          <w:color w:val="000000"/>
          <w:sz w:val="20"/>
        </w:rPr>
        <w:t xml:space="preserve"> </w:t>
      </w:r>
      <w:r>
        <w:rPr>
          <w:rFonts w:ascii="Arial" w:hAnsi="Arial"/>
          <w:color w:val="000000"/>
          <w:sz w:val="20"/>
        </w:rPr>
        <w:t>million reduction to the $18.3</w:t>
      </w:r>
      <w:r>
        <w:rPr>
          <w:rFonts w:ascii="Times New Roman" w:hAnsi="Times New Roman"/>
          <w:color w:val="000000"/>
          <w:sz w:val="20"/>
        </w:rPr>
        <w:t xml:space="preserve"> </w:t>
      </w:r>
      <w:r>
        <w:rPr>
          <w:rFonts w:ascii="Arial" w:hAnsi="Arial"/>
          <w:color w:val="000000"/>
          <w:sz w:val="20"/>
        </w:rPr>
        <w:t>million contract, for a cumulative contract total of $9.3</w:t>
      </w:r>
      <w:r>
        <w:rPr>
          <w:rFonts w:ascii="Times New Roman" w:hAnsi="Times New Roman"/>
          <w:color w:val="000000"/>
          <w:sz w:val="20"/>
        </w:rPr>
        <w:t xml:space="preserve"> </w:t>
      </w:r>
      <w:r>
        <w:rPr>
          <w:rFonts w:ascii="Arial" w:hAnsi="Arial"/>
          <w:color w:val="000000"/>
          <w:sz w:val="20"/>
        </w:rPr>
        <w:t>million. Funding for the exercised options extends the estimated completion of the current contract by 29 months</w:t>
      </w:r>
      <w:r>
        <w:rPr>
          <w:rFonts w:ascii="Times New Roman" w:hAnsi="Times New Roman"/>
          <w:color w:val="000000"/>
          <w:sz w:val="20"/>
        </w:rPr>
        <w:t xml:space="preserve"> </w:t>
      </w:r>
      <w:r>
        <w:rPr>
          <w:rFonts w:ascii="Arial" w:hAnsi="Arial"/>
          <w:color w:val="000000"/>
          <w:sz w:val="20"/>
        </w:rPr>
        <w:t>beyond the base period of 18 months</w:t>
      </w:r>
      <w:r>
        <w:rPr>
          <w:rFonts w:ascii="Times New Roman" w:hAnsi="Times New Roman"/>
          <w:color w:val="000000"/>
          <w:sz w:val="20"/>
        </w:rPr>
        <w:t xml:space="preserve"> </w:t>
      </w:r>
      <w:r>
        <w:rPr>
          <w:rFonts w:ascii="Arial" w:hAnsi="Arial"/>
          <w:color w:val="000000"/>
          <w:sz w:val="20"/>
        </w:rPr>
        <w:t>to August 2026. As of December 31, 2025, a total of $9.3</w:t>
      </w:r>
      <w:r>
        <w:rPr>
          <w:rFonts w:ascii="Times New Roman" w:hAnsi="Times New Roman"/>
          <w:color w:val="000000"/>
          <w:sz w:val="20"/>
        </w:rPr>
        <w:t xml:space="preserve"> </w:t>
      </w:r>
      <w:r>
        <w:rPr>
          <w:rFonts w:ascii="Arial" w:hAnsi="Arial"/>
          <w:color w:val="000000"/>
          <w:sz w:val="20"/>
        </w:rPr>
        <w:t>million of funding has been committed.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As of December 31, 2025 and 2024, the Company had recorded a receivable of $0.5</w:t>
      </w:r>
      <w:r>
        <w:rPr>
          <w:rFonts w:ascii="Times New Roman" w:hAnsi="Times New Roman"/>
          <w:color w:val="000000"/>
          <w:sz w:val="20"/>
        </w:rPr>
        <w:t xml:space="preserve"> </w:t>
      </w:r>
      <w:r>
        <w:rPr>
          <w:rFonts w:ascii="Arial" w:hAnsi="Arial"/>
          <w:color w:val="000000"/>
          <w:sz w:val="20"/>
        </w:rPr>
        <w:t>million and zero, respectively, which was included in prepaid expenses and other current assets on the balance sheets. During the years ended December 31, 2025 and 2024, the Company recorded $3.4</w:t>
      </w:r>
      <w:r>
        <w:rPr>
          <w:rFonts w:ascii="Times New Roman" w:hAnsi="Times New Roman"/>
          <w:color w:val="000000"/>
          <w:sz w:val="20"/>
        </w:rPr>
        <w:t xml:space="preserve"> </w:t>
      </w:r>
      <w:r>
        <w:rPr>
          <w:rFonts w:ascii="Arial" w:hAnsi="Arial"/>
          <w:color w:val="000000"/>
          <w:sz w:val="20"/>
        </w:rPr>
        <w:t>million and $1.8</w:t>
      </w:r>
      <w:r>
        <w:rPr>
          <w:rFonts w:ascii="Times New Roman" w:hAnsi="Times New Roman"/>
          <w:color w:val="000000"/>
          <w:sz w:val="20"/>
        </w:rPr>
        <w:t xml:space="preserve"> </w:t>
      </w:r>
      <w:r>
        <w:rPr>
          <w:rFonts w:ascii="Arial" w:hAnsi="Arial"/>
          <w:color w:val="000000"/>
          <w:sz w:val="20"/>
        </w:rPr>
        <w:t>million, respectively, under the NIAID contract as a reduction in research and development operating expenses.</w:t>
      </w:r>
    </w:p>
    <w:p>
      <w:pPr>
        <w:pStyle w:val="TextBody"/>
        <w:bidi w:val="0"/>
        <w:spacing w:before="360" w:after="283"/>
        <w:jc w:val="left"/>
        <w:rPr>
          <w:rFonts w:ascii="Arial" w:hAnsi="Arial"/>
          <w:b/>
          <w:i/>
          <w:color w:val="000000"/>
          <w:sz w:val="20"/>
        </w:rPr>
      </w:pPr>
      <w:r>
        <w:rPr>
          <w:rFonts w:ascii="Arial" w:hAnsi="Arial"/>
          <w:b/>
          <w:i/>
          <w:color w:val="000000"/>
          <w:sz w:val="20"/>
        </w:rPr>
        <w:t>UGARF Grant</w:t>
      </w:r>
    </w:p>
    <w:p>
      <w:pPr>
        <w:pStyle w:val="TextBody"/>
        <w:bidi w:val="0"/>
        <w:spacing w:before="120" w:after="283"/>
        <w:jc w:val="left"/>
        <w:rPr>
          <w:rFonts w:ascii="Times New Roman" w:hAnsi="Times New Roman"/>
          <w:sz w:val="20"/>
        </w:rPr>
      </w:pPr>
      <w:r>
        <w:rPr>
          <w:rFonts w:ascii="Arial" w:hAnsi="Arial"/>
          <w:color w:val="000000"/>
          <w:sz w:val="20"/>
        </w:rPr>
        <w:t>In September 2022, the Company entered into a subcontract agreement with the UGARF to conduct preclinical activities on behalf of UGARF (“UGARF Agreement”). The UGARF reimburses the Company under an award from Wellcome. The Company received $1.4</w:t>
      </w:r>
      <w:r>
        <w:rPr>
          <w:rFonts w:ascii="Times New Roman" w:hAnsi="Times New Roman"/>
          <w:color w:val="000000"/>
          <w:sz w:val="20"/>
        </w:rPr>
        <w:t xml:space="preserve"> </w:t>
      </w:r>
      <w:r>
        <w:rPr>
          <w:rFonts w:ascii="Arial" w:hAnsi="Arial"/>
          <w:color w:val="000000"/>
          <w:sz w:val="20"/>
        </w:rPr>
        <w:t>million from the UGARF to support preclinical development of a boron-containing small molecule for Chagas disease. In July 2024, the Company signed an amendment to the UGARF Agreement for additional funding in the amount of $0.2</w:t>
      </w:r>
      <w:r>
        <w:rPr>
          <w:rFonts w:ascii="Times New Roman" w:hAnsi="Times New Roman"/>
          <w:color w:val="000000"/>
          <w:sz w:val="20"/>
        </w:rPr>
        <w:t xml:space="preserve"> </w:t>
      </w:r>
      <w:r>
        <w:rPr>
          <w:rFonts w:ascii="Arial" w:hAnsi="Arial"/>
          <w:color w:val="000000"/>
          <w:sz w:val="20"/>
        </w:rPr>
        <w:t>million. During the years ended December 31, 2025 and 2024, the Company recorded no</w:t>
      </w:r>
      <w:r>
        <w:rPr>
          <w:rFonts w:ascii="Times New Roman" w:hAnsi="Times New Roman"/>
          <w:color w:val="000000"/>
          <w:sz w:val="20"/>
        </w:rPr>
        <w:t xml:space="preserve"> </w:t>
      </w:r>
      <w:r>
        <w:rPr>
          <w:rFonts w:ascii="Arial" w:hAnsi="Arial"/>
          <w:color w:val="000000"/>
          <w:sz w:val="20"/>
        </w:rPr>
        <w:t>income and income of $0.2</w:t>
      </w:r>
      <w:r>
        <w:rPr>
          <w:rFonts w:ascii="Times New Roman" w:hAnsi="Times New Roman"/>
          <w:color w:val="000000"/>
          <w:sz w:val="20"/>
        </w:rPr>
        <w:t xml:space="preserve"> </w:t>
      </w:r>
      <w:r>
        <w:rPr>
          <w:rFonts w:ascii="Arial" w:hAnsi="Arial"/>
          <w:color w:val="000000"/>
          <w:sz w:val="20"/>
        </w:rPr>
        <w:t>million, respectively, as a reduction in research and development operating expenses under the UGARF Agreement.</w:t>
      </w:r>
    </w:p>
    <w:p>
      <w:pPr>
        <w:pStyle w:val="TextBody"/>
        <w:bidi w:val="0"/>
        <w:spacing w:before="360" w:after="283"/>
        <w:jc w:val="left"/>
        <w:rPr>
          <w:rFonts w:ascii="Arial" w:hAnsi="Arial"/>
          <w:b/>
          <w:i/>
          <w:color w:val="000000"/>
          <w:sz w:val="20"/>
        </w:rPr>
      </w:pPr>
      <w:r>
        <w:rPr>
          <w:rFonts w:ascii="Arial" w:hAnsi="Arial"/>
          <w:b/>
          <w:i/>
          <w:color w:val="000000"/>
          <w:sz w:val="20"/>
        </w:rPr>
        <w:t>Gates Foundation Grant</w:t>
      </w:r>
    </w:p>
    <w:p>
      <w:pPr>
        <w:pStyle w:val="TextBody"/>
        <w:bidi w:val="0"/>
        <w:spacing w:before="120" w:after="283"/>
        <w:jc w:val="left"/>
        <w:rPr>
          <w:rFonts w:ascii="Times New Roman" w:hAnsi="Times New Roman"/>
          <w:sz w:val="20"/>
        </w:rPr>
      </w:pPr>
      <w:r>
        <w:rPr>
          <w:rFonts w:ascii="Arial" w:hAnsi="Arial"/>
          <w:color w:val="000000"/>
          <w:sz w:val="20"/>
        </w:rPr>
        <w:t>In September 2023, the Company received a cost-reimbursement contract award from the Gates Foundation, formerly the Bill and Melinda Gates Foundation (“2023 BMGF Agreement”), under which the Company was awarded $1.8</w:t>
      </w:r>
      <w:r>
        <w:rPr>
          <w:rFonts w:ascii="Times New Roman" w:hAnsi="Times New Roman"/>
          <w:color w:val="000000"/>
          <w:sz w:val="20"/>
        </w:rPr>
        <w:t xml:space="preserve"> </w:t>
      </w:r>
      <w:r>
        <w:rPr>
          <w:rFonts w:ascii="Arial" w:hAnsi="Arial"/>
          <w:color w:val="000000"/>
          <w:sz w:val="20"/>
        </w:rPr>
        <w:t>million to support the discovery of novel, boron containing small molecules for the treatment of tuberculosis and malaria. The Company is required to apply the funds it receives under the 2023 BMGF Agreement solely toward direct costs related to this research program. The Company received $1.0</w:t>
      </w:r>
      <w:r>
        <w:rPr>
          <w:rFonts w:ascii="Times New Roman" w:hAnsi="Times New Roman"/>
          <w:color w:val="000000"/>
          <w:sz w:val="20"/>
        </w:rPr>
        <w:t xml:space="preserve"> </w:t>
      </w:r>
      <w:r>
        <w:rPr>
          <w:rFonts w:ascii="Arial" w:hAnsi="Arial"/>
          <w:color w:val="000000"/>
          <w:sz w:val="20"/>
        </w:rPr>
        <w:t>million of funding in advance and tracks and reports eligible expenses incurred to the Gates Foundation. In April 2024, the Company received $0.8</w:t>
      </w:r>
      <w:r>
        <w:rPr>
          <w:rFonts w:ascii="Times New Roman" w:hAnsi="Times New Roman"/>
          <w:color w:val="000000"/>
          <w:sz w:val="20"/>
        </w:rPr>
        <w:t xml:space="preserve"> </w:t>
      </w:r>
      <w:r>
        <w:rPr>
          <w:rFonts w:ascii="Arial" w:hAnsi="Arial"/>
          <w:color w:val="000000"/>
          <w:sz w:val="20"/>
        </w:rPr>
        <w:t>million in funding, making the grant fully funded.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In September 2024, the Company entered into a second-year continuation cost-reimbursement contract award with the Gates Foundation (“2024 BMGF Agreement”), under which the Company was awarded $2.0</w:t>
      </w:r>
      <w:r>
        <w:rPr>
          <w:rFonts w:ascii="Times New Roman" w:hAnsi="Times New Roman"/>
          <w:color w:val="000000"/>
          <w:sz w:val="20"/>
        </w:rPr>
        <w:t xml:space="preserve"> </w:t>
      </w:r>
      <w:r>
        <w:rPr>
          <w:rFonts w:ascii="Arial" w:hAnsi="Arial"/>
          <w:color w:val="000000"/>
          <w:sz w:val="20"/>
        </w:rPr>
        <w:t>million to support an early-stage research program focused on delivering novel leads as starting points for new drugs that can be combined to deliver shorter, safer and simpler TB drug regimens. The Company is required to apply the funds it receives under the 2024 BMGF Agreement solely toward direct costs related to this research program. The Company received $1.1</w:t>
      </w:r>
      <w:r>
        <w:rPr>
          <w:rFonts w:ascii="Times New Roman" w:hAnsi="Times New Roman"/>
          <w:color w:val="000000"/>
          <w:sz w:val="20"/>
        </w:rPr>
        <w:t xml:space="preserve"> </w:t>
      </w:r>
      <w:r>
        <w:rPr>
          <w:rFonts w:ascii="Arial" w:hAnsi="Arial"/>
          <w:color w:val="000000"/>
          <w:sz w:val="20"/>
        </w:rPr>
        <w:t>million of funding in advance and tracks and reports eligible expenses incurred to the Gates Foundation. Any unspent funds and any funds spent that have not yet been incurred are recorded as part of other current liabilities on the balance sheets.</w:t>
      </w:r>
    </w:p>
    <w:p>
      <w:pPr>
        <w:pStyle w:val="TextBody"/>
        <w:bidi w:val="0"/>
        <w:spacing w:before="240" w:after="283"/>
        <w:jc w:val="left"/>
        <w:rPr>
          <w:rFonts w:ascii="Times New Roman" w:hAnsi="Times New Roman"/>
          <w:sz w:val="20"/>
        </w:rPr>
      </w:pPr>
      <w:r>
        <w:rPr>
          <w:rFonts w:ascii="Arial" w:hAnsi="Arial"/>
          <w:color w:val="000000"/>
          <w:sz w:val="20"/>
        </w:rPr>
        <w:t>In September 2025, the Company entered into a third-year continuation cost-reimbursement contract award with the Gates Foundation, formerly the Bill and Melinda Gates Foundation, (“2025 GF Agreement”), under which the Company was awarded $1.9</w:t>
      </w:r>
      <w:r>
        <w:rPr>
          <w:rFonts w:ascii="Times New Roman" w:hAnsi="Times New Roman"/>
          <w:color w:val="000000"/>
          <w:sz w:val="20"/>
        </w:rPr>
        <w:t xml:space="preserve"> </w:t>
      </w:r>
      <w:r>
        <w:rPr>
          <w:rFonts w:ascii="Arial" w:hAnsi="Arial"/>
          <w:color w:val="000000"/>
          <w:sz w:val="20"/>
        </w:rPr>
        <w:t>million to support an early-stage research program focused on delivering an optimized lead compound for clinical development that can be combined with other compounds to deliver shorter, safer and simpler TB drug regimens. The Company is required to apply the funds it receives under the 2025 GF Agreement solely toward direct costs related to this research program. Any unspent funds and any funds spent that have not yet been incurred are recorded as part of other current liabilities on the balance sheets.</w:t>
      </w:r>
    </w:p>
    <w:p>
      <w:pPr>
        <w:pStyle w:val="TextBody"/>
        <w:bidi w:val="0"/>
        <w:jc w:val="center"/>
        <w:rPr>
          <w:rFonts w:ascii="Arial" w:hAnsi="Arial"/>
          <w:color w:val="000000"/>
          <w:sz w:val="20"/>
        </w:rPr>
      </w:pPr>
      <w:r>
        <w:rPr>
          <w:rFonts w:ascii="Arial" w:hAnsi="Arial"/>
          <w:color w:val="000000"/>
          <w:sz w:val="20"/>
        </w:rPr>
        <w:t>F-16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Arial" w:hAnsi="Arial"/>
          <w:color w:val="000000"/>
          <w:sz w:val="20"/>
        </w:rPr>
        <w:t>As of December 31, 2025 and 2024, the Company recorded $1.2</w:t>
      </w:r>
      <w:r>
        <w:rPr>
          <w:rFonts w:ascii="Times New Roman" w:hAnsi="Times New Roman"/>
          <w:color w:val="000000"/>
          <w:sz w:val="20"/>
        </w:rPr>
        <w:t xml:space="preserve"> </w:t>
      </w:r>
      <w:r>
        <w:rPr>
          <w:rFonts w:ascii="Arial" w:hAnsi="Arial"/>
          <w:color w:val="000000"/>
          <w:sz w:val="20"/>
        </w:rPr>
        <w:t>million and $0.8</w:t>
      </w:r>
      <w:r>
        <w:rPr>
          <w:rFonts w:ascii="Times New Roman" w:hAnsi="Times New Roman"/>
          <w:color w:val="000000"/>
          <w:sz w:val="20"/>
        </w:rPr>
        <w:t xml:space="preserve"> </w:t>
      </w:r>
      <w:r>
        <w:rPr>
          <w:rFonts w:ascii="Arial" w:hAnsi="Arial"/>
          <w:color w:val="000000"/>
          <w:sz w:val="20"/>
        </w:rPr>
        <w:t>million, respectively, to other current liabilities on the balance sheets. During the year ended December 31, 2025, the Company recorded income of $0.3</w:t>
      </w:r>
      <w:r>
        <w:rPr>
          <w:rFonts w:ascii="Times New Roman" w:hAnsi="Times New Roman"/>
          <w:color w:val="000000"/>
          <w:sz w:val="20"/>
        </w:rPr>
        <w:t xml:space="preserve"> </w:t>
      </w:r>
      <w:r>
        <w:rPr>
          <w:rFonts w:ascii="Arial" w:hAnsi="Arial"/>
          <w:color w:val="000000"/>
          <w:sz w:val="20"/>
        </w:rPr>
        <w:t>million as a reduction in research and development operating expenses under the 2025 GF Agreement. During the years ended December 31, 2025 and 2024, the Company recorded income of $1.5</w:t>
      </w:r>
      <w:r>
        <w:rPr>
          <w:rFonts w:ascii="Times New Roman" w:hAnsi="Times New Roman"/>
          <w:color w:val="000000"/>
          <w:sz w:val="20"/>
        </w:rPr>
        <w:t xml:space="preserve"> </w:t>
      </w:r>
      <w:r>
        <w:rPr>
          <w:rFonts w:ascii="Arial" w:hAnsi="Arial"/>
          <w:color w:val="000000"/>
          <w:sz w:val="20"/>
        </w:rPr>
        <w:t>million and $1.7</w:t>
      </w:r>
      <w:r>
        <w:rPr>
          <w:rFonts w:ascii="Times New Roman" w:hAnsi="Times New Roman"/>
          <w:color w:val="000000"/>
          <w:sz w:val="20"/>
        </w:rPr>
        <w:t xml:space="preserve"> </w:t>
      </w:r>
      <w:r>
        <w:rPr>
          <w:rFonts w:ascii="Arial" w:hAnsi="Arial"/>
          <w:color w:val="000000"/>
          <w:sz w:val="20"/>
        </w:rPr>
        <w:t>million, respectively, as a reduction in research and development operating expenses under the 2024 and 2023 BMGF Agreements.</w:t>
      </w:r>
    </w:p>
    <w:p>
      <w:pPr>
        <w:pStyle w:val="TextBody"/>
        <w:bidi w:val="0"/>
        <w:spacing w:before="360" w:after="283"/>
        <w:jc w:val="left"/>
        <w:rPr>
          <w:rFonts w:ascii="Arial" w:hAnsi="Arial"/>
          <w:b/>
          <w:color w:val="000000"/>
          <w:sz w:val="20"/>
        </w:rPr>
      </w:pPr>
      <w:r>
        <w:rPr>
          <w:rFonts w:ascii="Arial" w:hAnsi="Arial"/>
          <w:b/>
          <w:color w:val="000000"/>
          <w:sz w:val="20"/>
        </w:rPr>
        <w:t>Note 5. Collaboration and License Agreements</w:t>
      </w:r>
    </w:p>
    <w:p>
      <w:pPr>
        <w:pStyle w:val="TextBody"/>
        <w:bidi w:val="0"/>
        <w:spacing w:before="120" w:after="283"/>
        <w:jc w:val="left"/>
        <w:rPr>
          <w:rFonts w:ascii="Arial" w:hAnsi="Arial"/>
          <w:b/>
          <w:i/>
          <w:color w:val="000000"/>
          <w:sz w:val="20"/>
        </w:rPr>
      </w:pPr>
      <w:r>
        <w:rPr>
          <w:rFonts w:ascii="Arial" w:hAnsi="Arial"/>
          <w:b/>
          <w:i/>
          <w:color w:val="000000"/>
          <w:sz w:val="20"/>
        </w:rPr>
        <w:t>Anacor Licensing Agreement</w:t>
      </w:r>
    </w:p>
    <w:p>
      <w:pPr>
        <w:pStyle w:val="TextBody"/>
        <w:bidi w:val="0"/>
        <w:spacing w:before="120" w:after="283"/>
        <w:jc w:val="left"/>
        <w:rPr>
          <w:rFonts w:ascii="Times New Roman" w:hAnsi="Times New Roman"/>
          <w:sz w:val="20"/>
        </w:rPr>
      </w:pPr>
      <w:r>
        <w:rPr>
          <w:rFonts w:ascii="Arial" w:hAnsi="Arial"/>
          <w:color w:val="000000"/>
          <w:sz w:val="20"/>
        </w:rPr>
        <w:t>In November 2019, the Company entered into an exclusive worldwide license agreement with Anacor Pharmaceuticals, Inc. (“Anacor”) for certain compounds and other intellectual property controlled by Anacor for the treatment, diagnosis, or prevention of all human diseases (the “Anacor License”). The Anacor License will expire upon expiration of the last to expire royalty term. Either party may terminate the Anacor License for the other party’s material breach following a cure period or immediately upon certain insolvency events relating to the other party. The Company has the right to terminate the agreement at its convenience upon 90-day</w:t>
      </w:r>
      <w:r>
        <w:rPr>
          <w:rFonts w:ascii="Times New Roman" w:hAnsi="Times New Roman"/>
          <w:color w:val="000000"/>
          <w:sz w:val="20"/>
        </w:rPr>
        <w:t xml:space="preserve"> </w:t>
      </w:r>
      <w:r>
        <w:rPr>
          <w:rFonts w:ascii="Arial" w:hAnsi="Arial"/>
          <w:color w:val="000000"/>
          <w:sz w:val="20"/>
        </w:rPr>
        <w:t>written notice until the first regulatory approval or one-year</w:t>
      </w:r>
      <w:r>
        <w:rPr>
          <w:rFonts w:ascii="Times New Roman" w:hAnsi="Times New Roman"/>
          <w:color w:val="000000"/>
          <w:sz w:val="20"/>
        </w:rPr>
        <w:t xml:space="preserve"> </w:t>
      </w:r>
      <w:r>
        <w:rPr>
          <w:rFonts w:ascii="Arial" w:hAnsi="Arial"/>
          <w:color w:val="000000"/>
          <w:sz w:val="20"/>
        </w:rPr>
        <w:t>notice thereafter. Furthermore, upon termination of the Anacor License for any of the foregoing reasons, the rights and licenses within will terminate.</w:t>
      </w:r>
    </w:p>
    <w:p>
      <w:pPr>
        <w:pStyle w:val="TextBody"/>
        <w:bidi w:val="0"/>
        <w:spacing w:before="240" w:after="283"/>
        <w:jc w:val="left"/>
        <w:rPr>
          <w:rFonts w:ascii="Times New Roman" w:hAnsi="Times New Roman"/>
          <w:sz w:val="20"/>
        </w:rPr>
      </w:pPr>
      <w:r>
        <w:rPr>
          <w:rFonts w:ascii="Arial" w:hAnsi="Arial"/>
          <w:color w:val="000000"/>
          <w:sz w:val="20"/>
        </w:rPr>
        <w:t>In exchange for the worldwide, sublicensable, exclusive right and licenses to develop, manufacture, and commercialize the specified compounds, the Company paid Anacor a non-refundable $2.0</w:t>
      </w:r>
      <w:r>
        <w:rPr>
          <w:rFonts w:ascii="Times New Roman" w:hAnsi="Times New Roman"/>
          <w:color w:val="000000"/>
          <w:sz w:val="20"/>
        </w:rPr>
        <w:t xml:space="preserve"> </w:t>
      </w:r>
      <w:r>
        <w:rPr>
          <w:rFonts w:ascii="Arial" w:hAnsi="Arial"/>
          <w:color w:val="000000"/>
          <w:sz w:val="20"/>
        </w:rPr>
        <w:t>million upfront payment and granted Anacor shares of Series A redeemable convertible preferred stock.</w:t>
      </w:r>
    </w:p>
    <w:p>
      <w:pPr>
        <w:pStyle w:val="TextBody"/>
        <w:bidi w:val="0"/>
        <w:spacing w:before="240" w:after="283"/>
        <w:jc w:val="left"/>
        <w:rPr>
          <w:rFonts w:ascii="Times New Roman" w:hAnsi="Times New Roman"/>
          <w:sz w:val="20"/>
        </w:rPr>
      </w:pPr>
      <w:r>
        <w:rPr>
          <w:rFonts w:ascii="Arial" w:hAnsi="Arial"/>
          <w:color w:val="000000"/>
          <w:sz w:val="20"/>
        </w:rPr>
        <w:t>The Company agreed to make further payments to Anacor upon achievement of various development milestones for an aggregate maximum of $2.0</w:t>
      </w:r>
      <w:r>
        <w:rPr>
          <w:rFonts w:ascii="Times New Roman" w:hAnsi="Times New Roman"/>
          <w:color w:val="000000"/>
          <w:sz w:val="20"/>
        </w:rPr>
        <w:t xml:space="preserve"> </w:t>
      </w:r>
      <w:r>
        <w:rPr>
          <w:rFonts w:ascii="Arial" w:hAnsi="Arial"/>
          <w:color w:val="000000"/>
          <w:sz w:val="20"/>
        </w:rPr>
        <w:t>million, upon achievement of various</w:t>
      </w:r>
      <w:r>
        <w:rPr>
          <w:rFonts w:ascii="Times New Roman" w:hAnsi="Times New Roman"/>
          <w:color w:val="000000"/>
          <w:sz w:val="20"/>
        </w:rPr>
        <w:t xml:space="preserve"> </w:t>
      </w:r>
      <w:r>
        <w:rPr>
          <w:rFonts w:ascii="Arial" w:hAnsi="Arial"/>
          <w:color w:val="000000"/>
          <w:sz w:val="20"/>
        </w:rPr>
        <w:t>commercial and sales threshold milestones for an aggregate maximum payment of $125.0</w:t>
      </w:r>
      <w:r>
        <w:rPr>
          <w:rFonts w:ascii="Times New Roman" w:hAnsi="Times New Roman"/>
          <w:color w:val="000000"/>
          <w:sz w:val="20"/>
        </w:rPr>
        <w:t xml:space="preserve"> </w:t>
      </w:r>
      <w:r>
        <w:rPr>
          <w:rFonts w:ascii="Arial" w:hAnsi="Arial"/>
          <w:color w:val="000000"/>
          <w:sz w:val="20"/>
        </w:rPr>
        <w:t>million, and up to 50% of royalties received under certain sublicensing arrangements. Royalties are subject to certain customary reductions, including lack of patent coverage and generic product entry. The Company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License, and range from mid-single digits for developing countries (as classified by the World Bank) and single to mid-teens for all other countries or the China, Hong Kong, Taiwan, and Macau territories, upon reaching a minimum of net sales in the low-teen millions. The sales royalties are required to be paid on a product-by-product and country-by-country basis, until the latest to occur of 15 years</w:t>
      </w:r>
      <w:r>
        <w:rPr>
          <w:rFonts w:ascii="Times New Roman" w:hAnsi="Times New Roman"/>
          <w:color w:val="000000"/>
          <w:sz w:val="20"/>
        </w:rPr>
        <w:t xml:space="preserve"> </w:t>
      </w:r>
      <w:r>
        <w:rPr>
          <w:rFonts w:ascii="Arial" w:hAnsi="Arial"/>
          <w:color w:val="000000"/>
          <w:sz w:val="20"/>
        </w:rPr>
        <w:t>following the date of first commercial sale of a product, the expiration of all regulatory or data exclusivity, or the date upon of the expiration of the last to expire 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the Company.</w:t>
      </w:r>
    </w:p>
    <w:p>
      <w:pPr>
        <w:pStyle w:val="TextBody"/>
        <w:bidi w:val="0"/>
        <w:spacing w:before="240" w:after="283"/>
        <w:jc w:val="left"/>
        <w:rPr>
          <w:rFonts w:ascii="Arial" w:hAnsi="Arial"/>
          <w:color w:val="000000"/>
          <w:sz w:val="20"/>
        </w:rPr>
      </w:pPr>
      <w:r>
        <w:rPr>
          <w:rFonts w:ascii="Arial" w:hAnsi="Arial"/>
          <w:color w:val="000000"/>
          <w:sz w:val="20"/>
        </w:rPr>
        <w:t>In December 2021, the Company entered into an amendment to the Anacor License for certain compounds and other intellectual property controlled by Anacor for the treatment, diagnosis, or prevention of certain bacterial pathogens (the “Anacor License Amendment”). The Anacor License Amendment has no impact on the Anacor License financial terms.</w:t>
      </w:r>
    </w:p>
    <w:p>
      <w:pPr>
        <w:pStyle w:val="TextBody"/>
        <w:bidi w:val="0"/>
        <w:spacing w:before="240" w:after="283"/>
        <w:jc w:val="left"/>
        <w:rPr>
          <w:rFonts w:ascii="Arial" w:hAnsi="Arial"/>
          <w:color w:val="000000"/>
          <w:sz w:val="20"/>
        </w:rPr>
      </w:pPr>
      <w:r>
        <w:rPr>
          <w:rFonts w:ascii="Arial" w:hAnsi="Arial"/>
          <w:color w:val="000000"/>
          <w:sz w:val="20"/>
        </w:rPr>
        <w:t>None of the development, regulatory, commercial or sales milestones or royalty payments were recognized during the years ended December 31, 2025 and 2024.</w:t>
      </w:r>
    </w:p>
    <w:p>
      <w:pPr>
        <w:pStyle w:val="TextBody"/>
        <w:bidi w:val="0"/>
        <w:jc w:val="center"/>
        <w:rPr>
          <w:rFonts w:ascii="Arial" w:hAnsi="Arial"/>
          <w:color w:val="000000"/>
          <w:sz w:val="20"/>
        </w:rPr>
      </w:pPr>
      <w:r>
        <w:rPr>
          <w:rFonts w:ascii="Arial" w:hAnsi="Arial"/>
          <w:color w:val="000000"/>
          <w:sz w:val="20"/>
        </w:rPr>
        <w:t>F-17</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i/>
          <w:color w:val="000000"/>
          <w:sz w:val="20"/>
        </w:rPr>
      </w:pPr>
      <w:r>
        <w:rPr>
          <w:rFonts w:ascii="Arial" w:hAnsi="Arial"/>
          <w:b/>
          <w:i/>
          <w:color w:val="000000"/>
          <w:sz w:val="20"/>
        </w:rPr>
        <w:t>Brii Biosciences Agreement</w:t>
      </w:r>
    </w:p>
    <w:p>
      <w:pPr>
        <w:pStyle w:val="TextBody"/>
        <w:bidi w:val="0"/>
        <w:spacing w:before="120" w:after="283"/>
        <w:jc w:val="left"/>
        <w:rPr>
          <w:rFonts w:ascii="Times New Roman" w:hAnsi="Times New Roman"/>
          <w:sz w:val="20"/>
        </w:rPr>
      </w:pPr>
      <w:r>
        <w:rPr>
          <w:rFonts w:ascii="Arial" w:hAnsi="Arial"/>
          <w:color w:val="000000"/>
          <w:sz w:val="20"/>
        </w:rPr>
        <w:t>In November 2019, the Company entered into a license agreement granting Brii Biosciences Limited the exclusive development and commercialization rights of certain compounds in China, Hong Kong, Taiwan, and Macau for the treatment of human diseases. The Company did not receive an upfront payment but is eligible to receive up to $15.0</w:t>
      </w:r>
      <w:r>
        <w:rPr>
          <w:rFonts w:ascii="Times New Roman" w:hAnsi="Times New Roman"/>
          <w:color w:val="000000"/>
          <w:sz w:val="20"/>
        </w:rPr>
        <w:t xml:space="preserve"> </w:t>
      </w:r>
      <w:r>
        <w:rPr>
          <w:rFonts w:ascii="Arial" w:hAnsi="Arial"/>
          <w:color w:val="000000"/>
          <w:sz w:val="20"/>
        </w:rPr>
        <w:t>million in the aggregate for development and regulatory milestones and up to $150.0</w:t>
      </w:r>
      <w:r>
        <w:rPr>
          <w:rFonts w:ascii="Times New Roman" w:hAnsi="Times New Roman"/>
          <w:color w:val="000000"/>
          <w:sz w:val="20"/>
        </w:rPr>
        <w:t xml:space="preserve"> </w:t>
      </w:r>
      <w:r>
        <w:rPr>
          <w:rFonts w:ascii="Arial" w:hAnsi="Arial"/>
          <w:color w:val="000000"/>
          <w:sz w:val="20"/>
        </w:rPr>
        <w:t>million in commercial milestones upon achieving sales thresholds. The Company is also entitled to tiered mid-single digits to high-first decile percentage sales-based royalties. The sales royalties are required to be paid on a product-by-product and region-by-region basis, until the latest to occur of 15 years</w:t>
      </w:r>
      <w:r>
        <w:rPr>
          <w:rFonts w:ascii="Times New Roman" w:hAnsi="Times New Roman"/>
          <w:color w:val="000000"/>
          <w:sz w:val="20"/>
        </w:rPr>
        <w:t xml:space="preserve"> </w:t>
      </w:r>
      <w:r>
        <w:rPr>
          <w:rFonts w:ascii="Arial" w:hAnsi="Arial"/>
          <w:color w:val="000000"/>
          <w:sz w:val="20"/>
        </w:rPr>
        <w:t>following the date of first commercial sale of a product, the expiration of all regulatory or data exclusivity, or the date upon the expiration of the last to expire claim of a licensed patent covering the composition of matter or approved use of such product in such region. The last to expire valid claim of a licensed patent covering the composition of matter or approved use of such product in the licensed territory is June 2028. Future milestone payments and royalties will be accounted for under ASC 606.</w:t>
      </w:r>
    </w:p>
    <w:p>
      <w:pPr>
        <w:pStyle w:val="TextBody"/>
        <w:bidi w:val="0"/>
        <w:spacing w:before="120" w:after="283"/>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6. Balance Sheet Components</w:t>
      </w:r>
    </w:p>
    <w:p>
      <w:pPr>
        <w:pStyle w:val="TextBody"/>
        <w:bidi w:val="0"/>
        <w:spacing w:before="120" w:after="283"/>
        <w:jc w:val="left"/>
        <w:rPr>
          <w:rFonts w:ascii="Arial" w:hAnsi="Arial"/>
          <w:b/>
          <w:i/>
          <w:color w:val="000000"/>
          <w:sz w:val="20"/>
        </w:rPr>
      </w:pPr>
      <w:r>
        <w:rPr>
          <w:rFonts w:ascii="Arial" w:hAnsi="Arial"/>
          <w:b/>
          <w:i/>
          <w:color w:val="000000"/>
          <w:sz w:val="20"/>
        </w:rPr>
        <w:t>Accrued Liabilities</w:t>
      </w:r>
    </w:p>
    <w:p>
      <w:pPr>
        <w:pStyle w:val="TextBody"/>
        <w:bidi w:val="0"/>
        <w:spacing w:before="120" w:after="240"/>
        <w:jc w:val="left"/>
        <w:rPr>
          <w:rFonts w:ascii="Arial" w:hAnsi="Arial"/>
          <w:color w:val="000000"/>
          <w:sz w:val="20"/>
        </w:rPr>
      </w:pPr>
      <w:r>
        <w:rPr>
          <w:rFonts w:ascii="Arial" w:hAnsi="Arial"/>
          <w:color w:val="000000"/>
          <w:sz w:val="20"/>
        </w:rPr>
        <w:t>Accrued liabilities consist of the following (in thousands):</w:t>
      </w:r>
    </w:p>
    <w:tbl>
      <w:tblPr>
        <w:tblW w:w="7710" w:type="dxa"/>
        <w:jc w:val="left"/>
        <w:tblInd w:w="0" w:type="dxa"/>
        <w:tblLayout w:type="fixed"/>
        <w:tblCellMar>
          <w:top w:w="28" w:type="dxa"/>
          <w:left w:w="28" w:type="dxa"/>
          <w:bottom w:w="28" w:type="dxa"/>
          <w:right w:w="28" w:type="dxa"/>
        </w:tblCellMar>
      </w:tblPr>
      <w:tblGrid>
        <w:gridCol w:w="4741"/>
        <w:gridCol w:w="146"/>
        <w:gridCol w:w="309"/>
        <w:gridCol w:w="861"/>
        <w:gridCol w:w="146"/>
        <w:gridCol w:w="146"/>
        <w:gridCol w:w="309"/>
        <w:gridCol w:w="861"/>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clinical trial-related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7. Commitments and Contingencies</w:t>
      </w:r>
    </w:p>
    <w:p>
      <w:pPr>
        <w:pStyle w:val="TextBody"/>
        <w:bidi w:val="0"/>
        <w:spacing w:before="120" w:after="283"/>
        <w:jc w:val="left"/>
        <w:rPr>
          <w:rFonts w:ascii="Arial" w:hAnsi="Arial"/>
          <w:b/>
          <w:i/>
          <w:color w:val="000000"/>
          <w:sz w:val="20"/>
        </w:rPr>
      </w:pPr>
      <w:r>
        <w:rPr>
          <w:rFonts w:ascii="Arial" w:hAnsi="Arial"/>
          <w:b/>
          <w:i/>
          <w:color w:val="000000"/>
          <w:sz w:val="20"/>
        </w:rPr>
        <w:t>Contingencies</w:t>
      </w:r>
    </w:p>
    <w:p>
      <w:pPr>
        <w:pStyle w:val="TextBody"/>
        <w:bidi w:val="0"/>
        <w:spacing w:before="120" w:after="283"/>
        <w:jc w:val="left"/>
        <w:rPr>
          <w:rFonts w:ascii="Arial" w:hAnsi="Arial"/>
          <w:color w:val="000000"/>
          <w:sz w:val="20"/>
        </w:rPr>
      </w:pPr>
      <w:r>
        <w:rPr>
          <w:rFonts w:ascii="Arial" w:hAnsi="Arial"/>
          <w:color w:val="000000"/>
          <w:sz w:val="20"/>
        </w:rPr>
        <w:t>From time to time, the Company may become involved in legal proceedings arising in the ordinary course of business. The Company was not subject to any material legal proceedings as of December 31, 2025 and 2024, and the Company is not currently a party to any legal proceeding that, if determined adversely to the Company, in management’s opinion, is currently expected to individually or in the aggregate have a material adverse effect on the Company’s business, financial condition or results of operations taken as a whole.</w:t>
      </w:r>
    </w:p>
    <w:p>
      <w:pPr>
        <w:pStyle w:val="TextBody"/>
        <w:bidi w:val="0"/>
        <w:spacing w:before="360" w:after="283"/>
        <w:jc w:val="left"/>
        <w:rPr>
          <w:rFonts w:ascii="Arial" w:hAnsi="Arial"/>
          <w:b/>
          <w:i/>
          <w:color w:val="000000"/>
          <w:sz w:val="20"/>
        </w:rPr>
      </w:pPr>
      <w:r>
        <w:rPr>
          <w:rFonts w:ascii="Arial" w:hAnsi="Arial"/>
          <w:b/>
          <w:i/>
          <w:color w:val="000000"/>
          <w:sz w:val="20"/>
        </w:rPr>
        <w:t>Guarantees and Indemnifications</w:t>
      </w:r>
    </w:p>
    <w:p>
      <w:pPr>
        <w:pStyle w:val="TextBody"/>
        <w:bidi w:val="0"/>
        <w:spacing w:before="120" w:after="283"/>
        <w:jc w:val="left"/>
        <w:rPr>
          <w:rFonts w:ascii="Arial" w:hAnsi="Arial"/>
          <w:color w:val="000000"/>
          <w:sz w:val="20"/>
        </w:rPr>
      </w:pPr>
      <w:r>
        <w:rPr>
          <w:rFonts w:ascii="Arial" w:hAnsi="Arial"/>
          <w:color w:val="000000"/>
          <w:sz w:val="20"/>
        </w:rPr>
        <w:t>The Company, as permitted under Delaware law and in accordance with its certification of incorporation, as amended, and bylaws, and pursuant to indemnification agreements with certain of its officers and directors, indemnifies its officers and directors for certain events or occurrences, subject to certain limits, which the officer or director is or was serving at the Company’s request in such capacity. The term of the indemnification period lasts as long as an officer or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limits the Company’s exposure and may enable it to recover a portion of any future amounts paid. The Company believes that the fair value of these indemnification obligations is minimal. Accordingly, the Company has not recognized any liabilities relating to these obligations for any period presented.</w:t>
      </w:r>
    </w:p>
    <w:p>
      <w:pPr>
        <w:pStyle w:val="TextBody"/>
        <w:bidi w:val="0"/>
        <w:jc w:val="center"/>
        <w:rPr>
          <w:rFonts w:ascii="Arial" w:hAnsi="Arial"/>
          <w:color w:val="000000"/>
          <w:sz w:val="20"/>
        </w:rPr>
      </w:pPr>
      <w:r>
        <w:rPr>
          <w:rFonts w:ascii="Arial" w:hAnsi="Arial"/>
          <w:color w:val="000000"/>
          <w:sz w:val="20"/>
        </w:rPr>
        <w:t>F-18</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i/>
          <w:color w:val="000000"/>
          <w:sz w:val="20"/>
        </w:rPr>
      </w:pPr>
      <w:r>
        <w:rPr>
          <w:rFonts w:ascii="Arial" w:hAnsi="Arial"/>
          <w:b/>
          <w:i/>
          <w:color w:val="000000"/>
          <w:sz w:val="20"/>
        </w:rPr>
        <w:t>Adjuvant Global Health Agreement</w:t>
      </w:r>
    </w:p>
    <w:p>
      <w:pPr>
        <w:pStyle w:val="TextBody"/>
        <w:bidi w:val="0"/>
        <w:spacing w:before="120" w:after="283"/>
        <w:jc w:val="left"/>
        <w:rPr>
          <w:rFonts w:ascii="Arial" w:hAnsi="Arial"/>
          <w:color w:val="000000"/>
          <w:sz w:val="20"/>
        </w:rPr>
      </w:pPr>
      <w:r>
        <w:rPr>
          <w:rFonts w:ascii="Arial" w:hAnsi="Arial"/>
          <w:color w:val="000000"/>
          <w:sz w:val="20"/>
        </w:rPr>
        <w:t>In conjunction with Adjuvant Global Health Technology Fund L.P.’s (“Adjuvant”) investment in the Company in 2019 and 2020, the Company entered into a Global Health Agreement with Adjuvant, pursuant to which the Company agreed to support the creation of innovative and affordable drugs to treat disease, through public health programs and private purchasers in Low and Lower-Middle-Income Countries (as such terms are defined by the World Bank and in the agreement).</w:t>
      </w:r>
    </w:p>
    <w:p>
      <w:pPr>
        <w:pStyle w:val="TextBody"/>
        <w:bidi w:val="0"/>
        <w:spacing w:before="240" w:after="283"/>
        <w:jc w:val="left"/>
        <w:rPr>
          <w:rFonts w:ascii="Times New Roman" w:hAnsi="Times New Roman"/>
          <w:sz w:val="20"/>
        </w:rPr>
      </w:pPr>
      <w:r>
        <w:rPr>
          <w:rFonts w:ascii="Arial" w:hAnsi="Arial"/>
          <w:color w:val="000000"/>
          <w:sz w:val="20"/>
        </w:rPr>
        <w:t>Adjuvant’s investment supports the development of the Company’s product candidate, epetraborole, for use in melioidosis-endemic and melioidosis-at-risk countries and in tuberculosis-endemic and tuberculosis-at-risk countries, as defined in the agreement as amended and restated. These global access commitments will remain in effect until the latter of either that Adjuvant ceases to be a shareholder of the Company, or ten years</w:t>
      </w:r>
      <w:r>
        <w:rPr>
          <w:rFonts w:ascii="Times New Roman" w:hAnsi="Times New Roman"/>
          <w:color w:val="000000"/>
          <w:sz w:val="20"/>
        </w:rPr>
        <w:t xml:space="preserve"> </w:t>
      </w:r>
      <w:r>
        <w:rPr>
          <w:rFonts w:ascii="Arial" w:hAnsi="Arial"/>
          <w:color w:val="000000"/>
          <w:sz w:val="20"/>
        </w:rPr>
        <w:t>following epetraborole approval for the treatment of melioidosis by a regulatory authority.</w:t>
      </w:r>
    </w:p>
    <w:p>
      <w:pPr>
        <w:pStyle w:val="TextBody"/>
        <w:bidi w:val="0"/>
        <w:spacing w:before="240" w:after="283"/>
        <w:jc w:val="left"/>
        <w:rPr>
          <w:rFonts w:ascii="Arial" w:hAnsi="Arial"/>
          <w:color w:val="000000"/>
          <w:sz w:val="20"/>
        </w:rPr>
      </w:pPr>
      <w:r>
        <w:rPr>
          <w:rFonts w:ascii="Arial" w:hAnsi="Arial"/>
          <w:color w:val="000000"/>
          <w:sz w:val="20"/>
        </w:rPr>
        <w:t>The Global Health Agreement contains various affirmative and negative covenants agreed to by the Company, including its use of reasonably diligent endeavors to develop the agreed-upon products using non-dilutive funding and make accessible to people in need in the target countries so long as the Company does not sell products at a loss. Other covenants include prohibition of use of investment for propaganda, attempt to influence legislation, influence of any public election or voter registration drive or promotion of terrorist activities, as well as compliance with certain environmental, social and governance requirements and anti-corruption requirements.</w:t>
      </w:r>
    </w:p>
    <w:p>
      <w:pPr>
        <w:pStyle w:val="TextBody"/>
        <w:bidi w:val="0"/>
        <w:spacing w:before="360" w:after="283"/>
        <w:jc w:val="left"/>
        <w:rPr>
          <w:rFonts w:ascii="Arial" w:hAnsi="Arial"/>
          <w:b/>
          <w:color w:val="000000"/>
          <w:sz w:val="20"/>
        </w:rPr>
      </w:pPr>
      <w:r>
        <w:rPr>
          <w:rFonts w:ascii="Arial" w:hAnsi="Arial"/>
          <w:b/>
          <w:color w:val="000000"/>
          <w:sz w:val="20"/>
        </w:rPr>
        <w:t>Note 8. Equity</w:t>
      </w:r>
    </w:p>
    <w:p>
      <w:pPr>
        <w:pStyle w:val="TextBody"/>
        <w:bidi w:val="0"/>
        <w:spacing w:before="120" w:after="283"/>
        <w:jc w:val="left"/>
        <w:rPr>
          <w:rFonts w:ascii="Arial" w:hAnsi="Arial"/>
          <w:b/>
          <w:i/>
          <w:color w:val="000000"/>
          <w:sz w:val="20"/>
        </w:rPr>
      </w:pPr>
      <w:r>
        <w:rPr>
          <w:rFonts w:ascii="Arial" w:hAnsi="Arial"/>
          <w:b/>
          <w:i/>
          <w:color w:val="000000"/>
          <w:sz w:val="20"/>
        </w:rPr>
        <w:t>Common Stock</w:t>
      </w:r>
    </w:p>
    <w:p>
      <w:pPr>
        <w:pStyle w:val="TextBody"/>
        <w:bidi w:val="0"/>
        <w:spacing w:before="120" w:after="283"/>
        <w:jc w:val="left"/>
        <w:rPr>
          <w:rFonts w:ascii="Times New Roman" w:hAnsi="Times New Roman"/>
          <w:sz w:val="20"/>
        </w:rPr>
      </w:pPr>
      <w:r>
        <w:rPr>
          <w:rFonts w:ascii="Arial" w:hAnsi="Arial"/>
          <w:color w:val="000000"/>
          <w:sz w:val="20"/>
        </w:rPr>
        <w:t>The Company’s certificate of incorporation, as amended, authorizes the Company to issue up to 500,000,000</w:t>
      </w:r>
      <w:r>
        <w:rPr>
          <w:rFonts w:ascii="Times New Roman" w:hAnsi="Times New Roman"/>
          <w:color w:val="000000"/>
          <w:sz w:val="20"/>
        </w:rPr>
        <w:t xml:space="preserve"> </w:t>
      </w:r>
      <w:r>
        <w:rPr>
          <w:rFonts w:ascii="Arial" w:hAnsi="Arial"/>
          <w:color w:val="000000"/>
          <w:sz w:val="20"/>
        </w:rPr>
        <w:t>shares of $0.00001</w:t>
      </w:r>
      <w:r>
        <w:rPr>
          <w:rFonts w:ascii="Times New Roman" w:hAnsi="Times New Roman"/>
          <w:color w:val="000000"/>
          <w:sz w:val="20"/>
        </w:rPr>
        <w:t xml:space="preserve"> </w:t>
      </w:r>
      <w:r>
        <w:rPr>
          <w:rFonts w:ascii="Arial" w:hAnsi="Arial"/>
          <w:color w:val="000000"/>
          <w:sz w:val="20"/>
        </w:rPr>
        <w:t>par value common stock. Holders of common stock are entitled to one</w:t>
      </w:r>
      <w:r>
        <w:rPr>
          <w:rFonts w:ascii="Times New Roman" w:hAnsi="Times New Roman"/>
          <w:color w:val="000000"/>
          <w:sz w:val="20"/>
        </w:rPr>
        <w:t xml:space="preserve"> </w:t>
      </w:r>
      <w:r>
        <w:rPr>
          <w:rFonts w:ascii="Arial" w:hAnsi="Arial"/>
          <w:color w:val="000000"/>
          <w:sz w:val="20"/>
        </w:rPr>
        <w:t>vote per share on all matters to be voted upon by the stockholders of the Company.</w:t>
      </w:r>
    </w:p>
    <w:p>
      <w:pPr>
        <w:pStyle w:val="TextBody"/>
        <w:bidi w:val="0"/>
        <w:spacing w:before="240" w:after="283"/>
        <w:jc w:val="left"/>
        <w:rPr>
          <w:rFonts w:ascii="Arial" w:hAnsi="Arial"/>
          <w:color w:val="000000"/>
          <w:sz w:val="20"/>
        </w:rPr>
      </w:pPr>
      <w:r>
        <w:rPr>
          <w:rFonts w:ascii="Arial" w:hAnsi="Arial"/>
          <w:color w:val="000000"/>
          <w:sz w:val="20"/>
        </w:rPr>
        <w:t>Subject to the preferences that may be applicable to any outstanding shares of preferred stock, the holders of common stock are entitled to receive ratably such dividends, if any, as may be declared by the Board. No dividends have been declared to date.</w:t>
      </w:r>
    </w:p>
    <w:p>
      <w:pPr>
        <w:pStyle w:val="TextBody"/>
        <w:bidi w:val="0"/>
        <w:spacing w:before="240" w:after="283"/>
        <w:jc w:val="left"/>
        <w:rPr>
          <w:rFonts w:ascii="Times New Roman" w:hAnsi="Times New Roman"/>
          <w:sz w:val="20"/>
        </w:rPr>
      </w:pPr>
      <w:r>
        <w:rPr>
          <w:rFonts w:ascii="Arial" w:hAnsi="Arial"/>
          <w:color w:val="000000"/>
          <w:sz w:val="20"/>
        </w:rPr>
        <w:t>In April 2023, the Company entered into a Sales Agreement with Cowen and Company, LLC as the Company’s Agent, to issue and sell up to an aggregate gross sales of $100.0</w:t>
      </w:r>
      <w:r>
        <w:rPr>
          <w:rFonts w:ascii="Times New Roman" w:hAnsi="Times New Roman"/>
          <w:color w:val="000000"/>
          <w:sz w:val="20"/>
        </w:rPr>
        <w:t xml:space="preserve"> </w:t>
      </w:r>
      <w:r>
        <w:rPr>
          <w:rFonts w:ascii="Arial" w:hAnsi="Arial"/>
          <w:color w:val="000000"/>
          <w:sz w:val="20"/>
        </w:rPr>
        <w:t>million in Shares of the Company’s common stock through the ATM Offering. During the year ended December 31, 2023, the Company issued and sold 2,502,000</w:t>
      </w:r>
      <w:r>
        <w:rPr>
          <w:rFonts w:ascii="Times New Roman" w:hAnsi="Times New Roman"/>
          <w:color w:val="000000"/>
          <w:sz w:val="20"/>
        </w:rPr>
        <w:t xml:space="preserve"> </w:t>
      </w:r>
      <w:r>
        <w:rPr>
          <w:rFonts w:ascii="Arial" w:hAnsi="Arial"/>
          <w:color w:val="000000"/>
          <w:sz w:val="20"/>
        </w:rPr>
        <w:t>shares of common stock under the ATM Offering, resulting in net proceeds of $19.1</w:t>
      </w:r>
      <w:r>
        <w:rPr>
          <w:rFonts w:ascii="Times New Roman" w:hAnsi="Times New Roman"/>
          <w:color w:val="000000"/>
          <w:sz w:val="20"/>
        </w:rPr>
        <w:t xml:space="preserve"> </w:t>
      </w:r>
      <w:r>
        <w:rPr>
          <w:rFonts w:ascii="Arial" w:hAnsi="Arial"/>
          <w:color w:val="000000"/>
          <w:sz w:val="20"/>
        </w:rPr>
        <w:t>million, after deducting commissions and other offering costs. The Company did not sell any shares of common stock through the ATM Offering during the years ended December 31, 2025 or 2024.</w:t>
      </w:r>
    </w:p>
    <w:p>
      <w:pPr>
        <w:pStyle w:val="TextBody"/>
        <w:bidi w:val="0"/>
        <w:spacing w:before="240" w:after="240"/>
        <w:jc w:val="left"/>
        <w:rPr>
          <w:rFonts w:ascii="Times New Roman" w:hAnsi="Times New Roman"/>
          <w:sz w:val="20"/>
        </w:rPr>
      </w:pPr>
      <w:r>
        <w:rPr>
          <w:rFonts w:ascii="Arial" w:hAnsi="Arial"/>
          <w:color w:val="000000"/>
          <w:sz w:val="20"/>
        </w:rPr>
        <w:t>In August 2023, the Company entered into an Underwriting Agreement with Cowen and Company, LLC, Leerink Partners LLC and Evercore Group L.L.C. as representatives of several underwriters to issue and sell 7,777,778</w:t>
      </w:r>
      <w:r>
        <w:rPr>
          <w:rFonts w:ascii="Times New Roman" w:hAnsi="Times New Roman"/>
          <w:color w:val="000000"/>
          <w:sz w:val="20"/>
        </w:rPr>
        <w:t xml:space="preserve"> </w:t>
      </w:r>
      <w:r>
        <w:rPr>
          <w:rFonts w:ascii="Arial" w:hAnsi="Arial"/>
          <w:color w:val="000000"/>
          <w:sz w:val="20"/>
        </w:rPr>
        <w:t>shares of common stock at an offering price of $9.00</w:t>
      </w:r>
      <w:r>
        <w:rPr>
          <w:rFonts w:ascii="Times New Roman" w:hAnsi="Times New Roman"/>
          <w:color w:val="000000"/>
          <w:sz w:val="20"/>
        </w:rPr>
        <w:t xml:space="preserve"> </w:t>
      </w:r>
      <w:r>
        <w:rPr>
          <w:rFonts w:ascii="Arial" w:hAnsi="Arial"/>
          <w:color w:val="000000"/>
          <w:sz w:val="20"/>
        </w:rPr>
        <w:t>per share through the Underwritten Offering, resulting in net proceeds of $65.5</w:t>
      </w:r>
      <w:r>
        <w:rPr>
          <w:rFonts w:ascii="Times New Roman" w:hAnsi="Times New Roman"/>
          <w:color w:val="000000"/>
          <w:sz w:val="20"/>
        </w:rPr>
        <w:t xml:space="preserve"> </w:t>
      </w:r>
      <w:r>
        <w:rPr>
          <w:rFonts w:ascii="Arial" w:hAnsi="Arial"/>
          <w:color w:val="000000"/>
          <w:sz w:val="20"/>
        </w:rPr>
        <w:t>million, after deducting commissions and other offering costs.</w:t>
      </w:r>
    </w:p>
    <w:p>
      <w:pPr>
        <w:pStyle w:val="TextBody"/>
        <w:bidi w:val="0"/>
        <w:spacing w:before="0" w:after="240"/>
        <w:jc w:val="left"/>
        <w:rPr>
          <w:rFonts w:ascii="Arial" w:hAnsi="Arial"/>
          <w:color w:val="000000"/>
          <w:sz w:val="20"/>
        </w:rPr>
      </w:pPr>
      <w:r>
        <w:rPr>
          <w:rFonts w:ascii="Arial" w:hAnsi="Arial"/>
          <w:color w:val="000000"/>
          <w:sz w:val="20"/>
        </w:rPr>
        <w:t>Shares of common stock reserved for future issuance, on an as-if-converted basis, as of December 31, 2025 and 2024, consists of the following:</w:t>
      </w:r>
    </w:p>
    <w:tbl>
      <w:tblPr>
        <w:tblW w:w="7312" w:type="dxa"/>
        <w:jc w:val="left"/>
        <w:tblInd w:w="0" w:type="dxa"/>
        <w:tblLayout w:type="fixed"/>
        <w:tblCellMar>
          <w:top w:w="28" w:type="dxa"/>
          <w:left w:w="28" w:type="dxa"/>
          <w:bottom w:w="28" w:type="dxa"/>
          <w:right w:w="28" w:type="dxa"/>
        </w:tblCellMar>
      </w:tblPr>
      <w:tblGrid>
        <w:gridCol w:w="4021"/>
        <w:gridCol w:w="146"/>
        <w:gridCol w:w="146"/>
        <w:gridCol w:w="1066"/>
        <w:gridCol w:w="146"/>
        <w:gridCol w:w="146"/>
        <w:gridCol w:w="154"/>
        <w:gridCol w:w="1016"/>
        <w:gridCol w:w="47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5,466,222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4,890,843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516,511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ESPP, authorized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563,731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authorized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859,841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10,833,370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6,830,926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i/>
          <w:color w:val="000000"/>
          <w:sz w:val="20"/>
        </w:rPr>
      </w:pPr>
      <w:r>
        <w:rPr>
          <w:rFonts w:ascii="Arial" w:hAnsi="Arial"/>
          <w:b/>
          <w:i/>
          <w:color w:val="000000"/>
          <w:sz w:val="20"/>
        </w:rPr>
        <w:t>Preferred Stock</w:t>
      </w:r>
    </w:p>
    <w:p>
      <w:pPr>
        <w:pStyle w:val="TextBody"/>
        <w:bidi w:val="0"/>
        <w:spacing w:before="120" w:after="283"/>
        <w:jc w:val="left"/>
        <w:rPr>
          <w:rFonts w:ascii="Times New Roman" w:hAnsi="Times New Roman"/>
          <w:sz w:val="20"/>
        </w:rPr>
      </w:pPr>
      <w:r>
        <w:rPr>
          <w:rFonts w:ascii="Arial" w:hAnsi="Arial"/>
          <w:color w:val="000000"/>
          <w:sz w:val="20"/>
        </w:rPr>
        <w:t>The Company’s certificate of incorporation, as amended, authorizes the Company to issue up to 10,000,000</w:t>
      </w:r>
      <w:r>
        <w:rPr>
          <w:rFonts w:ascii="Times New Roman" w:hAnsi="Times New Roman"/>
          <w:color w:val="000000"/>
          <w:sz w:val="20"/>
        </w:rPr>
        <w:t xml:space="preserve"> </w:t>
      </w:r>
      <w:r>
        <w:rPr>
          <w:rFonts w:ascii="Arial" w:hAnsi="Arial"/>
          <w:color w:val="000000"/>
          <w:sz w:val="20"/>
        </w:rPr>
        <w:t>shares of $0.00001</w:t>
      </w:r>
      <w:r>
        <w:rPr>
          <w:rFonts w:ascii="Times New Roman" w:hAnsi="Times New Roman"/>
          <w:color w:val="000000"/>
          <w:sz w:val="20"/>
        </w:rPr>
        <w:t xml:space="preserve"> </w:t>
      </w:r>
      <w:r>
        <w:rPr>
          <w:rFonts w:ascii="Arial" w:hAnsi="Arial"/>
          <w:color w:val="000000"/>
          <w:sz w:val="20"/>
        </w:rPr>
        <w:t>par value preferred stock. The preferred stock is not convertible. No</w:t>
      </w:r>
      <w:r>
        <w:rPr>
          <w:rFonts w:ascii="Times New Roman" w:hAnsi="Times New Roman"/>
          <w:color w:val="000000"/>
          <w:sz w:val="20"/>
        </w:rPr>
        <w:t xml:space="preserve"> </w:t>
      </w:r>
      <w:r>
        <w:rPr>
          <w:rFonts w:ascii="Arial" w:hAnsi="Arial"/>
          <w:color w:val="000000"/>
          <w:sz w:val="20"/>
        </w:rPr>
        <w:t>shares of preferred stock were issued and outstanding at December 31, 2025 and 2024.</w:t>
      </w:r>
    </w:p>
    <w:p>
      <w:pPr>
        <w:pStyle w:val="TextBody"/>
        <w:bidi w:val="0"/>
        <w:spacing w:before="360" w:after="283"/>
        <w:jc w:val="left"/>
        <w:rPr>
          <w:rFonts w:ascii="Arial" w:hAnsi="Arial"/>
          <w:b/>
          <w:i/>
          <w:color w:val="000000"/>
          <w:sz w:val="20"/>
        </w:rPr>
      </w:pPr>
      <w:r>
        <w:rPr>
          <w:rFonts w:ascii="Arial" w:hAnsi="Arial"/>
          <w:b/>
          <w:i/>
          <w:color w:val="000000"/>
          <w:sz w:val="20"/>
        </w:rPr>
        <w:t>Shareholder Rights Plan</w:t>
      </w:r>
    </w:p>
    <w:p>
      <w:pPr>
        <w:pStyle w:val="TextBody"/>
        <w:bidi w:val="0"/>
        <w:spacing w:before="120" w:after="283"/>
        <w:jc w:val="left"/>
        <w:rPr>
          <w:rFonts w:ascii="Times New Roman" w:hAnsi="Times New Roman"/>
          <w:sz w:val="20"/>
        </w:rPr>
      </w:pPr>
      <w:r>
        <w:rPr>
          <w:rFonts w:ascii="Arial" w:hAnsi="Arial"/>
          <w:color w:val="000000"/>
          <w:sz w:val="20"/>
        </w:rPr>
        <w:t>In August 2024, the Company entered into a Rights Agreement between the Company and Equiniti Trust Company, LLC as Rights Agent (as amended from time to time, the “Rights Agreement"), which was previously approved by the Board. In connection with the Rights Agreement, a dividend was declared of one preferred stock purchase right (individually, a “Right” and collectively, the “Rights”) for each share of the common stock, par value $0.00001 per share, of the Company outstanding at the close of business on August 29, 2024 (the “Record Date”). Each Right entitles the registered holder thereof, after the Rights become exercisable and until August 15, 2025 (or the earlier redemption, exchange or termination of the Rights), to purchase from the Company one one-thousandth of a share of Series A Junior Participating Preferred Stock, par value $0.00001 per share (the “Series A Preferred”), of the Company at a price of $6.50 per one one-thousandth of a share of Series A Preferred, subject to adjustment.</w:t>
      </w:r>
      <w:r>
        <w:rPr>
          <w:rFonts w:ascii="Times New Roman" w:hAnsi="Times New Roman"/>
          <w:color w:val="000000"/>
          <w:sz w:val="20"/>
        </w:rPr>
        <w:t xml:space="preserve"> </w:t>
      </w:r>
      <w:r>
        <w:rPr>
          <w:rFonts w:ascii="Arial" w:hAnsi="Arial"/>
          <w:color w:val="000000"/>
          <w:sz w:val="20"/>
        </w:rPr>
        <w:t>The Rights are not exercisable until the Distribution Date (as defined in the Rights Agreement”) and the Rights expired on August 15, 2025, subject to the Company’s right to extend such date, unless earlier redeemed or exchanged by the Company or terminated. Additional information regarding the Rights Agreement is contained in a Current Report on Form 8-K filed with the SEC. The adoption of the Shareholder Rights Plan had no impact on the financial position of the Company. The Shareholder Rights Plan expired on August 15, 2025.</w:t>
      </w:r>
    </w:p>
    <w:p>
      <w:pPr>
        <w:pStyle w:val="TextBody"/>
        <w:bidi w:val="0"/>
        <w:spacing w:before="360" w:after="283"/>
        <w:jc w:val="left"/>
        <w:rPr>
          <w:rFonts w:ascii="Arial" w:hAnsi="Arial"/>
          <w:b/>
          <w:i/>
          <w:color w:val="000000"/>
          <w:sz w:val="20"/>
        </w:rPr>
      </w:pPr>
      <w:r>
        <w:rPr>
          <w:rFonts w:ascii="Arial" w:hAnsi="Arial"/>
          <w:b/>
          <w:i/>
          <w:color w:val="000000"/>
          <w:sz w:val="20"/>
        </w:rPr>
        <w:t>Issuance of Pre-Funded Warrants in Exchange for Common Stock</w:t>
      </w:r>
    </w:p>
    <w:p>
      <w:pPr>
        <w:pStyle w:val="TextBody"/>
        <w:bidi w:val="0"/>
        <w:spacing w:before="120" w:after="283"/>
        <w:jc w:val="left"/>
        <w:rPr>
          <w:rFonts w:ascii="Times New Roman" w:hAnsi="Times New Roman"/>
          <w:sz w:val="20"/>
        </w:rPr>
      </w:pPr>
      <w:r>
        <w:rPr>
          <w:rFonts w:ascii="Arial" w:hAnsi="Arial"/>
          <w:color w:val="000000"/>
          <w:sz w:val="20"/>
        </w:rPr>
        <w:t>In June 2025, the Company entered into exchange agreements with certain existing stockholders pursuant to which the stockholders exchanged an aggregate of 2,952,000</w:t>
      </w:r>
      <w:r>
        <w:rPr>
          <w:rFonts w:ascii="Times New Roman" w:hAnsi="Times New Roman"/>
          <w:color w:val="000000"/>
          <w:sz w:val="20"/>
        </w:rPr>
        <w:t xml:space="preserve"> </w:t>
      </w:r>
      <w:r>
        <w:rPr>
          <w:rFonts w:ascii="Arial" w:hAnsi="Arial"/>
          <w:color w:val="000000"/>
          <w:sz w:val="20"/>
        </w:rPr>
        <w:t>shares of the Company’s common stock for Warrants to purchase up to an equivalent number of shares of common stock.</w:t>
      </w:r>
    </w:p>
    <w:p>
      <w:pPr>
        <w:pStyle w:val="TextBody"/>
        <w:bidi w:val="0"/>
        <w:spacing w:before="240" w:after="283"/>
        <w:jc w:val="left"/>
        <w:rPr>
          <w:rFonts w:ascii="Times New Roman" w:hAnsi="Times New Roman"/>
          <w:sz w:val="20"/>
        </w:rPr>
      </w:pPr>
      <w:r>
        <w:rPr>
          <w:rFonts w:ascii="Arial" w:hAnsi="Arial"/>
          <w:color w:val="000000"/>
          <w:sz w:val="20"/>
        </w:rPr>
        <w:t>Each Warrant has an exercise price of $0.00001</w:t>
      </w:r>
      <w:r>
        <w:rPr>
          <w:rFonts w:ascii="Times New Roman" w:hAnsi="Times New Roman"/>
          <w:color w:val="000000"/>
          <w:sz w:val="20"/>
        </w:rPr>
        <w:t xml:space="preserve"> </w:t>
      </w:r>
      <w:r>
        <w:rPr>
          <w:rFonts w:ascii="Arial" w:hAnsi="Arial"/>
          <w:color w:val="000000"/>
          <w:sz w:val="20"/>
        </w:rPr>
        <w:t>per share and does not have an expiration date. The Warrants include a beneficial ownership limitation that restricts the holder from exercising any portion of the Warrant to the extent that, following such exercise, the holder would own more than 9.99% of the Company’s outstanding common stock. The ownership limitation may be increased by the holder to up to 19.99% upon 61 days’ prior written notice to the Company.</w:t>
      </w:r>
    </w:p>
    <w:p>
      <w:pPr>
        <w:pStyle w:val="TextBody"/>
        <w:bidi w:val="0"/>
        <w:spacing w:before="240" w:after="283"/>
        <w:jc w:val="left"/>
        <w:rPr>
          <w:rFonts w:ascii="Times New Roman" w:hAnsi="Times New Roman"/>
          <w:sz w:val="20"/>
        </w:rPr>
      </w:pPr>
      <w:r>
        <w:rPr>
          <w:rFonts w:ascii="Arial" w:hAnsi="Arial"/>
          <w:color w:val="000000"/>
          <w:sz w:val="20"/>
        </w:rPr>
        <w:t>The exchange transactions were completed pursuant to Section 3(a)(9) of the Securities Act of 1933, as amended, and no cash consideration was received by the Company. As there was no cash consideration and the exchange involved equity instruments, the transactions were accounted for as an equity-for-equity exchange with no gain or loss recognized.</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The Warrants meet the criteria for equity classification under ASC 815-40,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and (v) are indexed to the Company’s common stock. Accordingly, the transfer of common stock for warrants were recorded in additional paid-in capital within stockholders’ equity. The Company valued the Warrants at issuance, concluding that the closing stock price on the transaction close dates approximated their fair value.</w:t>
      </w:r>
    </w:p>
    <w:p>
      <w:pPr>
        <w:pStyle w:val="TextBody"/>
        <w:bidi w:val="0"/>
        <w:spacing w:before="240" w:after="283"/>
        <w:jc w:val="left"/>
        <w:rPr>
          <w:rFonts w:ascii="Times New Roman" w:hAnsi="Times New Roman"/>
          <w:sz w:val="20"/>
        </w:rPr>
      </w:pPr>
      <w:r>
        <w:rPr>
          <w:rFonts w:ascii="Arial" w:hAnsi="Arial"/>
          <w:color w:val="000000"/>
          <w:sz w:val="20"/>
        </w:rPr>
        <w:t>As of December 31, 2025, all 2,952,000</w:t>
      </w:r>
      <w:r>
        <w:rPr>
          <w:rFonts w:ascii="Times New Roman" w:hAnsi="Times New Roman"/>
          <w:color w:val="000000"/>
          <w:sz w:val="20"/>
        </w:rPr>
        <w:t xml:space="preserve"> </w:t>
      </w:r>
      <w:r>
        <w:rPr>
          <w:rFonts w:ascii="Arial" w:hAnsi="Arial"/>
          <w:color w:val="000000"/>
          <w:sz w:val="20"/>
        </w:rPr>
        <w:t>shares under Warrants remained outstanding for the purposes of computing earnings per share and the Warrants remain unexercised.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F-20</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color w:val="000000"/>
          <w:sz w:val="20"/>
        </w:rPr>
      </w:pPr>
      <w:r>
        <w:rPr>
          <w:rFonts w:ascii="Arial" w:hAnsi="Arial"/>
          <w:b/>
          <w:color w:val="000000"/>
          <w:sz w:val="20"/>
        </w:rPr>
        <w:t>Note 9. Equity Incentive Plan and Stock-Based Compensation</w:t>
      </w:r>
    </w:p>
    <w:p>
      <w:pPr>
        <w:pStyle w:val="TextBody"/>
        <w:bidi w:val="0"/>
        <w:spacing w:before="120" w:after="283"/>
        <w:jc w:val="left"/>
        <w:rPr>
          <w:rFonts w:ascii="Arial" w:hAnsi="Arial"/>
          <w:b/>
          <w:i/>
          <w:color w:val="000000"/>
          <w:sz w:val="20"/>
        </w:rPr>
      </w:pPr>
      <w:r>
        <w:rPr>
          <w:rFonts w:ascii="Arial" w:hAnsi="Arial"/>
          <w:b/>
          <w:i/>
          <w:color w:val="000000"/>
          <w:sz w:val="20"/>
        </w:rPr>
        <w:t>2022 Equity Incentive Plan</w:t>
      </w:r>
    </w:p>
    <w:p>
      <w:pPr>
        <w:pStyle w:val="TextBody"/>
        <w:bidi w:val="0"/>
        <w:spacing w:before="120" w:after="283"/>
        <w:jc w:val="left"/>
        <w:rPr>
          <w:rFonts w:ascii="Times New Roman" w:hAnsi="Times New Roman"/>
          <w:sz w:val="20"/>
        </w:rPr>
      </w:pPr>
      <w:r>
        <w:rPr>
          <w:rFonts w:ascii="Arial" w:hAnsi="Arial"/>
          <w:color w:val="000000"/>
          <w:sz w:val="20"/>
        </w:rPr>
        <w:t>The Company adopted the 2022 Equity Incentive Plan (the “2022 Plan”) effective upon the closing of the IPO, which provides for the granting of incentive stock options (“ISOs”) to the Company's employees, and for the grant of nonstatutory stock options (“NSOs”), stock appreciation rights, restricted stock awards, restricted stock unit awards, performance awards, and other forms of awards to employees, directors, and consultants. As of December 31, 2025, no</w:t>
      </w:r>
      <w:r>
        <w:rPr>
          <w:rFonts w:ascii="Times New Roman" w:hAnsi="Times New Roman"/>
          <w:color w:val="000000"/>
          <w:sz w:val="20"/>
        </w:rPr>
        <w:t xml:space="preserve"> </w:t>
      </w:r>
      <w:r>
        <w:rPr>
          <w:rFonts w:ascii="Arial" w:hAnsi="Arial"/>
          <w:color w:val="000000"/>
          <w:sz w:val="20"/>
        </w:rPr>
        <w:t>stock appreciation rights or performance awards were issued.</w:t>
      </w:r>
    </w:p>
    <w:p>
      <w:pPr>
        <w:pStyle w:val="TextBody"/>
        <w:bidi w:val="0"/>
        <w:spacing w:before="240" w:after="283"/>
        <w:jc w:val="left"/>
        <w:rPr>
          <w:rFonts w:ascii="Times New Roman" w:hAnsi="Times New Roman"/>
          <w:sz w:val="20"/>
        </w:rPr>
      </w:pPr>
      <w:r>
        <w:rPr>
          <w:rFonts w:ascii="Arial" w:hAnsi="Arial"/>
          <w:color w:val="000000"/>
          <w:sz w:val="20"/>
        </w:rPr>
        <w:t>The Company initially reserved for issuance 1,870,000</w:t>
      </w:r>
      <w:r>
        <w:rPr>
          <w:rFonts w:ascii="Times New Roman" w:hAnsi="Times New Roman"/>
          <w:color w:val="000000"/>
          <w:sz w:val="20"/>
        </w:rPr>
        <w:t xml:space="preserve"> </w:t>
      </w:r>
      <w:r>
        <w:rPr>
          <w:rFonts w:ascii="Arial" w:hAnsi="Arial"/>
          <w:color w:val="000000"/>
          <w:sz w:val="20"/>
        </w:rPr>
        <w:t>new shares of common stock pursuant to the 2022 Plan. The Company’s 2017 Equity Incentive Plan (the “2017 Plan”) was terminated in 2022; however, shares underlying outstanding stock awards granted under the 2017 Plan will continue to be governed by the 2017 Plan. Shares available under the 2017 Plan were added to the available shares in the 2022 Plan. Shares underlying outstanding stock awards granted under the 2017 Plan that expire or are repurchased by, forfeited to, cancelled or withheld by the Company will also be reserved for issuance under the 2022 Plan.</w:t>
      </w:r>
    </w:p>
    <w:p>
      <w:pPr>
        <w:pStyle w:val="TextBody"/>
        <w:bidi w:val="0"/>
        <w:spacing w:before="240" w:after="283"/>
        <w:jc w:val="left"/>
        <w:rPr>
          <w:rFonts w:ascii="Times New Roman" w:hAnsi="Times New Roman"/>
          <w:sz w:val="20"/>
        </w:rPr>
      </w:pPr>
      <w:r>
        <w:rPr>
          <w:rFonts w:ascii="Arial" w:hAnsi="Arial"/>
          <w:color w:val="000000"/>
          <w:sz w:val="20"/>
        </w:rPr>
        <w:t>The initial number of shares of the Company’s common stock that may be issued under the 2022 Plan will not exceed 4,423,920</w:t>
      </w:r>
      <w:r>
        <w:rPr>
          <w:rFonts w:ascii="Times New Roman" w:hAnsi="Times New Roman"/>
          <w:color w:val="000000"/>
          <w:sz w:val="20"/>
        </w:rPr>
        <w:t xml:space="preserve"> </w:t>
      </w:r>
      <w:r>
        <w:rPr>
          <w:rFonts w:ascii="Arial" w:hAnsi="Arial"/>
          <w:color w:val="000000"/>
          <w:sz w:val="20"/>
        </w:rPr>
        <w:t>shares of the Company's common stock, which is the sum of (i) 1,870,000</w:t>
      </w:r>
      <w:r>
        <w:rPr>
          <w:rFonts w:ascii="Times New Roman" w:hAnsi="Times New Roman"/>
          <w:color w:val="000000"/>
          <w:sz w:val="20"/>
        </w:rPr>
        <w:t xml:space="preserve"> </w:t>
      </w:r>
      <w:r>
        <w:rPr>
          <w:rFonts w:ascii="Arial" w:hAnsi="Arial"/>
          <w:color w:val="000000"/>
          <w:sz w:val="20"/>
        </w:rPr>
        <w:t>new shares, plus (ii) 2,553,920</w:t>
      </w:r>
      <w:r>
        <w:rPr>
          <w:rFonts w:ascii="Times New Roman" w:hAnsi="Times New Roman"/>
          <w:color w:val="000000"/>
          <w:sz w:val="20"/>
        </w:rPr>
        <w:t xml:space="preserve"> </w:t>
      </w:r>
      <w:r>
        <w:rPr>
          <w:rFonts w:ascii="Arial" w:hAnsi="Arial"/>
          <w:color w:val="000000"/>
          <w:sz w:val="20"/>
        </w:rPr>
        <w:t>shares related to the 2017 Plan. In addition, the number of shares of the Company’s common stock reserved for issuance under the 2022 Plan will automatically increase on January 1 of each year for a period of ten years, beginning on January 1, 2023 and continuing through January 1, 2032, in an amount equal to (1) 4% of the total number of shares of the Company’s common stock outstanding on December 31 of the immediately preceding year, or (2) a lesser number of shares determined by the Company's board of directors no later than December 31 of the immediately preceding year. Accordingly, effective January 1, 2025, the number of shares in the 2022 Plan increased by 1,196,785</w:t>
      </w:r>
      <w:r>
        <w:rPr>
          <w:rFonts w:ascii="Times New Roman" w:hAnsi="Times New Roman"/>
          <w:color w:val="000000"/>
          <w:sz w:val="20"/>
        </w:rPr>
        <w:t xml:space="preserve"> </w:t>
      </w:r>
      <w:r>
        <w:rPr>
          <w:rFonts w:ascii="Arial" w:hAnsi="Arial"/>
          <w:color w:val="000000"/>
          <w:sz w:val="20"/>
        </w:rPr>
        <w:t>shares, representing 4% of the prior yearend’s common stock outstanding</w:t>
      </w:r>
      <w:r>
        <w:rPr>
          <w:rFonts w:ascii="Times New Roman" w:hAnsi="Times New Roman"/>
          <w:color w:val="000000"/>
          <w:sz w:val="20"/>
        </w:rPr>
        <w:t xml:space="preserve">. </w:t>
      </w:r>
      <w:r>
        <w:rPr>
          <w:rFonts w:ascii="Arial" w:hAnsi="Arial"/>
          <w:color w:val="000000"/>
          <w:sz w:val="20"/>
        </w:rPr>
        <w:t>The maximum number of shares of the Company's common stock that may be issued on the exercise of stock options or vesting of RSUs and RSAs under the 2022 Plan is 13,271,760</w:t>
      </w:r>
      <w:r>
        <w:rPr>
          <w:rFonts w:ascii="Times New Roman" w:hAnsi="Times New Roman"/>
          <w:color w:val="000000"/>
          <w:sz w:val="20"/>
        </w:rPr>
        <w:t xml:space="preserve"> </w:t>
      </w:r>
      <w:r>
        <w:rPr>
          <w:rFonts w:ascii="Arial" w:hAnsi="Arial"/>
          <w:color w:val="000000"/>
          <w:sz w:val="20"/>
        </w:rPr>
        <w:t>shares.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Since the date of incorporation and through December 31, 2025, the Company issued stock options, RSUs and RSAs to its employees, directors and consultants. As of December 31, 2025, 783,106</w:t>
      </w:r>
      <w:r>
        <w:rPr>
          <w:rFonts w:ascii="Times New Roman" w:hAnsi="Times New Roman"/>
          <w:color w:val="000000"/>
          <w:sz w:val="20"/>
        </w:rPr>
        <w:t xml:space="preserve"> </w:t>
      </w:r>
      <w:r>
        <w:rPr>
          <w:rFonts w:ascii="Arial" w:hAnsi="Arial"/>
          <w:color w:val="000000"/>
          <w:sz w:val="20"/>
        </w:rPr>
        <w:t>shares of common stock remained available for future issuance under the 2022 Plan.</w:t>
      </w:r>
    </w:p>
    <w:p>
      <w:pPr>
        <w:pStyle w:val="TextBody"/>
        <w:bidi w:val="0"/>
        <w:spacing w:before="240" w:after="283"/>
        <w:jc w:val="left"/>
        <w:rPr>
          <w:rFonts w:ascii="Times New Roman" w:hAnsi="Times New Roman"/>
          <w:sz w:val="20"/>
        </w:rPr>
      </w:pPr>
      <w:r>
        <w:rPr>
          <w:rFonts w:ascii="Arial" w:hAnsi="Arial"/>
          <w:color w:val="000000"/>
          <w:sz w:val="20"/>
        </w:rPr>
        <w:t>ISOs granted to newly hired employees under the 2022 Plan generally vest 25% after the completion of 12 months of service, and the balance vests in equal monthly installments over the next 36</w:t>
      </w:r>
      <w:r>
        <w:rPr>
          <w:rFonts w:ascii="Times New Roman" w:hAnsi="Times New Roman"/>
          <w:color w:val="000000"/>
          <w:sz w:val="20"/>
        </w:rPr>
        <w:t xml:space="preserve"> </w:t>
      </w:r>
      <w:r>
        <w:rPr>
          <w:rFonts w:ascii="Arial" w:hAnsi="Arial"/>
          <w:color w:val="000000"/>
          <w:sz w:val="20"/>
        </w:rPr>
        <w:t>months of service and expire ten years</w:t>
      </w:r>
      <w:r>
        <w:rPr>
          <w:rFonts w:ascii="Times New Roman" w:hAnsi="Times New Roman"/>
          <w:color w:val="000000"/>
          <w:sz w:val="20"/>
        </w:rPr>
        <w:t xml:space="preserve"> </w:t>
      </w:r>
      <w:r>
        <w:rPr>
          <w:rFonts w:ascii="Arial" w:hAnsi="Arial"/>
          <w:color w:val="000000"/>
          <w:sz w:val="20"/>
        </w:rPr>
        <w:t>from the grant date, unless subject to provisions regarding 10% stockholders. ISOs granted to existing employees generally vest ratably over a 48-month period of service and expire ten years</w:t>
      </w:r>
      <w:r>
        <w:rPr>
          <w:rFonts w:ascii="Times New Roman" w:hAnsi="Times New Roman"/>
          <w:color w:val="000000"/>
          <w:sz w:val="20"/>
        </w:rPr>
        <w:t xml:space="preserve"> </w:t>
      </w:r>
      <w:r>
        <w:rPr>
          <w:rFonts w:ascii="Arial" w:hAnsi="Arial"/>
          <w:color w:val="000000"/>
          <w:sz w:val="20"/>
        </w:rPr>
        <w:t>from the grant date. NSOs vest in accordance with the terms of the specific agreement under which the options were provided and expire ten years</w:t>
      </w:r>
      <w:r>
        <w:rPr>
          <w:rFonts w:ascii="Times New Roman" w:hAnsi="Times New Roman"/>
          <w:color w:val="000000"/>
          <w:sz w:val="20"/>
        </w:rPr>
        <w:t xml:space="preserve"> </w:t>
      </w:r>
      <w:r>
        <w:rPr>
          <w:rFonts w:ascii="Arial" w:hAnsi="Arial"/>
          <w:color w:val="000000"/>
          <w:sz w:val="20"/>
        </w:rPr>
        <w:t>from the date of grant. RSUs granted to employees generally vest annually over a two</w:t>
      </w:r>
      <w:r>
        <w:rPr>
          <w:rFonts w:ascii="Times New Roman" w:hAnsi="Times New Roman"/>
          <w:color w:val="000000"/>
          <w:sz w:val="20"/>
        </w:rPr>
        <w:t xml:space="preserve"> </w:t>
      </w:r>
      <w:r>
        <w:rPr>
          <w:rFonts w:ascii="Arial" w:hAnsi="Arial"/>
          <w:color w:val="000000"/>
          <w:sz w:val="20"/>
        </w:rPr>
        <w:t>to four year</w:t>
      </w:r>
      <w:r>
        <w:rPr>
          <w:rFonts w:ascii="Times New Roman" w:hAnsi="Times New Roman"/>
          <w:color w:val="000000"/>
          <w:sz w:val="20"/>
        </w:rPr>
        <w:t xml:space="preserve"> </w:t>
      </w:r>
      <w:r>
        <w:rPr>
          <w:rFonts w:ascii="Arial" w:hAnsi="Arial"/>
          <w:color w:val="000000"/>
          <w:sz w:val="20"/>
        </w:rPr>
        <w:t>period of service and expire ten years</w:t>
      </w:r>
      <w:r>
        <w:rPr>
          <w:rFonts w:ascii="Times New Roman" w:hAnsi="Times New Roman"/>
          <w:color w:val="000000"/>
          <w:sz w:val="20"/>
        </w:rPr>
        <w:t xml:space="preserve"> </w:t>
      </w:r>
      <w:r>
        <w:rPr>
          <w:rFonts w:ascii="Arial" w:hAnsi="Arial"/>
          <w:color w:val="000000"/>
          <w:sz w:val="20"/>
        </w:rPr>
        <w:t>from the grant date. RSAs granted to non-employees generally vest at the time of grant and expire ten years</w:t>
      </w:r>
      <w:r>
        <w:rPr>
          <w:rFonts w:ascii="Times New Roman" w:hAnsi="Times New Roman"/>
          <w:color w:val="000000"/>
          <w:sz w:val="20"/>
        </w:rPr>
        <w:t xml:space="preserve"> </w:t>
      </w:r>
      <w:r>
        <w:rPr>
          <w:rFonts w:ascii="Arial" w:hAnsi="Arial"/>
          <w:color w:val="000000"/>
          <w:sz w:val="20"/>
        </w:rPr>
        <w:t>from the grant date.</w:t>
      </w:r>
    </w:p>
    <w:p>
      <w:pPr>
        <w:pStyle w:val="TextBody"/>
        <w:bidi w:val="0"/>
        <w:spacing w:before="360" w:after="283"/>
        <w:jc w:val="left"/>
        <w:rPr>
          <w:rFonts w:ascii="Arial" w:hAnsi="Arial"/>
          <w:b/>
          <w:i/>
          <w:color w:val="000000"/>
          <w:sz w:val="20"/>
        </w:rPr>
      </w:pPr>
      <w:r>
        <w:rPr>
          <w:rFonts w:ascii="Arial" w:hAnsi="Arial"/>
          <w:b/>
          <w:i/>
          <w:color w:val="000000"/>
          <w:sz w:val="20"/>
        </w:rPr>
        <w:t>Stock-Based Compensation Expense</w:t>
      </w:r>
    </w:p>
    <w:p>
      <w:pPr>
        <w:pStyle w:val="TextBody"/>
        <w:bidi w:val="0"/>
        <w:spacing w:before="120" w:after="240"/>
        <w:jc w:val="left"/>
        <w:rPr>
          <w:rFonts w:ascii="Arial" w:hAnsi="Arial"/>
          <w:color w:val="000000"/>
          <w:sz w:val="20"/>
        </w:rPr>
      </w:pPr>
      <w:r>
        <w:rPr>
          <w:rFonts w:ascii="Arial" w:hAnsi="Arial"/>
          <w:color w:val="000000"/>
          <w:sz w:val="20"/>
        </w:rPr>
        <w:t>The following table summarizes the components of stock-based compensation expense recognized in the Company’s statements of operations and comprehensive loss during the years ended December 31, 2025 and 2024 (in thousands):</w:t>
      </w:r>
    </w:p>
    <w:tbl>
      <w:tblPr>
        <w:tblW w:w="5840" w:type="dxa"/>
        <w:jc w:val="left"/>
        <w:tblInd w:w="0" w:type="dxa"/>
        <w:tblLayout w:type="fixed"/>
        <w:tblCellMar>
          <w:top w:w="28" w:type="dxa"/>
          <w:left w:w="28" w:type="dxa"/>
          <w:bottom w:w="28" w:type="dxa"/>
          <w:right w:w="28" w:type="dxa"/>
        </w:tblCellMar>
      </w:tblPr>
      <w:tblGrid>
        <w:gridCol w:w="3391"/>
        <w:gridCol w:w="146"/>
        <w:gridCol w:w="236"/>
        <w:gridCol w:w="657"/>
        <w:gridCol w:w="163"/>
        <w:gridCol w:w="163"/>
        <w:gridCol w:w="236"/>
        <w:gridCol w:w="657"/>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3,824</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6,246</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i/>
          <w:color w:val="000000"/>
          <w:sz w:val="20"/>
        </w:rPr>
      </w:pPr>
      <w:r>
        <w:rPr>
          <w:rFonts w:ascii="Arial" w:hAnsi="Arial"/>
          <w:b/>
          <w:i/>
          <w:color w:val="000000"/>
          <w:sz w:val="20"/>
        </w:rPr>
        <w:t>Valuation of Stock Options</w:t>
      </w:r>
    </w:p>
    <w:p>
      <w:pPr>
        <w:pStyle w:val="TextBody"/>
        <w:bidi w:val="0"/>
        <w:spacing w:before="120" w:after="283"/>
        <w:jc w:val="left"/>
        <w:rPr>
          <w:rFonts w:ascii="Arial" w:hAnsi="Arial"/>
          <w:color w:val="000000"/>
          <w:sz w:val="20"/>
        </w:rPr>
      </w:pPr>
      <w:r>
        <w:rPr>
          <w:rFonts w:ascii="Arial" w:hAnsi="Arial"/>
          <w:color w:val="000000"/>
          <w:sz w:val="20"/>
        </w:rPr>
        <w:t>The Company estimated the fair value of stock options using the Black-Scholes option pricing model. The fair value of employee and non-employee stock options is being amortized on the straight-line basis over the requisite service period of the awards.</w:t>
      </w:r>
    </w:p>
    <w:p>
      <w:pPr>
        <w:pStyle w:val="TextBody"/>
        <w:bidi w:val="0"/>
        <w:spacing w:before="240" w:after="283"/>
        <w:jc w:val="left"/>
        <w:rPr>
          <w:rFonts w:ascii="Arial" w:hAnsi="Arial"/>
          <w:color w:val="000000"/>
          <w:sz w:val="20"/>
        </w:rPr>
      </w:pPr>
      <w:r>
        <w:rPr>
          <w:rFonts w:ascii="Arial" w:hAnsi="Arial"/>
          <w:color w:val="000000"/>
          <w:sz w:val="20"/>
        </w:rPr>
        <w:t>The Black-Scholes option pricing model requires the use of highly subjective assumptions which determine the fair value of stock-based awards. These assumptions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Expected Term—The expected term represents the period that stock-based awards are expected to be outstanding. The expected term for option grants is determined using the simplified method. The simplified method deems the term to be the average of the time-to-vesting and the contractual term of the stock-based awards.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Expected Volatility—Through November 2025, the Company used an average historical stock price volatility of a peer group of comparable publicly traded companies in biotechnology and pharmaceutical-related industries to be representative of its expected future stock price volatility, as the Company had limited trading history for its common stock. Beginning in December 2025, after sufficient historical trading data of the Company’s own common stock on the Nasdaq Global Market became available, the Company adopted a blended volatility methodology that combines its historical volatility with that of a peer group, weighing the volatility of its peer group for the amount of time prior to the March 2022 IPO so that the blended volatility term equals the expected term of the related stock-based award. The comparable companies were chosen based on their similar size, stage in the life cycle and area of specialty. For each grant, historical volatility is measured over a period equivalent to the expected term.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Risk-Free Interest Rate—The risk-free interest rate is based on the U.S. Treasury zero-coupon issues in effect at the time of grant for periods corresponding with the expected term of option.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Expected Dividend Rate—The Company has never paid dividends on its common stock and has no plans to pay dividends on its common stock. Therefore, the Company used an expected dividend yield of zero.</w:t>
      </w:r>
    </w:p>
    <w:p>
      <w:pPr>
        <w:pStyle w:val="TextBody"/>
        <w:bidi w:val="0"/>
        <w:spacing w:before="240" w:after="240"/>
        <w:jc w:val="left"/>
        <w:rPr>
          <w:rFonts w:ascii="Arial" w:hAnsi="Arial"/>
          <w:color w:val="000000"/>
          <w:sz w:val="20"/>
        </w:rPr>
      </w:pPr>
      <w:r>
        <w:rPr>
          <w:rFonts w:ascii="Arial" w:hAnsi="Arial"/>
          <w:color w:val="000000"/>
          <w:sz w:val="20"/>
        </w:rPr>
        <w:t>The following weighted average assumptions were used to value options granted during the periods indicated:</w:t>
      </w:r>
    </w:p>
    <w:tbl>
      <w:tblPr>
        <w:tblW w:w="7994" w:type="dxa"/>
        <w:jc w:val="left"/>
        <w:tblInd w:w="0" w:type="dxa"/>
        <w:tblLayout w:type="fixed"/>
        <w:tblCellMar>
          <w:top w:w="28" w:type="dxa"/>
          <w:left w:w="28" w:type="dxa"/>
          <w:bottom w:w="28" w:type="dxa"/>
          <w:right w:w="28" w:type="dxa"/>
        </w:tblCellMar>
      </w:tblPr>
      <w:tblGrid>
        <w:gridCol w:w="2191"/>
        <w:gridCol w:w="500"/>
        <w:gridCol w:w="2020"/>
        <w:gridCol w:w="286"/>
        <w:gridCol w:w="146"/>
        <w:gridCol w:w="500"/>
        <w:gridCol w:w="2020"/>
        <w:gridCol w:w="331"/>
      </w:tblGrid>
      <w:tr>
        <w:trPr/>
        <w:tc>
          <w:tcPr>
            <w:tcW w:w="219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w:t>
            </w:r>
          </w:p>
        </w:tc>
        <w:tc>
          <w:tcPr>
            <w:tcW w:w="25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6.20</w:t>
            </w:r>
            <w:r>
              <w:rPr>
                <w:rFonts w:ascii="Times New Roman" w:hAnsi="Times New Roman"/>
                <w:color w:val="000000"/>
                <w:sz w:val="20"/>
              </w:rPr>
              <w:t> </w:t>
            </w:r>
            <w:r>
              <w:rPr>
                <w:rFonts w:ascii="Arial" w:hAnsi="Arial"/>
                <w:color w:val="000000"/>
                <w:sz w:val="20"/>
              </w:rPr>
              <w:t>years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 years</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Arial" w:hAnsi="Arial"/>
          <w:b/>
          <w:i/>
          <w:color w:val="000000"/>
          <w:sz w:val="20"/>
        </w:rPr>
        <w:t>Stock Option Activity</w:t>
      </w:r>
      <w:r>
        <w:rPr>
          <w:rFonts w:ascii="Times New Roman" w:hAnsi="Times New Roman"/>
          <w:color w:val="000000"/>
          <w:sz w:val="20"/>
        </w:rPr>
        <w:t xml:space="preserve"> </w:t>
      </w:r>
    </w:p>
    <w:p>
      <w:pPr>
        <w:pStyle w:val="TextBody"/>
        <w:bidi w:val="0"/>
        <w:spacing w:before="120" w:after="240"/>
        <w:jc w:val="left"/>
        <w:rPr>
          <w:rFonts w:ascii="Arial" w:hAnsi="Arial"/>
          <w:color w:val="000000"/>
          <w:sz w:val="20"/>
        </w:rPr>
      </w:pPr>
      <w:r>
        <w:rPr>
          <w:rFonts w:ascii="Arial" w:hAnsi="Arial"/>
          <w:color w:val="000000"/>
          <w:sz w:val="20"/>
        </w:rPr>
        <w:t>A summary of the stock plan activity is as follows:</w:t>
      </w:r>
    </w:p>
    <w:tbl>
      <w:tblPr>
        <w:tblW w:w="10205" w:type="dxa"/>
        <w:jc w:val="left"/>
        <w:tblInd w:w="0" w:type="dxa"/>
        <w:tblLayout w:type="fixed"/>
        <w:tblCellMar>
          <w:top w:w="28" w:type="dxa"/>
          <w:left w:w="28" w:type="dxa"/>
          <w:bottom w:w="28" w:type="dxa"/>
          <w:right w:w="28" w:type="dxa"/>
        </w:tblCellMar>
      </w:tblPr>
      <w:tblGrid>
        <w:gridCol w:w="2213"/>
        <w:gridCol w:w="146"/>
        <w:gridCol w:w="188"/>
        <w:gridCol w:w="1244"/>
        <w:gridCol w:w="166"/>
        <w:gridCol w:w="146"/>
        <w:gridCol w:w="475"/>
        <w:gridCol w:w="1086"/>
        <w:gridCol w:w="146"/>
        <w:gridCol w:w="146"/>
        <w:gridCol w:w="511"/>
        <w:gridCol w:w="1689"/>
        <w:gridCol w:w="146"/>
        <w:gridCol w:w="146"/>
        <w:gridCol w:w="427"/>
        <w:gridCol w:w="855"/>
        <w:gridCol w:w="475"/>
      </w:tblGrid>
      <w:tr>
        <w:trPr/>
        <w:tc>
          <w:tcPr>
            <w:tcW w:w="2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Weighted-Average Remaining Contractual Life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Intrinsic Value</w:t>
              <w:br/>
              <w:t>(in thousands)</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4,890,843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2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expected to vest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5,466,222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3,753,523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240" w:after="283"/>
        <w:jc w:val="left"/>
        <w:rPr>
          <w:rFonts w:ascii="Times New Roman" w:hAnsi="Times New Roman"/>
          <w:sz w:val="20"/>
        </w:rPr>
      </w:pPr>
      <w:r>
        <w:rPr>
          <w:rFonts w:ascii="Arial" w:hAnsi="Arial"/>
          <w:color w:val="000000"/>
          <w:sz w:val="20"/>
        </w:rPr>
        <w:t>As of December 31, 2025, there was unrecognized stock-based compensation expense of $4.0</w:t>
      </w:r>
      <w:r>
        <w:rPr>
          <w:rFonts w:ascii="Times New Roman" w:hAnsi="Times New Roman"/>
          <w:color w:val="000000"/>
          <w:sz w:val="20"/>
        </w:rPr>
        <w:t xml:space="preserve"> </w:t>
      </w:r>
      <w:r>
        <w:rPr>
          <w:rFonts w:ascii="Arial" w:hAnsi="Arial"/>
          <w:color w:val="000000"/>
          <w:sz w:val="20"/>
        </w:rPr>
        <w:t>million related to unvested stock options which the Company expects to recognize over a weighted-average period of 1.8</w:t>
      </w:r>
      <w:r>
        <w:rPr>
          <w:rFonts w:ascii="Times New Roman" w:hAnsi="Times New Roman"/>
          <w:color w:val="000000"/>
          <w:sz w:val="20"/>
        </w:rPr>
        <w:t xml:space="preserve"> </w:t>
      </w:r>
      <w:r>
        <w:rPr>
          <w:rFonts w:ascii="Arial" w:hAnsi="Arial"/>
          <w:color w:val="000000"/>
          <w:sz w:val="20"/>
        </w:rPr>
        <w:t>years. Forfeited/expired options includes 77,379</w:t>
      </w:r>
      <w:r>
        <w:rPr>
          <w:rFonts w:ascii="Times New Roman" w:hAnsi="Times New Roman"/>
          <w:color w:val="000000"/>
          <w:sz w:val="20"/>
        </w:rPr>
        <w:t xml:space="preserve"> </w:t>
      </w:r>
      <w:r>
        <w:rPr>
          <w:rFonts w:ascii="Arial" w:hAnsi="Arial"/>
          <w:color w:val="000000"/>
          <w:sz w:val="20"/>
        </w:rPr>
        <w:t>prior forfeitures now expected to vest due to modifications related to the 2024 workforce reduction.</w:t>
      </w:r>
    </w:p>
    <w:p>
      <w:pPr>
        <w:pStyle w:val="TextBody"/>
        <w:bidi w:val="0"/>
        <w:spacing w:before="240" w:after="283"/>
        <w:jc w:val="left"/>
        <w:rPr>
          <w:rFonts w:ascii="Times New Roman" w:hAnsi="Times New Roman"/>
          <w:sz w:val="20"/>
        </w:rPr>
      </w:pPr>
      <w:r>
        <w:rPr>
          <w:rFonts w:ascii="Arial" w:hAnsi="Arial"/>
          <w:color w:val="000000"/>
          <w:sz w:val="20"/>
        </w:rPr>
        <w:t>Weighted-average grant-date fair value of the options granted during the year ended December 31, 2025</w:t>
      </w:r>
      <w:r>
        <w:rPr>
          <w:rFonts w:ascii="Times New Roman" w:hAnsi="Times New Roman"/>
          <w:color w:val="000000"/>
          <w:sz w:val="20"/>
        </w:rPr>
        <w:t xml:space="preserve"> </w:t>
      </w:r>
      <w:r>
        <w:rPr>
          <w:rFonts w:ascii="Arial" w:hAnsi="Arial"/>
          <w:color w:val="000000"/>
          <w:sz w:val="20"/>
        </w:rPr>
        <w:t>was $0.97</w:t>
      </w:r>
      <w:r>
        <w:rPr>
          <w:rFonts w:ascii="Times New Roman" w:hAnsi="Times New Roman"/>
          <w:color w:val="000000"/>
          <w:sz w:val="20"/>
        </w:rPr>
        <w:t xml:space="preserve"> </w:t>
      </w:r>
      <w:r>
        <w:rPr>
          <w:rFonts w:ascii="Arial" w:hAnsi="Arial"/>
          <w:color w:val="000000"/>
          <w:sz w:val="20"/>
        </w:rPr>
        <w:t>per share.</w:t>
      </w:r>
    </w:p>
    <w:p>
      <w:pPr>
        <w:pStyle w:val="TextBody"/>
        <w:bidi w:val="0"/>
        <w:spacing w:before="360" w:after="283"/>
        <w:jc w:val="left"/>
        <w:rPr>
          <w:rFonts w:ascii="Arial" w:hAnsi="Arial"/>
          <w:b/>
          <w:i/>
          <w:color w:val="000000"/>
          <w:sz w:val="20"/>
        </w:rPr>
      </w:pPr>
      <w:r>
        <w:rPr>
          <w:rFonts w:ascii="Arial" w:hAnsi="Arial"/>
          <w:b/>
          <w:i/>
          <w:color w:val="000000"/>
          <w:sz w:val="20"/>
        </w:rPr>
        <w:t>RSU Activity</w:t>
      </w:r>
    </w:p>
    <w:p>
      <w:pPr>
        <w:pStyle w:val="TextBody"/>
        <w:bidi w:val="0"/>
        <w:spacing w:before="120" w:after="283"/>
        <w:jc w:val="left"/>
        <w:rPr>
          <w:rFonts w:ascii="Arial" w:hAnsi="Arial"/>
          <w:color w:val="000000"/>
          <w:sz w:val="20"/>
        </w:rPr>
      </w:pPr>
      <w:r>
        <w:rPr>
          <w:rFonts w:ascii="Arial" w:hAnsi="Arial"/>
          <w:color w:val="000000"/>
          <w:sz w:val="20"/>
        </w:rPr>
        <w:t>RSUs entitle the holder to receive shares of the Company’s common stock upon vesting. The fair value of RSUs is based upon the closing sales price of the Company’s common stock on the grant date.</w:t>
      </w:r>
    </w:p>
    <w:p>
      <w:pPr>
        <w:pStyle w:val="TextBody"/>
        <w:bidi w:val="0"/>
        <w:spacing w:before="240" w:after="240"/>
        <w:jc w:val="left"/>
        <w:rPr>
          <w:rFonts w:ascii="Times New Roman" w:hAnsi="Times New Roman"/>
          <w:sz w:val="20"/>
        </w:rPr>
      </w:pPr>
      <w:r>
        <w:rPr>
          <w:rFonts w:ascii="Arial" w:hAnsi="Arial"/>
          <w:color w:val="000000"/>
          <w:sz w:val="20"/>
        </w:rPr>
        <w:t>A summary of the RSU activity is as follows:</w:t>
      </w:r>
      <w:r>
        <w:rPr>
          <w:rFonts w:ascii="Times New Roman" w:hAnsi="Times New Roman"/>
          <w:color w:val="000000"/>
          <w:sz w:val="20"/>
        </w:rPr>
        <w:t xml:space="preserve"> </w:t>
      </w:r>
    </w:p>
    <w:tbl>
      <w:tblPr>
        <w:tblW w:w="7050" w:type="dxa"/>
        <w:jc w:val="left"/>
        <w:tblInd w:w="0" w:type="dxa"/>
        <w:tblLayout w:type="fixed"/>
        <w:tblCellMar>
          <w:top w:w="28" w:type="dxa"/>
          <w:left w:w="28" w:type="dxa"/>
          <w:bottom w:w="28" w:type="dxa"/>
          <w:right w:w="28" w:type="dxa"/>
        </w:tblCellMar>
      </w:tblPr>
      <w:tblGrid>
        <w:gridCol w:w="2926"/>
        <w:gridCol w:w="146"/>
        <w:gridCol w:w="205"/>
        <w:gridCol w:w="1205"/>
        <w:gridCol w:w="166"/>
        <w:gridCol w:w="146"/>
        <w:gridCol w:w="543"/>
        <w:gridCol w:w="1242"/>
        <w:gridCol w:w="47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Grant Date 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Vested and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As of December 31, 2025, there was unrecognized stock-based compensation expense of $0.9</w:t>
      </w:r>
      <w:r>
        <w:rPr>
          <w:rFonts w:ascii="Times New Roman" w:hAnsi="Times New Roman"/>
          <w:color w:val="000000"/>
          <w:sz w:val="20"/>
        </w:rPr>
        <w:t xml:space="preserve"> </w:t>
      </w:r>
      <w:r>
        <w:rPr>
          <w:rFonts w:ascii="Arial" w:hAnsi="Arial"/>
          <w:color w:val="000000"/>
          <w:sz w:val="20"/>
        </w:rPr>
        <w:t>million related to unvested restricted stock units which the Company expects to recognize over a weighted-average period of 2.3</w:t>
      </w:r>
      <w:r>
        <w:rPr>
          <w:rFonts w:ascii="Times New Roman" w:hAnsi="Times New Roman"/>
          <w:color w:val="000000"/>
          <w:sz w:val="20"/>
        </w:rPr>
        <w:t xml:space="preserve"> </w:t>
      </w:r>
      <w:r>
        <w:rPr>
          <w:rFonts w:ascii="Arial" w:hAnsi="Arial"/>
          <w:color w:val="000000"/>
          <w:sz w:val="20"/>
        </w:rPr>
        <w:t>years. Forfeited RSUs includes 51,840</w:t>
      </w:r>
      <w:r>
        <w:rPr>
          <w:rFonts w:ascii="Times New Roman" w:hAnsi="Times New Roman"/>
          <w:color w:val="000000"/>
          <w:sz w:val="20"/>
        </w:rPr>
        <w:t xml:space="preserve"> </w:t>
      </w:r>
      <w:r>
        <w:rPr>
          <w:rFonts w:ascii="Arial" w:hAnsi="Arial"/>
          <w:color w:val="000000"/>
          <w:sz w:val="20"/>
        </w:rPr>
        <w:t>prior forfeitures now expected to vest due to modifications related to the 2024 workforce reduction.</w:t>
      </w:r>
    </w:p>
    <w:p>
      <w:pPr>
        <w:pStyle w:val="TextBody"/>
        <w:bidi w:val="0"/>
        <w:spacing w:before="360" w:after="283"/>
        <w:jc w:val="left"/>
        <w:rPr>
          <w:rFonts w:ascii="Arial" w:hAnsi="Arial"/>
          <w:b/>
          <w:i/>
          <w:color w:val="000000"/>
          <w:sz w:val="20"/>
        </w:rPr>
      </w:pPr>
      <w:r>
        <w:rPr>
          <w:rFonts w:ascii="Arial" w:hAnsi="Arial"/>
          <w:b/>
          <w:i/>
          <w:color w:val="000000"/>
          <w:sz w:val="20"/>
        </w:rPr>
        <w:t>2022 Employee Stock Purchase Plan</w:t>
      </w:r>
    </w:p>
    <w:p>
      <w:pPr>
        <w:pStyle w:val="TextBody"/>
        <w:bidi w:val="0"/>
        <w:spacing w:before="120" w:after="283"/>
        <w:jc w:val="left"/>
        <w:rPr>
          <w:rFonts w:ascii="Arial" w:hAnsi="Arial"/>
          <w:color w:val="000000"/>
          <w:sz w:val="20"/>
        </w:rPr>
      </w:pPr>
      <w:r>
        <w:rPr>
          <w:rFonts w:ascii="Arial" w:hAnsi="Arial"/>
          <w:color w:val="000000"/>
          <w:sz w:val="20"/>
        </w:rPr>
        <w:t>The Company’s 2022 Employee Stock Purchase Plan (“ESPP”) has two components: a component that is intended to qualify as an “employee stock purchase plan” under Section 423 of the Code (the “423 Component”) and a component that is not intended to qualify (the “Non-423 Component”). The ESPP allows eligible employees to purchase shares of the Company’s common stock at a discount through payroll deductions of up to 15% of their eligible compensation. At the end of each offering period, employees are able to purchase shares at 85% of the lower of the fair market value of the Company’s common stock at the beginning of the offering period or at the end of each applicable purchase period.</w:t>
      </w:r>
    </w:p>
    <w:p>
      <w:pPr>
        <w:pStyle w:val="TextBody"/>
        <w:bidi w:val="0"/>
        <w:spacing w:before="240" w:after="283"/>
        <w:jc w:val="left"/>
        <w:rPr>
          <w:rFonts w:ascii="Times New Roman" w:hAnsi="Times New Roman"/>
          <w:sz w:val="20"/>
        </w:rPr>
      </w:pPr>
      <w:r>
        <w:rPr>
          <w:rFonts w:ascii="Arial" w:hAnsi="Arial"/>
          <w:color w:val="000000"/>
          <w:sz w:val="20"/>
        </w:rPr>
        <w:t>Subject to adjustment in the case of certain capitalization events, 187,000</w:t>
      </w:r>
      <w:r>
        <w:rPr>
          <w:rFonts w:ascii="Times New Roman" w:hAnsi="Times New Roman"/>
          <w:color w:val="000000"/>
          <w:sz w:val="20"/>
        </w:rPr>
        <w:t xml:space="preserve"> </w:t>
      </w:r>
      <w:r>
        <w:rPr>
          <w:rFonts w:ascii="Arial" w:hAnsi="Arial"/>
          <w:color w:val="000000"/>
          <w:sz w:val="20"/>
        </w:rPr>
        <w:t>shares of the Company’s common stock were available for purchase at the adoption of the ESPP. Pursuant to the ESPP, the annual share increase pursuant to the evergreen provision is determined based on the least of (i) 1% of the Company’s common stock outstanding as of December 31 of the immediately preceding year, (ii) 561,000</w:t>
      </w:r>
      <w:r>
        <w:rPr>
          <w:rFonts w:ascii="Times New Roman" w:hAnsi="Times New Roman"/>
          <w:color w:val="000000"/>
          <w:sz w:val="20"/>
        </w:rPr>
        <w:t xml:space="preserve"> </w:t>
      </w:r>
      <w:r>
        <w:rPr>
          <w:rFonts w:ascii="Arial" w:hAnsi="Arial"/>
          <w:color w:val="000000"/>
          <w:sz w:val="20"/>
        </w:rPr>
        <w:t>shares, or (iii) such number of shares as determined by the Board. Accordingly, effective January 1, 2025, the number of shares in the ESPP increased by 299,196</w:t>
      </w:r>
      <w:r>
        <w:rPr>
          <w:rFonts w:ascii="Times New Roman" w:hAnsi="Times New Roman"/>
          <w:color w:val="000000"/>
          <w:sz w:val="20"/>
        </w:rPr>
        <w:t xml:space="preserve"> </w:t>
      </w:r>
      <w:r>
        <w:rPr>
          <w:rFonts w:ascii="Arial" w:hAnsi="Arial"/>
          <w:color w:val="000000"/>
          <w:sz w:val="20"/>
        </w:rPr>
        <w:t>shares, representing 1% of the prior year-end’s common stock outstanding</w:t>
      </w:r>
      <w:r>
        <w:rPr>
          <w:rFonts w:ascii="Times New Roman" w:hAnsi="Times New Roman"/>
          <w:color w:val="000000"/>
          <w:sz w:val="20"/>
        </w:rPr>
        <w:t xml:space="preserve">. </w:t>
      </w:r>
      <w:r>
        <w:rPr>
          <w:rFonts w:ascii="Arial" w:hAnsi="Arial"/>
          <w:color w:val="000000"/>
          <w:sz w:val="20"/>
        </w:rPr>
        <w:t>As of December 31, 2025, 775,882</w:t>
      </w:r>
      <w:r>
        <w:rPr>
          <w:rFonts w:ascii="Times New Roman" w:hAnsi="Times New Roman"/>
          <w:color w:val="000000"/>
          <w:sz w:val="20"/>
        </w:rPr>
        <w:t xml:space="preserve"> </w:t>
      </w:r>
      <w:r>
        <w:rPr>
          <w:rFonts w:ascii="Arial" w:hAnsi="Arial"/>
          <w:color w:val="000000"/>
          <w:sz w:val="20"/>
        </w:rPr>
        <w:t>shares of common stock remained available for issuance under the ESPP.</w:t>
      </w:r>
    </w:p>
    <w:p>
      <w:pPr>
        <w:pStyle w:val="TextBody"/>
        <w:bidi w:val="0"/>
        <w:spacing w:before="240" w:after="240"/>
        <w:jc w:val="left"/>
        <w:rPr>
          <w:rFonts w:ascii="Times New Roman" w:hAnsi="Times New Roman"/>
          <w:sz w:val="20"/>
        </w:rPr>
      </w:pPr>
      <w:r>
        <w:rPr>
          <w:rFonts w:ascii="Arial" w:hAnsi="Arial"/>
          <w:color w:val="000000"/>
          <w:sz w:val="20"/>
        </w:rPr>
        <w:t>During the years ended December 31, 2025 and 2024, the Company recognized zero</w:t>
      </w:r>
      <w:r>
        <w:rPr>
          <w:rFonts w:ascii="Times New Roman" w:hAnsi="Times New Roman"/>
          <w:color w:val="000000"/>
          <w:sz w:val="20"/>
        </w:rPr>
        <w:t xml:space="preserve"> </w:t>
      </w:r>
      <w:r>
        <w:rPr>
          <w:rFonts w:ascii="Arial" w:hAnsi="Arial"/>
          <w:color w:val="000000"/>
          <w:sz w:val="20"/>
        </w:rPr>
        <w:t>and $0.1</w:t>
      </w:r>
      <w:r>
        <w:rPr>
          <w:rFonts w:ascii="Times New Roman" w:hAnsi="Times New Roman"/>
          <w:color w:val="000000"/>
          <w:sz w:val="20"/>
        </w:rPr>
        <w:t xml:space="preserve"> </w:t>
      </w:r>
      <w:r>
        <w:rPr>
          <w:rFonts w:ascii="Arial" w:hAnsi="Arial"/>
          <w:color w:val="000000"/>
          <w:sz w:val="20"/>
        </w:rPr>
        <w:t>million, respectively, in stock-based compensation expense related to the ESPP.</w:t>
      </w:r>
    </w:p>
    <w:p>
      <w:pPr>
        <w:pStyle w:val="TextBody"/>
        <w:bidi w:val="0"/>
        <w:spacing w:before="120" w:after="283"/>
        <w:jc w:val="left"/>
        <w:rPr>
          <w:rFonts w:ascii="Arial" w:hAnsi="Arial"/>
          <w:b/>
          <w:color w:val="000000"/>
          <w:sz w:val="20"/>
        </w:rPr>
      </w:pPr>
      <w:r>
        <w:rPr>
          <w:rFonts w:ascii="Arial" w:hAnsi="Arial"/>
          <w:b/>
          <w:color w:val="000000"/>
          <w:sz w:val="20"/>
        </w:rPr>
        <w:t>Note 10. Income Taxes</w:t>
      </w:r>
    </w:p>
    <w:p>
      <w:pPr>
        <w:pStyle w:val="TextBody"/>
        <w:bidi w:val="0"/>
        <w:spacing w:before="120" w:after="283"/>
        <w:jc w:val="left"/>
        <w:rPr>
          <w:rFonts w:ascii="Times New Roman" w:hAnsi="Times New Roman"/>
          <w:sz w:val="20"/>
        </w:rPr>
      </w:pPr>
      <w:r>
        <w:rPr>
          <w:rFonts w:ascii="Arial" w:hAnsi="Arial"/>
          <w:color w:val="000000"/>
          <w:sz w:val="20"/>
        </w:rPr>
        <w:t>The Company is liable for income taxes in the U.S. For the years ended December 31, 2025 and 2024, the Company did not have any income for income tax purposes and therefore, no</w:t>
      </w:r>
      <w:r>
        <w:rPr>
          <w:rFonts w:ascii="Times New Roman" w:hAnsi="Times New Roman"/>
          <w:color w:val="000000"/>
          <w:sz w:val="20"/>
        </w:rPr>
        <w:t xml:space="preserve"> </w:t>
      </w:r>
      <w:r>
        <w:rPr>
          <w:rFonts w:ascii="Arial" w:hAnsi="Arial"/>
          <w:color w:val="000000"/>
          <w:sz w:val="20"/>
        </w:rPr>
        <w:t>tax liability or expense has been recorded in these financial statements.</w:t>
      </w:r>
    </w:p>
    <w:p>
      <w:pPr>
        <w:pStyle w:val="TextBody"/>
        <w:bidi w:val="0"/>
        <w:jc w:val="center"/>
        <w:rPr>
          <w:rFonts w:ascii="Arial" w:hAnsi="Arial"/>
          <w:color w:val="000000"/>
          <w:sz w:val="20"/>
        </w:rPr>
      </w:pPr>
      <w:r>
        <w:rPr>
          <w:rFonts w:ascii="Arial" w:hAnsi="Arial"/>
          <w:color w:val="000000"/>
          <w:sz w:val="20"/>
        </w:rPr>
        <w:t>F-23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240" w:after="240"/>
        <w:jc w:val="left"/>
        <w:rPr>
          <w:rFonts w:ascii="Arial" w:hAnsi="Arial"/>
          <w:color w:val="000000"/>
          <w:sz w:val="20"/>
        </w:rPr>
      </w:pPr>
      <w:r>
        <w:rPr>
          <w:rFonts w:ascii="Arial" w:hAnsi="Arial"/>
          <w:color w:val="000000"/>
          <w:sz w:val="20"/>
        </w:rPr>
        <w:t>The reconciliation of the effective income tax rate to the U.S. statutory rate is as follows (in thousands):</w:t>
      </w:r>
    </w:p>
    <w:tbl>
      <w:tblPr>
        <w:tblW w:w="7499" w:type="dxa"/>
        <w:jc w:val="left"/>
        <w:tblInd w:w="0" w:type="dxa"/>
        <w:tblLayout w:type="fixed"/>
        <w:tblCellMar>
          <w:top w:w="28" w:type="dxa"/>
          <w:left w:w="28" w:type="dxa"/>
          <w:bottom w:w="28" w:type="dxa"/>
          <w:right w:w="28" w:type="dxa"/>
        </w:tblCellMar>
      </w:tblPr>
      <w:tblGrid>
        <w:gridCol w:w="5026"/>
        <w:gridCol w:w="146"/>
        <w:gridCol w:w="211"/>
        <w:gridCol w:w="646"/>
        <w:gridCol w:w="166"/>
        <w:gridCol w:w="146"/>
        <w:gridCol w:w="146"/>
        <w:gridCol w:w="541"/>
        <w:gridCol w:w="47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tax benefit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State and local income taxes, net of federal tax effect </w:t>
            </w:r>
            <w:r>
              <w:rPr>
                <w:rFonts w:ascii="Arial" w:hAnsi="Arial"/>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unrecognized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rFonts w:ascii="Times New Roman" w:hAnsi="Times New Roman"/>
          <w:sz w:val="20"/>
        </w:rPr>
      </w:pPr>
      <w:r>
        <w:rPr>
          <w:rFonts w:ascii="Arial" w:hAnsi="Arial"/>
          <w:color w:val="000000"/>
          <w:sz w:val="13"/>
        </w:rPr>
        <w:t>(a)</w:t>
      </w:r>
      <w:r>
        <w:rPr>
          <w:rFonts w:ascii="Arial" w:hAnsi="Arial"/>
          <w:color w:val="000000"/>
          <w:sz w:val="20"/>
        </w:rPr>
        <w:t>The Company’s state income tax benefit for the current period is primarily attributable to California, which represents the Company’s principal state tax jurisdiction.</w:t>
      </w:r>
    </w:p>
    <w:p>
      <w:pPr>
        <w:pStyle w:val="TextBody"/>
        <w:bidi w:val="0"/>
        <w:spacing w:before="240" w:after="240"/>
        <w:jc w:val="left"/>
        <w:rPr>
          <w:rFonts w:ascii="Arial" w:hAnsi="Arial"/>
          <w:color w:val="000000"/>
          <w:sz w:val="20"/>
        </w:rPr>
      </w:pPr>
      <w:r>
        <w:rPr>
          <w:rFonts w:ascii="Arial" w:hAnsi="Arial"/>
          <w:color w:val="000000"/>
          <w:sz w:val="20"/>
        </w:rPr>
        <w:t>The following table presents the required disclosures prior to our adoption of ASU 2023-09 and reconciles the U.S. federal statutory income tax rate to the actual global effective income tax rate for the year ended December 31, 2024:</w:t>
      </w:r>
    </w:p>
    <w:tbl>
      <w:tblPr>
        <w:tblW w:w="6189" w:type="dxa"/>
        <w:jc w:val="left"/>
        <w:tblInd w:w="0" w:type="dxa"/>
        <w:tblLayout w:type="fixed"/>
        <w:tblCellMar>
          <w:top w:w="28" w:type="dxa"/>
          <w:left w:w="28" w:type="dxa"/>
          <w:bottom w:w="28" w:type="dxa"/>
          <w:right w:w="28" w:type="dxa"/>
        </w:tblCellMar>
      </w:tblPr>
      <w:tblGrid>
        <w:gridCol w:w="3691"/>
        <w:gridCol w:w="146"/>
        <w:gridCol w:w="211"/>
        <w:gridCol w:w="751"/>
        <w:gridCol w:w="166"/>
        <w:gridCol w:w="146"/>
        <w:gridCol w:w="146"/>
        <w:gridCol w:w="541"/>
        <w:gridCol w:w="3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State taxes, net of the federal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R&amp;D credit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Times New Roman" w:hAnsi="Times New Roman"/>
          <w:sz w:val="20"/>
        </w:rPr>
      </w:pPr>
      <w:r>
        <w:rPr>
          <w:rFonts w:ascii="Arial" w:hAnsi="Arial"/>
          <w:color w:val="000000"/>
          <w:sz w:val="20"/>
        </w:rPr>
        <w:t>Recognition of deferred tax assets is appropriate when realization of such assets is more likely than not. Based upon the weight of available positive and negative evidence, which includes the Company’s historical operating performance and the U.S. cumulative net losses in all prior periods, the Company has provided a valuation allowance against its U.S. deferred tax assets. The valuation allowance decreased by $2.4</w:t>
      </w:r>
      <w:r>
        <w:rPr>
          <w:rFonts w:ascii="Times New Roman" w:hAnsi="Times New Roman"/>
          <w:color w:val="000000"/>
          <w:sz w:val="20"/>
        </w:rPr>
        <w:t xml:space="preserve"> </w:t>
      </w:r>
      <w:r>
        <w:rPr>
          <w:rFonts w:ascii="Arial" w:hAnsi="Arial"/>
          <w:color w:val="000000"/>
          <w:sz w:val="20"/>
        </w:rPr>
        <w:t>million from December 31, 2024 to December 31, 2025 due to reduction in historical state net operating losses.</w:t>
      </w:r>
    </w:p>
    <w:p>
      <w:pPr>
        <w:pStyle w:val="TextBody"/>
        <w:bidi w:val="0"/>
        <w:spacing w:before="240" w:after="240"/>
        <w:jc w:val="left"/>
        <w:rPr>
          <w:rFonts w:ascii="Arial" w:hAnsi="Arial"/>
          <w:color w:val="000000"/>
          <w:sz w:val="20"/>
        </w:rPr>
      </w:pPr>
      <w:r>
        <w:rPr>
          <w:rFonts w:ascii="Arial" w:hAnsi="Arial"/>
          <w:color w:val="000000"/>
          <w:sz w:val="20"/>
        </w:rPr>
        <w:t>Deferred income taxes reflect the net tax effects of losses, credit carryforwards and temporary differences between the carrying amounts of assets and liabilities for financial reporting purposes and the amounts used for income tax purposes. Components of the Company’s deferred tax assets are as follows (in thousands):</w:t>
      </w:r>
    </w:p>
    <w:tbl>
      <w:tblPr>
        <w:tblW w:w="6059" w:type="dxa"/>
        <w:jc w:val="left"/>
        <w:tblInd w:w="0" w:type="dxa"/>
        <w:tblLayout w:type="fixed"/>
        <w:tblCellMar>
          <w:top w:w="28" w:type="dxa"/>
          <w:left w:w="28" w:type="dxa"/>
          <w:bottom w:w="28" w:type="dxa"/>
          <w:right w:w="28" w:type="dxa"/>
        </w:tblCellMar>
      </w:tblPr>
      <w:tblGrid>
        <w:gridCol w:w="3206"/>
        <w:gridCol w:w="146"/>
        <w:gridCol w:w="211"/>
        <w:gridCol w:w="751"/>
        <w:gridCol w:w="166"/>
        <w:gridCol w:w="146"/>
        <w:gridCol w:w="211"/>
        <w:gridCol w:w="751"/>
        <w:gridCol w:w="47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28,682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 research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18,308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 credit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58,107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(58,107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As of December 31, 2025, the Company had $127.4</w:t>
      </w:r>
      <w:r>
        <w:rPr>
          <w:rFonts w:ascii="Times New Roman" w:hAnsi="Times New Roman"/>
          <w:color w:val="000000"/>
          <w:sz w:val="20"/>
        </w:rPr>
        <w:t xml:space="preserve"> </w:t>
      </w:r>
      <w:r>
        <w:rPr>
          <w:rFonts w:ascii="Arial" w:hAnsi="Arial"/>
          <w:color w:val="000000"/>
          <w:sz w:val="20"/>
        </w:rPr>
        <w:t>million of federal and $126.5</w:t>
      </w:r>
      <w:r>
        <w:rPr>
          <w:rFonts w:ascii="Times New Roman" w:hAnsi="Times New Roman"/>
          <w:color w:val="000000"/>
          <w:sz w:val="20"/>
        </w:rPr>
        <w:t xml:space="preserve"> </w:t>
      </w:r>
      <w:r>
        <w:rPr>
          <w:rFonts w:ascii="Arial" w:hAnsi="Arial"/>
          <w:color w:val="000000"/>
          <w:sz w:val="20"/>
        </w:rPr>
        <w:t>million of state net operating loss available to offset future taxable income. The federal net operating loss carryforwards do not expire. The state net operating loss carryforwards begin to expire in 2037. The Company also has federal and California state research and development credits of $7.6</w:t>
      </w:r>
      <w:r>
        <w:rPr>
          <w:rFonts w:ascii="Times New Roman" w:hAnsi="Times New Roman"/>
          <w:color w:val="000000"/>
          <w:sz w:val="20"/>
        </w:rPr>
        <w:t xml:space="preserve"> </w:t>
      </w:r>
      <w:r>
        <w:rPr>
          <w:rFonts w:ascii="Arial" w:hAnsi="Arial"/>
          <w:color w:val="000000"/>
          <w:sz w:val="20"/>
        </w:rPr>
        <w:t>million and $2.6</w:t>
      </w:r>
      <w:r>
        <w:rPr>
          <w:rFonts w:ascii="Times New Roman" w:hAnsi="Times New Roman"/>
          <w:color w:val="000000"/>
          <w:sz w:val="20"/>
        </w:rPr>
        <w:t xml:space="preserve"> </w:t>
      </w:r>
      <w:r>
        <w:rPr>
          <w:rFonts w:ascii="Arial" w:hAnsi="Arial"/>
          <w:color w:val="000000"/>
          <w:sz w:val="20"/>
        </w:rPr>
        <w:t>million, respectively. The federal tax credit carryforwards will expire in 2041</w:t>
      </w:r>
      <w:r>
        <w:rPr>
          <w:rFonts w:ascii="Times New Roman" w:hAnsi="Times New Roman"/>
          <w:color w:val="000000"/>
          <w:sz w:val="20"/>
        </w:rPr>
        <w:t xml:space="preserve"> </w:t>
      </w:r>
      <w:r>
        <w:rPr>
          <w:rFonts w:ascii="Arial" w:hAnsi="Arial"/>
          <w:color w:val="000000"/>
          <w:sz w:val="20"/>
        </w:rPr>
        <w:t>if not utilized. The state tax credit carryforwards do not expire.</w:t>
      </w:r>
    </w:p>
    <w:p>
      <w:pPr>
        <w:pStyle w:val="TextBody"/>
        <w:bidi w:val="0"/>
        <w:jc w:val="center"/>
        <w:rPr>
          <w:rFonts w:ascii="Arial" w:hAnsi="Arial"/>
          <w:color w:val="000000"/>
          <w:sz w:val="20"/>
        </w:rPr>
      </w:pPr>
      <w:r>
        <w:rPr>
          <w:rFonts w:ascii="Arial" w:hAnsi="Arial"/>
          <w:color w:val="000000"/>
          <w:sz w:val="20"/>
        </w:rPr>
        <w:t>F-24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240" w:after="283"/>
        <w:jc w:val="left"/>
        <w:rPr>
          <w:rFonts w:ascii="Arial" w:hAnsi="Arial"/>
          <w:color w:val="000000"/>
          <w:sz w:val="20"/>
        </w:rPr>
      </w:pPr>
      <w:r>
        <w:rPr>
          <w:rFonts w:ascii="Arial" w:hAnsi="Arial"/>
          <w:color w:val="000000"/>
          <w:sz w:val="20"/>
        </w:rPr>
        <w:t>Utilization of the net operating loss carryforwards is subject to an annual limitation due to the ownership change limitations provided by the Internal Revenue Code of 1986, as amended, and similar state provisions.</w:t>
      </w:r>
    </w:p>
    <w:p>
      <w:pPr>
        <w:pStyle w:val="TextBody"/>
        <w:bidi w:val="0"/>
        <w:spacing w:before="240" w:after="283"/>
        <w:jc w:val="left"/>
        <w:rPr>
          <w:rFonts w:ascii="Arial" w:hAnsi="Arial"/>
          <w:color w:val="000000"/>
          <w:sz w:val="20"/>
        </w:rPr>
      </w:pPr>
      <w:r>
        <w:rPr>
          <w:rFonts w:ascii="Arial" w:hAnsi="Arial"/>
          <w:color w:val="000000"/>
          <w:sz w:val="20"/>
        </w:rPr>
        <w:t>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The Company is not currently in a taxable position and no net operating loss carryforwards or credits have been used to date.</w:t>
      </w:r>
    </w:p>
    <w:p>
      <w:pPr>
        <w:pStyle w:val="TextBody"/>
        <w:bidi w:val="0"/>
        <w:spacing w:before="240" w:after="240"/>
        <w:jc w:val="left"/>
        <w:rPr>
          <w:rFonts w:ascii="Times New Roman" w:hAnsi="Times New Roman"/>
          <w:sz w:val="20"/>
        </w:rPr>
      </w:pPr>
      <w:r>
        <w:rPr>
          <w:rFonts w:ascii="Arial" w:hAnsi="Arial"/>
          <w:color w:val="000000"/>
          <w:sz w:val="20"/>
        </w:rPr>
        <w:t>As of December 31, 2025 and 2024, the Company has unrecognized tax benefits of $10.5</w:t>
      </w:r>
      <w:r>
        <w:rPr>
          <w:rFonts w:ascii="Times New Roman" w:hAnsi="Times New Roman"/>
          <w:color w:val="000000"/>
          <w:sz w:val="20"/>
        </w:rPr>
        <w:t xml:space="preserve"> </w:t>
      </w:r>
      <w:r>
        <w:rPr>
          <w:rFonts w:ascii="Arial" w:hAnsi="Arial"/>
          <w:color w:val="000000"/>
          <w:sz w:val="20"/>
        </w:rPr>
        <w:t>million and $2.1</w:t>
      </w:r>
      <w:r>
        <w:rPr>
          <w:rFonts w:ascii="Times New Roman" w:hAnsi="Times New Roman"/>
          <w:color w:val="000000"/>
          <w:sz w:val="20"/>
        </w:rPr>
        <w:t xml:space="preserve"> </w:t>
      </w:r>
      <w:r>
        <w:rPr>
          <w:rFonts w:ascii="Arial" w:hAnsi="Arial"/>
          <w:color w:val="000000"/>
          <w:sz w:val="20"/>
        </w:rPr>
        <w:t>million, respectively. As of December 31, 2025, the total amount of unrecognized tax benefits would not affect the effective tax rate, if recognized, due to the valuation allowance that currently offsets deferred tax assets. The Company does not expect the unrecognized tax benefits to change significantly over the next 12 months. A reconciliation of the beginning and ending amount of unrecognized tax benefits for the years ended December 31, 2025 and 2024 was as follows (in thousands):</w:t>
      </w:r>
    </w:p>
    <w:tbl>
      <w:tblPr>
        <w:tblW w:w="6747" w:type="dxa"/>
        <w:jc w:val="left"/>
        <w:tblInd w:w="0" w:type="dxa"/>
        <w:tblLayout w:type="fixed"/>
        <w:tblCellMar>
          <w:top w:w="28" w:type="dxa"/>
          <w:left w:w="28" w:type="dxa"/>
          <w:bottom w:w="28" w:type="dxa"/>
          <w:right w:w="28" w:type="dxa"/>
        </w:tblCellMar>
      </w:tblPr>
      <w:tblGrid>
        <w:gridCol w:w="4016"/>
        <w:gridCol w:w="146"/>
        <w:gridCol w:w="224"/>
        <w:gridCol w:w="734"/>
        <w:gridCol w:w="155"/>
        <w:gridCol w:w="155"/>
        <w:gridCol w:w="224"/>
        <w:gridCol w:w="622"/>
        <w:gridCol w:w="471"/>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2,083</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 related to prior year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 related to current year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10,532</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Arial" w:hAnsi="Arial"/>
          <w:color w:val="000000"/>
          <w:sz w:val="20"/>
        </w:rPr>
        <w:t>The Company recognizes interest and penalties related to unrecognized tax benefits within the income tax expense line in the statements of operations. Accrued interest and penalties are included within the related tax liability line in the balance sheet. No</w:t>
      </w:r>
      <w:r>
        <w:rPr>
          <w:rFonts w:ascii="Times New Roman" w:hAnsi="Times New Roman"/>
          <w:color w:val="000000"/>
          <w:sz w:val="20"/>
        </w:rPr>
        <w:t xml:space="preserve"> </w:t>
      </w:r>
      <w:r>
        <w:rPr>
          <w:rFonts w:ascii="Arial" w:hAnsi="Arial"/>
          <w:color w:val="000000"/>
          <w:sz w:val="20"/>
        </w:rPr>
        <w:t>accrued interest and penalties have been recorded through December 31, 2025.</w:t>
      </w:r>
    </w:p>
    <w:p>
      <w:pPr>
        <w:pStyle w:val="TextBody"/>
        <w:bidi w:val="0"/>
        <w:spacing w:before="240" w:after="283"/>
        <w:jc w:val="left"/>
        <w:rPr>
          <w:rFonts w:ascii="Arial" w:hAnsi="Arial"/>
          <w:color w:val="000000"/>
          <w:sz w:val="20"/>
        </w:rPr>
      </w:pPr>
      <w:r>
        <w:rPr>
          <w:rFonts w:ascii="Arial" w:hAnsi="Arial"/>
          <w:color w:val="000000"/>
          <w:sz w:val="20"/>
        </w:rPr>
        <w:t>The Company files income tax returns in the U.S. federal jurisdiction and California, Illinois, New York, South Carolina and Virginia state jurisdictions. The Company is not currently under audit by the Internal Revenue Service or other similar state or local authorities. Carryover attributes beginning December 31, 2022 and December 31, 2021, respectively, remain open to adjustment by the U.S. and state taxing authorities to which the Company is subject.</w:t>
      </w:r>
    </w:p>
    <w:p>
      <w:pPr>
        <w:pStyle w:val="TextBody"/>
        <w:bidi w:val="0"/>
        <w:spacing w:before="240" w:after="283"/>
        <w:jc w:val="left"/>
        <w:rPr>
          <w:rFonts w:ascii="Arial" w:hAnsi="Arial"/>
          <w:color w:val="000000"/>
          <w:sz w:val="20"/>
        </w:rPr>
      </w:pPr>
      <w:r>
        <w:rPr>
          <w:rFonts w:ascii="Arial" w:hAnsi="Arial"/>
          <w:color w:val="000000"/>
          <w:sz w:val="20"/>
        </w:rPr>
        <w:t>The Company did not have any significant income taxes paid or refunds received from any jurisdiction for the years ended December 31, 2025 or 2024.</w:t>
      </w:r>
    </w:p>
    <w:p>
      <w:pPr>
        <w:pStyle w:val="TextBody"/>
        <w:bidi w:val="0"/>
        <w:spacing w:before="360" w:after="283"/>
        <w:jc w:val="left"/>
        <w:rPr>
          <w:rFonts w:ascii="Arial" w:hAnsi="Arial"/>
          <w:b/>
          <w:color w:val="000000"/>
          <w:sz w:val="20"/>
        </w:rPr>
      </w:pPr>
      <w:r>
        <w:rPr>
          <w:rFonts w:ascii="Arial" w:hAnsi="Arial"/>
          <w:b/>
          <w:color w:val="000000"/>
          <w:sz w:val="20"/>
        </w:rPr>
        <w:t>Note 11. Net Loss Per Share</w:t>
      </w:r>
    </w:p>
    <w:p>
      <w:pPr>
        <w:pStyle w:val="TextBody"/>
        <w:bidi w:val="0"/>
        <w:spacing w:before="120" w:after="240"/>
        <w:jc w:val="left"/>
        <w:rPr>
          <w:rFonts w:ascii="Arial" w:hAnsi="Arial"/>
          <w:color w:val="000000"/>
          <w:sz w:val="20"/>
        </w:rPr>
      </w:pPr>
      <w:r>
        <w:rPr>
          <w:rFonts w:ascii="Arial" w:hAnsi="Arial"/>
          <w:color w:val="000000"/>
          <w:sz w:val="20"/>
        </w:rPr>
        <w:t>The following table sets forth the computation of the basic and diluted net loss per share (in thousands, except for per share amounts):</w:t>
      </w:r>
    </w:p>
    <w:tbl>
      <w:tblPr>
        <w:tblW w:w="10205" w:type="dxa"/>
        <w:jc w:val="left"/>
        <w:tblInd w:w="0" w:type="dxa"/>
        <w:tblLayout w:type="fixed"/>
        <w:tblCellMar>
          <w:top w:w="28" w:type="dxa"/>
          <w:left w:w="28" w:type="dxa"/>
          <w:bottom w:w="28" w:type="dxa"/>
          <w:right w:w="28" w:type="dxa"/>
        </w:tblCellMar>
      </w:tblPr>
      <w:tblGrid>
        <w:gridCol w:w="6722"/>
        <w:gridCol w:w="146"/>
        <w:gridCol w:w="211"/>
        <w:gridCol w:w="1066"/>
        <w:gridCol w:w="166"/>
        <w:gridCol w:w="146"/>
        <w:gridCol w:w="211"/>
        <w:gridCol w:w="1066"/>
        <w:gridCol w:w="471"/>
      </w:tblGrid>
      <w:tr>
        <w:trPr/>
        <w:tc>
          <w:tcPr>
            <w:tcW w:w="6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(51,321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Weighted-average common shares outstanding used to calculate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30,215,747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29,828,227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240" w:after="240"/>
        <w:jc w:val="left"/>
        <w:rPr>
          <w:rFonts w:ascii="Times New Roman" w:hAnsi="Times New Roman"/>
          <w:sz w:val="20"/>
        </w:rPr>
      </w:pPr>
      <w:r>
        <w:rPr>
          <w:rFonts w:ascii="Arial" w:hAnsi="Arial"/>
          <w:color w:val="000000"/>
          <w:sz w:val="20"/>
        </w:rPr>
        <w:t>Since the Company was in a loss position for all periods presented, basic net loss per share is the same as diluted net loss per share for all periods as the inclusion of all potential common shares outstanding would have been anti-dilutive.</w:t>
      </w:r>
      <w:r>
        <w:rPr>
          <w:rFonts w:ascii="Times New Roman" w:hAnsi="Times New Roman"/>
          <w:color w:val="000000"/>
          <w:sz w:val="20"/>
        </w:rPr>
        <w:t xml:space="preserve"> </w:t>
      </w:r>
      <w:r>
        <w:rPr>
          <w:rFonts w:ascii="Arial" w:hAnsi="Arial"/>
          <w:color w:val="000000"/>
          <w:sz w:val="20"/>
        </w:rPr>
        <w:t>Potentially dilutive securities that were not included in the diluted per share calculations because they would be anti-dilutive were as follows:</w:t>
      </w:r>
    </w:p>
    <w:tbl>
      <w:tblPr>
        <w:tblW w:w="6744" w:type="dxa"/>
        <w:jc w:val="left"/>
        <w:tblInd w:w="0" w:type="dxa"/>
        <w:tblLayout w:type="fixed"/>
        <w:tblCellMar>
          <w:top w:w="28" w:type="dxa"/>
          <w:left w:w="28" w:type="dxa"/>
          <w:bottom w:w="28" w:type="dxa"/>
          <w:right w:w="28" w:type="dxa"/>
        </w:tblCellMar>
      </w:tblPr>
      <w:tblGrid>
        <w:gridCol w:w="3901"/>
        <w:gridCol w:w="146"/>
        <w:gridCol w:w="146"/>
        <w:gridCol w:w="961"/>
        <w:gridCol w:w="146"/>
        <w:gridCol w:w="146"/>
        <w:gridCol w:w="146"/>
        <w:gridCol w:w="961"/>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5,466,222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4,890,843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516,511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Estimated shares issuable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6,353,582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5,446,582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Arial" w:hAnsi="Arial"/>
          <w:color w:val="000000"/>
          <w:sz w:val="20"/>
        </w:rPr>
        <w:t>In June 2025, the Company entered into exchange agreements with certain existing stockholders to exchange 2,952,000</w:t>
      </w:r>
      <w:r>
        <w:rPr>
          <w:rFonts w:ascii="Times New Roman" w:hAnsi="Times New Roman"/>
          <w:color w:val="000000"/>
          <w:sz w:val="20"/>
        </w:rPr>
        <w:t xml:space="preserve"> </w:t>
      </w:r>
      <w:r>
        <w:rPr>
          <w:rFonts w:ascii="Arial" w:hAnsi="Arial"/>
          <w:color w:val="000000"/>
          <w:sz w:val="20"/>
        </w:rPr>
        <w:t>shares of the Company’s common stock for Warrants for an equivalent number of shares of common stock at a nominal exercise price of $0.00001</w:t>
      </w:r>
      <w:r>
        <w:rPr>
          <w:rFonts w:ascii="Times New Roman" w:hAnsi="Times New Roman"/>
          <w:color w:val="000000"/>
          <w:sz w:val="20"/>
        </w:rPr>
        <w:t xml:space="preserve"> </w:t>
      </w:r>
      <w:r>
        <w:rPr>
          <w:rFonts w:ascii="Arial" w:hAnsi="Arial"/>
          <w:color w:val="000000"/>
          <w:sz w:val="20"/>
        </w:rPr>
        <w:t>per share. The shares of common stock into which the Warrants may be exercised are considered outstanding for the purposes of computing earnings per share because the shares may be issued for little or no consideration, they are fully vested and the Warrants are immediately exercisable upon their issuance date.</w:t>
      </w:r>
    </w:p>
    <w:p>
      <w:pPr>
        <w:pStyle w:val="TextBody"/>
        <w:bidi w:val="0"/>
        <w:spacing w:before="120" w:after="283"/>
        <w:jc w:val="left"/>
        <w:rPr>
          <w:rFonts w:ascii="Arial" w:hAnsi="Arial"/>
          <w:b/>
          <w:color w:val="000000"/>
          <w:sz w:val="20"/>
        </w:rPr>
      </w:pPr>
      <w:r>
        <w:rPr>
          <w:rFonts w:ascii="Arial" w:hAnsi="Arial"/>
          <w:b/>
          <w:color w:val="000000"/>
          <w:sz w:val="20"/>
        </w:rPr>
        <w:t>Note 12. Restructuring Charges</w:t>
      </w:r>
    </w:p>
    <w:p>
      <w:pPr>
        <w:pStyle w:val="TextBody"/>
        <w:bidi w:val="0"/>
        <w:spacing w:before="120" w:after="283"/>
        <w:jc w:val="left"/>
        <w:rPr>
          <w:rFonts w:ascii="Times New Roman" w:hAnsi="Times New Roman"/>
          <w:sz w:val="20"/>
        </w:rPr>
      </w:pPr>
      <w:r>
        <w:rPr>
          <w:rFonts w:ascii="Arial" w:hAnsi="Arial"/>
          <w:color w:val="000000"/>
          <w:sz w:val="20"/>
        </w:rPr>
        <w:t>On August 8, 2024, the Company announced a reduction of approximately 50% of the Company's workforce, which was approved by the Board in connection with the Company’s planned restructuring following discontinuation of the EBO-301 study and to further extend the Company’s operating capital. In connection with the workforce reduction, the Company recognized severance and other charges of $2.2</w:t>
      </w:r>
      <w:r>
        <w:rPr>
          <w:rFonts w:ascii="Times New Roman" w:hAnsi="Times New Roman"/>
          <w:color w:val="000000"/>
          <w:sz w:val="20"/>
        </w:rPr>
        <w:t xml:space="preserve"> </w:t>
      </w:r>
      <w:r>
        <w:rPr>
          <w:rFonts w:ascii="Arial" w:hAnsi="Arial"/>
          <w:color w:val="000000"/>
          <w:sz w:val="20"/>
        </w:rPr>
        <w:t>million for the year ended December 31, 2024,</w:t>
      </w:r>
      <w:r>
        <w:rPr>
          <w:rFonts w:ascii="Times New Roman" w:hAnsi="Times New Roman"/>
          <w:color w:val="000000"/>
          <w:sz w:val="20"/>
        </w:rPr>
        <w:t xml:space="preserve"> </w:t>
      </w:r>
      <w:r>
        <w:rPr>
          <w:rFonts w:ascii="Arial" w:hAnsi="Arial"/>
          <w:color w:val="000000"/>
          <w:sz w:val="20"/>
        </w:rPr>
        <w:t>primarily related to severance payments and other employee termination-related expenses. The severance and other charges were recorded to restructuring charges on the statements of operations and comprehensive loss. The workforce reduction was complete by the end of 2024. Cash payments for severance and other charges of $2.2</w:t>
      </w:r>
      <w:r>
        <w:rPr>
          <w:rFonts w:ascii="Times New Roman" w:hAnsi="Times New Roman"/>
          <w:color w:val="000000"/>
          <w:sz w:val="20"/>
        </w:rPr>
        <w:t xml:space="preserve"> </w:t>
      </w:r>
      <w:r>
        <w:rPr>
          <w:rFonts w:ascii="Arial" w:hAnsi="Arial"/>
          <w:color w:val="000000"/>
          <w:sz w:val="20"/>
        </w:rPr>
        <w:t>million were made in the year ended December 31, 2024.</w:t>
      </w:r>
    </w:p>
    <w:p>
      <w:pPr>
        <w:pStyle w:val="TextBody"/>
        <w:bidi w:val="0"/>
        <w:spacing w:before="360" w:after="283"/>
        <w:jc w:val="left"/>
        <w:rPr>
          <w:rFonts w:ascii="Arial" w:hAnsi="Arial"/>
          <w:b/>
          <w:color w:val="000000"/>
          <w:sz w:val="20"/>
        </w:rPr>
      </w:pPr>
      <w:r>
        <w:rPr>
          <w:rFonts w:ascii="Arial" w:hAnsi="Arial"/>
          <w:b/>
          <w:color w:val="000000"/>
          <w:sz w:val="20"/>
        </w:rPr>
        <w:t>Note 13. Segment Reporting</w:t>
      </w:r>
    </w:p>
    <w:p>
      <w:pPr>
        <w:pStyle w:val="TextBody"/>
        <w:bidi w:val="0"/>
        <w:spacing w:before="120" w:after="283"/>
        <w:jc w:val="left"/>
        <w:rPr>
          <w:rFonts w:ascii="Times New Roman" w:hAnsi="Times New Roman"/>
          <w:sz w:val="20"/>
        </w:rPr>
      </w:pPr>
      <w:r>
        <w:rPr>
          <w:rFonts w:ascii="Arial" w:hAnsi="Arial"/>
          <w:color w:val="000000"/>
          <w:sz w:val="20"/>
        </w:rPr>
        <w:t>The Company operates and manages its business as one</w:t>
      </w:r>
      <w:r>
        <w:rPr>
          <w:rFonts w:ascii="Times New Roman" w:hAnsi="Times New Roman"/>
          <w:color w:val="000000"/>
          <w:sz w:val="20"/>
        </w:rPr>
        <w:t xml:space="preserve"> </w:t>
      </w:r>
      <w:r>
        <w:rPr>
          <w:rFonts w:ascii="Arial" w:hAnsi="Arial"/>
          <w:color w:val="000000"/>
          <w:sz w:val="20"/>
        </w:rPr>
        <w:t>reportable and operating segment. The determination of a single operating segment is consistent with the financial information regularly provided to the Company’s chief operating decision maker (the “CODM”). The Company's chief executive officer, who is the CODM, assesses performance for the single segment and decides how to allocate resources based on net loss that also is reported on the statements of operations and comprehensive loss. The monitoring of budgeted versus actual results are used in assessing performance of the segment, and making operating decisions, allocating resources, and planning and forecasting for future periods. The measure of segment assets is reported on the balance sheets as total assets.</w:t>
      </w:r>
    </w:p>
    <w:p>
      <w:pPr>
        <w:pStyle w:val="TextBody"/>
        <w:bidi w:val="0"/>
        <w:spacing w:before="240" w:after="240"/>
        <w:jc w:val="left"/>
        <w:rPr>
          <w:rFonts w:ascii="Arial" w:hAnsi="Arial"/>
          <w:color w:val="000000"/>
          <w:sz w:val="20"/>
        </w:rPr>
      </w:pPr>
      <w:r>
        <w:rPr>
          <w:rFonts w:ascii="Arial" w:hAnsi="Arial"/>
          <w:color w:val="000000"/>
          <w:sz w:val="20"/>
        </w:rPr>
        <w:t>In addition to the significant expense categories included within net loss presented on the statements of operations and comprehensive loss, see below for disaggregated amounts that comprise research and development expenses:</w:t>
      </w:r>
    </w:p>
    <w:tbl>
      <w:tblPr>
        <w:tblW w:w="7292" w:type="dxa"/>
        <w:jc w:val="left"/>
        <w:tblInd w:w="0" w:type="dxa"/>
        <w:tblLayout w:type="fixed"/>
        <w:tblCellMar>
          <w:top w:w="28" w:type="dxa"/>
          <w:left w:w="28" w:type="dxa"/>
          <w:bottom w:w="28" w:type="dxa"/>
          <w:right w:w="28" w:type="dxa"/>
        </w:tblCellMar>
      </w:tblPr>
      <w:tblGrid>
        <w:gridCol w:w="4561"/>
        <w:gridCol w:w="146"/>
        <w:gridCol w:w="213"/>
        <w:gridCol w:w="697"/>
        <w:gridCol w:w="147"/>
        <w:gridCol w:w="147"/>
        <w:gridCol w:w="213"/>
        <w:gridCol w:w="697"/>
        <w:gridCol w:w="47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Other external research and development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Clinical trials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15,626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Consulting and outside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2,400</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15,798</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27,244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13,244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24,769</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40,488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r>
        <w:rPr>
          <w:rFonts w:ascii="Arial" w:hAnsi="Arial"/>
          <w:color w:val="000000"/>
          <w:sz w:val="16"/>
        </w:rPr>
        <w:t xml:space="preserve">(1) </w:t>
      </w:r>
      <w:r>
        <w:rPr>
          <w:rFonts w:ascii="Arial" w:hAnsi="Arial"/>
          <w:color w:val="000000"/>
          <w:sz w:val="20"/>
        </w:rPr>
        <w:t>Chemistry manufacturing controls, research and preclinical studies and other miscellaneous expenses.</w:t>
      </w:r>
    </w:p>
    <w:p>
      <w:pPr>
        <w:pStyle w:val="TextBody"/>
        <w:bidi w:val="0"/>
        <w:jc w:val="center"/>
        <w:rPr>
          <w:rFonts w:ascii="Arial" w:hAnsi="Arial"/>
          <w:color w:val="000000"/>
          <w:sz w:val="20"/>
        </w:rPr>
      </w:pPr>
      <w:r>
        <w:rPr>
          <w:rFonts w:ascii="Arial" w:hAnsi="Arial"/>
          <w:color w:val="000000"/>
          <w:sz w:val="20"/>
        </w:rPr>
        <w:t>F-26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Notes to Financial Statements — Continued</w:t>
      </w:r>
    </w:p>
    <w:p>
      <w:pPr>
        <w:pStyle w:val="TextBody"/>
        <w:bidi w:val="0"/>
        <w:jc w:val="center"/>
        <w:rPr/>
      </w:pPr>
      <w:r>
        <w:rPr/>
        <w:t> </w:t>
      </w:r>
    </w:p>
    <w:p>
      <w:pPr>
        <w:pStyle w:val="TextBody"/>
        <w:bidi w:val="0"/>
        <w:spacing w:before="360" w:after="283"/>
        <w:jc w:val="left"/>
        <w:rPr>
          <w:rFonts w:ascii="Arial" w:hAnsi="Arial"/>
          <w:b/>
          <w:color w:val="000000"/>
          <w:sz w:val="20"/>
        </w:rPr>
      </w:pPr>
      <w:r>
        <w:rPr>
          <w:rFonts w:ascii="Arial" w:hAnsi="Arial"/>
          <w:b/>
          <w:color w:val="000000"/>
          <w:sz w:val="20"/>
        </w:rPr>
        <w:t>Note 14. Related Party Transactions</w:t>
      </w:r>
    </w:p>
    <w:p>
      <w:pPr>
        <w:pStyle w:val="TextBody"/>
        <w:bidi w:val="0"/>
        <w:spacing w:before="120" w:after="283"/>
        <w:jc w:val="left"/>
        <w:rPr>
          <w:rFonts w:ascii="Arial" w:hAnsi="Arial"/>
          <w:color w:val="000000"/>
          <w:sz w:val="20"/>
        </w:rPr>
      </w:pPr>
      <w:r>
        <w:rPr>
          <w:rFonts w:ascii="Arial" w:hAnsi="Arial"/>
          <w:color w:val="000000"/>
          <w:sz w:val="20"/>
        </w:rPr>
        <w:t>During the year ended December 31, 2025, other than the addition of an existing stockholder who participated in the pre-funded warrant transaction as disclosed in Note 8, there were no additional material related party transactions. During the year ended December 31, 2024, there were no material related party transactions.</w:t>
      </w:r>
    </w:p>
    <w:p>
      <w:pPr>
        <w:pStyle w:val="TextBody"/>
        <w:bidi w:val="0"/>
        <w:spacing w:before="360" w:after="283"/>
        <w:jc w:val="left"/>
        <w:rPr>
          <w:rFonts w:ascii="Arial" w:hAnsi="Arial"/>
          <w:b/>
          <w:color w:val="000000"/>
          <w:sz w:val="20"/>
        </w:rPr>
      </w:pPr>
      <w:r>
        <w:rPr>
          <w:rFonts w:ascii="Arial" w:hAnsi="Arial"/>
          <w:b/>
          <w:color w:val="000000"/>
          <w:sz w:val="20"/>
        </w:rPr>
        <w:t>Note 15. Subsequent Events</w:t>
      </w:r>
    </w:p>
    <w:p>
      <w:pPr>
        <w:pStyle w:val="TextBody"/>
        <w:bidi w:val="0"/>
        <w:spacing w:before="120" w:after="283"/>
        <w:jc w:val="left"/>
        <w:rPr>
          <w:rFonts w:ascii="Times New Roman" w:hAnsi="Times New Roman"/>
          <w:sz w:val="20"/>
        </w:rPr>
      </w:pPr>
      <w:r>
        <w:rPr>
          <w:rFonts w:ascii="Arial" w:hAnsi="Arial"/>
          <w:color w:val="000000"/>
          <w:sz w:val="20"/>
        </w:rPr>
        <w:t>On March 8, 2026, the Company entered into a Securities Purchase Agreement with certain investors to sell through a private placement 8,245,611</w:t>
      </w:r>
      <w:r>
        <w:rPr>
          <w:rFonts w:ascii="Times New Roman" w:hAnsi="Times New Roman"/>
          <w:color w:val="000000"/>
          <w:sz w:val="20"/>
        </w:rPr>
        <w:t xml:space="preserve"> </w:t>
      </w:r>
      <w:r>
        <w:rPr>
          <w:rFonts w:ascii="Arial" w:hAnsi="Arial"/>
          <w:color w:val="000000"/>
          <w:sz w:val="20"/>
        </w:rPr>
        <w:t>shares of common stock at a price of $2.85</w:t>
      </w:r>
      <w:r>
        <w:rPr>
          <w:rFonts w:ascii="Times New Roman" w:hAnsi="Times New Roman"/>
          <w:color w:val="000000"/>
          <w:sz w:val="20"/>
        </w:rPr>
        <w:t xml:space="preserve"> </w:t>
      </w:r>
      <w:r>
        <w:rPr>
          <w:rFonts w:ascii="Arial" w:hAnsi="Arial"/>
          <w:color w:val="000000"/>
          <w:sz w:val="20"/>
        </w:rPr>
        <w:t>per share and pre-funded warrants to purchase up to 5,789,473</w:t>
      </w:r>
      <w:r>
        <w:rPr>
          <w:rFonts w:ascii="Times New Roman" w:hAnsi="Times New Roman"/>
          <w:color w:val="000000"/>
          <w:sz w:val="20"/>
        </w:rPr>
        <w:t xml:space="preserve"> </w:t>
      </w:r>
      <w:r>
        <w:rPr>
          <w:rFonts w:ascii="Arial" w:hAnsi="Arial"/>
          <w:color w:val="000000"/>
          <w:sz w:val="20"/>
        </w:rPr>
        <w:t>shares of common stock at a purchase price of $2.84999</w:t>
      </w:r>
      <w:r>
        <w:rPr>
          <w:rFonts w:ascii="Times New Roman" w:hAnsi="Times New Roman"/>
          <w:color w:val="000000"/>
          <w:sz w:val="20"/>
        </w:rPr>
        <w:t xml:space="preserve"> </w:t>
      </w:r>
      <w:r>
        <w:rPr>
          <w:rFonts w:ascii="Arial" w:hAnsi="Arial"/>
          <w:color w:val="000000"/>
          <w:sz w:val="20"/>
        </w:rPr>
        <w:t>per pre-funded warrant, resulting in aggregate gross proceeds of $40.0</w:t>
      </w:r>
      <w:r>
        <w:rPr>
          <w:rFonts w:ascii="Times New Roman" w:hAnsi="Times New Roman"/>
          <w:color w:val="000000"/>
          <w:sz w:val="20"/>
        </w:rPr>
        <w:t xml:space="preserve"> </w:t>
      </w:r>
      <w:r>
        <w:rPr>
          <w:rFonts w:ascii="Arial" w:hAnsi="Arial"/>
          <w:color w:val="000000"/>
          <w:sz w:val="20"/>
        </w:rPr>
        <w:t>million before deducting the placement agent’s fees and other offering expenses and excluding any proceeds the Company may receive upon exercise of the pre-funded warrants (the “Private Placement”.) The Private Placement closed on March 10, 2026.</w:t>
      </w:r>
    </w:p>
    <w:p>
      <w:pPr>
        <w:pStyle w:val="TextBody"/>
        <w:bidi w:val="0"/>
        <w:jc w:val="center"/>
        <w:rPr>
          <w:rFonts w:ascii="Arial" w:hAnsi="Arial"/>
          <w:color w:val="000000"/>
          <w:sz w:val="20"/>
        </w:rPr>
      </w:pPr>
      <w:r>
        <w:rPr>
          <w:rFonts w:ascii="Arial" w:hAnsi="Arial"/>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bookmarkStart w:id="38" w:name="antx-ex4_3.htm"/>
      <w:bookmarkStart w:id="39" w:name="ksantxex4_3"/>
      <w:bookmarkEnd w:id="38"/>
      <w:bookmarkEnd w:id="39"/>
      <w:r>
        <w:rPr/>
        <w:t> </w:t>
      </w:r>
      <w:r>
        <w:br w:type="page"/>
      </w:r>
    </w:p>
    <w:p>
      <w:pPr>
        <w:pStyle w:val="TextBody"/>
        <w:bidi w:val="0"/>
        <w:spacing w:before="0" w:after="120"/>
        <w:jc w:val="right"/>
        <w:rPr>
          <w:rFonts w:ascii="Times New Roman" w:hAnsi="Times New Roman"/>
          <w:b/>
          <w:smallCaps/>
          <w:color w:val="000000"/>
          <w:sz w:val="22"/>
        </w:rPr>
      </w:pPr>
      <w:r>
        <w:rPr>
          <w:rFonts w:ascii="Times New Roman" w:hAnsi="Times New Roman"/>
          <w:b/>
          <w:smallCaps/>
          <w:color w:val="000000"/>
          <w:sz w:val="22"/>
        </w:rPr>
        <w:t>Exhibit 4.3</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DESCRIPTION OF THE REGISTRANT’S SECURITIES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 SECURITIES EXCHANGE ACT OF 1934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description is a description of the common stock, $0.00001 par value per share, of AN2 Therapeutics, Inc. (the “Company,” “we,” “our,” or “us”) which is the only security of the Company registered pursuant to Section 12 of the Securities Exchange Act of 1934, as amended (the “Exchange Act”). This summary is subject to the General Corporation Law of the State of Delaware (the “DGCL”) and the complete text of our amended and restated certificate of incorporation, as amended by the Certificate of Designations of Series A Junior Participating Preferred Stock (collectively, the “Restated Certificate”), and amended and restated bylaws (the “Bylaws”), both of which are exhibits to our Annual Report on Form 10-K of which this exhibit is a part. This information may not be complete in all respects and is qualified entirely by reference to the provisions of our Restated Certificate and our Bylaws.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authorized capital stock consists of 500,000,000 shares of common stock, par value $0.00001 per share, and 10,000,000 shares of preferred stock, par value $0.00001 per share. 500,000 shares of our preferred stock are designated as Series A Junior Participating Preferred Stock. </w:t>
      </w:r>
    </w:p>
    <w:p>
      <w:pPr>
        <w:pStyle w:val="TextBody"/>
        <w:bidi w:val="0"/>
        <w:spacing w:before="24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Voting Rights</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The common stock is entitled to one vote per share on any matter that is submitted to a vote of our stockholders. Our Restated Certificate does not provide for cumulative voting for the election of directors. Our Restated Certificate establishes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The affirmative vote of holders of at least 66 2/3% of the voting power of all of the then-outstanding shares of capital stock, voting as a single class, will be required to amend certain provisions of our Restated Certificate, including provisions relating to amending our Bylaws, the classified structure of our board of directors, the size of our board of directors, removal of directors, director liability, vacancies on our board of directors, special meetings, stockholder notices, actions by written consent and exclusive jurisdiction. </w:t>
      </w:r>
    </w:p>
    <w:p>
      <w:pPr>
        <w:pStyle w:val="TextBody"/>
        <w:bidi w:val="0"/>
        <w:spacing w:before="240" w:after="283"/>
        <w:jc w:val="left"/>
        <w:rPr>
          <w:rFonts w:ascii="Times New Roman" w:hAnsi="Times New Roman"/>
          <w:sz w:val="20"/>
        </w:rPr>
      </w:pPr>
      <w:r>
        <w:rPr>
          <w:rFonts w:ascii="Times New Roman" w:hAnsi="Times New Roman"/>
          <w:b/>
          <w:i/>
          <w:color w:val="000000"/>
          <w:sz w:val="20"/>
        </w:rPr>
        <w:t>Economic Rights</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Except as otherwise expressly provided in our Restated Certificate or required by applicable law, all shares of our common stock have the same rights and privileges and rank equally, share ratably and be identical in all respects for all matters, including those described below. </w:t>
      </w:r>
    </w:p>
    <w:p>
      <w:pPr>
        <w:pStyle w:val="TextBody"/>
        <w:bidi w:val="0"/>
        <w:spacing w:before="240" w:after="283"/>
        <w:jc w:val="both"/>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xml:space="preserve">. 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bidi w:val="0"/>
        <w:spacing w:before="240" w:after="283"/>
        <w:jc w:val="both"/>
        <w:rPr>
          <w:rFonts w:ascii="Times New Roman" w:hAnsi="Times New Roman"/>
          <w:sz w:val="20"/>
        </w:rPr>
      </w:pPr>
      <w:r>
        <w:rPr>
          <w:rFonts w:ascii="Times New Roman" w:hAnsi="Times New Roman"/>
          <w:i/>
          <w:color w:val="000000"/>
          <w:sz w:val="20"/>
        </w:rPr>
        <w:t>Liquidation Rights</w:t>
      </w:r>
      <w:r>
        <w:rPr>
          <w:rFonts w:ascii="Times New Roman" w:hAnsi="Times New Roman"/>
          <w:color w:val="000000"/>
          <w:sz w:val="20"/>
        </w:rPr>
        <w:t xml:space="preserve">. On our liquidation, dissolution, or winding-up, the holders of our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 </w:t>
      </w:r>
    </w:p>
    <w:p>
      <w:pPr>
        <w:pStyle w:val="TextBody"/>
        <w:bidi w:val="0"/>
        <w:spacing w:before="240" w:after="283"/>
        <w:jc w:val="left"/>
        <w:rPr>
          <w:rFonts w:ascii="Times New Roman" w:hAnsi="Times New Roman"/>
          <w:sz w:val="20"/>
        </w:rPr>
      </w:pPr>
      <w:r>
        <w:rPr>
          <w:rFonts w:ascii="Times New Roman" w:hAnsi="Times New Roman"/>
          <w:b/>
          <w:i/>
          <w:color w:val="000000"/>
          <w:sz w:val="20"/>
        </w:rPr>
        <w:t>No Preemptive or Similar Rights</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The holders of shares of our common stock are not entitled to preemptive rights, and are not subject to conversion, redemption, or sinking fund provisions.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may, without further action by our stockholders, fix the rights, preferences, privileges and restrictions of up to 10,000,000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500,000 shares of our preferred stock are designated as Series A Junior Participating Preferred Stock. The Series A Junior Participating Preferred Stock was authorized in connection with that certain Rights Agreement, dated as of August 15, 2024, between the Company and Equiniti Trust Company, LLC (the “Rights Agreement”). The right to purchase shares of Series A Junior Participating Preferred Stock under the Rights Agreement expired in accordance with its terms on August 15, 2025. As of the date hereof, no shares of Series A Junior Participating Preferred Stock are outstanding. </w:t>
      </w:r>
    </w:p>
    <w:p>
      <w:pPr>
        <w:pStyle w:val="TextBody"/>
        <w:bidi w:val="0"/>
        <w:spacing w:before="240" w:after="283"/>
        <w:jc w:val="left"/>
        <w:rPr>
          <w:rFonts w:ascii="Times New Roman" w:hAnsi="Times New Roman"/>
          <w:sz w:val="20"/>
        </w:rPr>
      </w:pPr>
      <w:r>
        <w:rPr>
          <w:rFonts w:ascii="Times New Roman" w:hAnsi="Times New Roman"/>
          <w:b/>
          <w:color w:val="000000"/>
          <w:sz w:val="20"/>
        </w:rPr>
        <w:t>Anti-Takeover Provisions</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The provisions of Delaware law, our Restated Certificate, and our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jc w:val="left"/>
        <w:rPr>
          <w:rFonts w:ascii="Times New Roman" w:hAnsi="Times New Roman"/>
          <w:b/>
          <w:i/>
          <w:color w:val="000000"/>
          <w:sz w:val="20"/>
        </w:rPr>
      </w:pPr>
      <w:r>
        <w:rPr>
          <w:rFonts w:ascii="Times New Roman" w:hAnsi="Times New Roman"/>
          <w:b/>
          <w:i/>
          <w:color w:val="000000"/>
          <w:sz w:val="20"/>
        </w:rPr>
        <w:t>Restated Certificate and Bylaws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Our Restated Certificate and our Bylaws also provide that all stockholder actions are required to be taken by a vote of the stockholders at a duly called annual or special meeting, and that stockholders may not take any action by written consent in lieu of a meeting. According to our Bylaws, a special meeting of stockholders may only be called by a majority of our board of directors, the chair of our board of directors, or our chief executive officer or president. Our Bylaws establish an advance notice procedure for stockholder proposals to be brought before an annual meeting of our stockholders, including proposed nominations of persons for election to our board of directors.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Restated Certificate provides for the division of our board of directors into three classes serving staggered three-year terms, with one class being elected each year. Our Restated Certificate also provides that directors may be removed only for cause by the affirmative vote of the holders of at least 66 2/3% of the shares then entitled to vote at an annual election of directors. Furthermore, any vacancy on our board of directors, however occurring, including a vacancy resulting from an increase in the size of our board, may be filled by the affirmative vote of a majority of our directors then in office even if less than a quorum.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provisions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 </w:t>
      </w:r>
    </w:p>
    <w:p>
      <w:pPr>
        <w:pStyle w:val="TextBody"/>
        <w:bidi w:val="0"/>
        <w:spacing w:before="240" w:after="283"/>
        <w:jc w:val="left"/>
        <w:rPr>
          <w:rFonts w:ascii="Times New Roman" w:hAnsi="Times New Roman"/>
          <w:sz w:val="20"/>
        </w:rPr>
      </w:pPr>
      <w:r>
        <w:rPr>
          <w:rFonts w:ascii="Times New Roman" w:hAnsi="Times New Roman"/>
          <w:b/>
          <w:i/>
          <w:color w:val="000000"/>
          <w:sz w:val="20"/>
        </w:rPr>
        <w:t>Section 203 of the Delaware General Corporation Law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the provisions of Section 203 of the DGCL, or Section 203. In general, Section 203 prohibits a publicly-held Delaware corporation from engaging in any business combination with any interested stockholder for a period of three years after the date that such stockholder became an interested stockholder, subject to certain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exceptions.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pStyle w:val="TextBody"/>
        <w:bidi w:val="0"/>
        <w:spacing w:before="240" w:after="283"/>
        <w:jc w:val="left"/>
        <w:rPr>
          <w:rFonts w:ascii="Times New Roman" w:hAnsi="Times New Roman"/>
          <w:sz w:val="20"/>
        </w:rPr>
      </w:pPr>
      <w:r>
        <w:rPr>
          <w:rFonts w:ascii="Times New Roman" w:hAnsi="Times New Roman"/>
          <w:b/>
          <w:i/>
          <w:color w:val="000000"/>
          <w:sz w:val="20"/>
        </w:rPr>
        <w:t>Choice of Forum</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Our Restated Certificate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claims or causes of action under the Delaware statutory or common law: (i) any derivative claim or cause of action brought on our behalf; (ii) any claim or cause of action for a breach of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DGCL, our Restated Certificate, or our Bylaws (as each may be amended from time to time); (iv) any claim or cause of action seeking to interpret, apply, enforce or determine the validity of our Restated Certificate or our Bylaws (as each may be amended from time to time, including any right, obligation, or remedy thereunder); (v) any claim or cause of action as to which the DGCL confers jurisdiction to the Court of Chancery of the State of Delaware; and (vi) any claim or cause of action against us or any of our current or former directors, officers or other employees governed by the internal-affairs doctrine, in all cases to the fullest extent permitted by law and subject to the court’s having personal jurisdiction over the indispensable parties named as defendants. Our Restated Certificate further provides that, unless we consent in writing to the selection of an alternative forum, to the fullest extent permitted by law, the federal district courts of the United States will be the exclusive forum for resolving any complaint asserting a cause or causes of action arising under the Securities Act of 1933, as amended, including all causes of action asserted against a defendant to such complaint. The choice of forum provisions would not apply to claims or causes of action brought to enforce a duty or liability created by the Exchange Act or any other claim for which the federal courts have exclusive jurisdiction.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avoidance of doubt, these provisions are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our Restated Certificate provides that any person or entity holding, owning or otherwise acquiring any interest in any of our securities shall be deemed to have notice of and consented to these provisions. These choice of forum provisions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pStyle w:val="TextBody"/>
        <w:bidi w:val="0"/>
        <w:spacing w:before="240" w:after="283"/>
        <w:jc w:val="left"/>
        <w:rPr>
          <w:rFonts w:ascii="Times New Roman" w:hAnsi="Times New Roman"/>
          <w:sz w:val="20"/>
        </w:rPr>
      </w:pPr>
      <w:r>
        <w:rPr>
          <w:rFonts w:ascii="Times New Roman" w:hAnsi="Times New Roman"/>
          <w:b/>
          <w:color w:val="000000"/>
          <w:sz w:val="20"/>
        </w:rPr>
        <w:t>Limitations on Liability and Indemnification</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Restated Certificate contains provisions that limit the liability of our directors and officers for monetary damages to the fullest extent permitted by Delaware law. Consequently, our directors and officers will not be personally liable to us or our stockholders for monetary damages for any breach of fiduciary duties as directors or officers, except liability of:</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director or an officer for any breach of the director’s or officer’s duty of loyalty to us or its stockholders;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director or an officer for any act or omission not in good faith or that involves intentional misconduct or a knowing violation of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 director pursuant to Section 174 of the DGCL;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director or an officer for any transaction from which the director or officer derived an improper personal benefit;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 officer in any action by or in the right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Such limitation of liability does not apply to liabilities arising under federal securities laws and does not affect the availability of equitable remedies such as injunctive relief or rescission.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Restated Certificate authorizes us to indemnify our directors, officers, employees and other agents to the fullest extent permitted by Delaware law. Each of our Restated Certificate and Bylaws provide that we are required to indemnify our directors and officers, in each case to the fullest extent permitted by Delaware law and may indemnify our other employees and agents. Our Bylaws also obligate us to, on satisfaction of certain conditions,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limitation of liability and indemnification provisions in our Restated Certificate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damages.</w:t>
      </w:r>
    </w:p>
    <w:p>
      <w:pPr>
        <w:pStyle w:val="TextBody"/>
        <w:bidi w:val="0"/>
        <w:jc w:val="left"/>
        <w:rPr>
          <w:rFonts w:ascii="Times New Roman" w:hAnsi="Times New Roman"/>
          <w:sz w:val="20"/>
        </w:rPr>
      </w:pPr>
      <w:r>
        <w:rPr>
          <w:rFonts w:ascii="Times New Roman" w:hAnsi="Times New Roman"/>
          <w:b/>
          <w:color w:val="000000"/>
          <w:sz w:val="20"/>
        </w:rPr>
        <w:t>Exchange Listing</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Our common stock is listed on The Nasdaq Global Select Market under the symbol “ANTX.” </w:t>
      </w:r>
    </w:p>
    <w:p>
      <w:pPr>
        <w:pStyle w:val="TextBody"/>
        <w:bidi w:val="0"/>
        <w:spacing w:before="240" w:after="283"/>
        <w:jc w:val="left"/>
        <w:rPr>
          <w:rFonts w:ascii="Times New Roman" w:hAnsi="Times New Roman"/>
          <w:sz w:val="20"/>
        </w:rPr>
      </w:pPr>
      <w:r>
        <w:rPr>
          <w:rFonts w:ascii="Times New Roman" w:hAnsi="Times New Roman"/>
          <w:b/>
          <w:color w:val="000000"/>
          <w:sz w:val="20"/>
        </w:rPr>
        <w:t>Transfer Agent and Registrar</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The transfer agent and registrar for our common stock is Equiniti Trust Company, LLC. The transfer agent’s address is 28 Liberty Street, 53rd Floor, New York, NY 10005.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40" w:name="antx-ex10_11.htm"/>
      <w:bookmarkStart w:id="41" w:name="ksantxex10_11"/>
      <w:bookmarkEnd w:id="40"/>
      <w:bookmarkEnd w:id="41"/>
      <w:r>
        <w:rPr/>
        <w:drawing>
          <wp:inline distT="0" distB="0" distL="0" distR="0">
            <wp:extent cx="1419225"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0"/>
                    <a:stretch>
                      <a:fillRect/>
                    </a:stretch>
                  </pic:blipFill>
                  <pic:spPr bwMode="auto">
                    <a:xfrm>
                      <a:off x="0" y="0"/>
                      <a:ext cx="1419225" cy="581025"/>
                    </a:xfrm>
                    <a:prstGeom prst="rect">
                      <a:avLst/>
                    </a:prstGeom>
                  </pic:spPr>
                </pic:pic>
              </a:graphicData>
            </a:graphic>
          </wp:inline>
        </w:drawing>
      </w:r>
      <w:r>
        <w:br w:type="page"/>
      </w:r>
    </w:p>
    <w:p>
      <w:pPr>
        <w:pStyle w:val="TextBody"/>
        <w:bidi w:val="0"/>
        <w:spacing w:before="0" w:after="120"/>
        <w:jc w:val="right"/>
        <w:rPr>
          <w:rFonts w:ascii="Times New Roman" w:hAnsi="Times New Roman"/>
          <w:b/>
          <w:smallCaps/>
          <w:color w:val="000000"/>
          <w:sz w:val="22"/>
        </w:rPr>
      </w:pPr>
      <w:r>
        <w:rPr>
          <w:rFonts w:ascii="Times New Roman" w:hAnsi="Times New Roman"/>
          <w:b/>
          <w:smallCaps/>
          <w:color w:val="000000"/>
          <w:sz w:val="22"/>
        </w:rPr>
        <w:t>Exhibit 10.11</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AN2 Therapeutics,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January 29,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Lucy O. Day</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2032 Middlefield Road</w:t>
      </w:r>
    </w:p>
    <w:p>
      <w:pPr>
        <w:pStyle w:val="TextBody"/>
        <w:bidi w:val="0"/>
        <w:jc w:val="both"/>
        <w:rPr>
          <w:rFonts w:ascii="Times New Roman" w:hAnsi="Times New Roman"/>
          <w:color w:val="000000"/>
          <w:sz w:val="22"/>
        </w:rPr>
      </w:pPr>
      <w:r>
        <w:rPr>
          <w:rFonts w:ascii="Times New Roman" w:hAnsi="Times New Roman"/>
          <w:color w:val="000000"/>
          <w:sz w:val="22"/>
        </w:rPr>
        <w:t>Palo Alto, CA 94301</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Re: Amended and Restated Employment Letter Agreement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Dear Lucy: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amended and restated employment letter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amends and restates your employment letter agreement dated November 19, 2019 (the “</w:t>
      </w:r>
      <w:r>
        <w:rPr>
          <w:rFonts w:ascii="Times New Roman" w:hAnsi="Times New Roman"/>
          <w:b/>
          <w:i/>
          <w:color w:val="000000"/>
          <w:sz w:val="22"/>
        </w:rPr>
        <w:t>Prior Agreement</w:t>
      </w:r>
      <w:r>
        <w:rPr>
          <w:rFonts w:ascii="Times New Roman" w:hAnsi="Times New Roman"/>
          <w:color w:val="000000"/>
          <w:sz w:val="20"/>
        </w:rPr>
        <w:t>”</w:t>
      </w:r>
      <w:r>
        <w:rPr>
          <w:rFonts w:ascii="Times New Roman" w:hAnsi="Times New Roman"/>
          <w:color w:val="000000"/>
          <w:sz w:val="22"/>
        </w:rPr>
        <w:t>) and the compensation terms related to your employment as Chief Financial Officer of AN2 Therapeutics,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you (also referred to herein as “</w:t>
      </w:r>
      <w:r>
        <w:rPr>
          <w:rFonts w:ascii="Times New Roman" w:hAnsi="Times New Roman"/>
          <w:b/>
          <w:i/>
          <w:color w:val="000000"/>
          <w:sz w:val="22"/>
        </w:rPr>
        <w:t>Employee</w:t>
      </w:r>
      <w:r>
        <w:rPr>
          <w:rFonts w:ascii="Times New Roman" w:hAnsi="Times New Roman"/>
          <w:color w:val="000000"/>
          <w:sz w:val="20"/>
        </w:rPr>
        <w:t xml:space="preserve">” </w:t>
      </w:r>
      <w:r>
        <w:rPr>
          <w:rFonts w:ascii="Times New Roman" w:hAnsi="Times New Roman"/>
          <w:color w:val="000000"/>
          <w:sz w:val="22"/>
        </w:rPr>
        <w:t>and together, the “</w:t>
      </w:r>
      <w:r>
        <w:rPr>
          <w:rFonts w:ascii="Times New Roman" w:hAnsi="Times New Roman"/>
          <w:b/>
          <w:i/>
          <w:color w:val="000000"/>
          <w:sz w:val="22"/>
        </w:rPr>
        <w:t>Parties</w:t>
      </w:r>
      <w:r>
        <w:rPr>
          <w:rFonts w:ascii="Times New Roman" w:hAnsi="Times New Roman"/>
          <w:color w:val="000000"/>
          <w:sz w:val="20"/>
        </w:rPr>
        <w:t>”</w:t>
      </w:r>
      <w:r>
        <w:rPr>
          <w:rFonts w:ascii="Times New Roman" w:hAnsi="Times New Roman"/>
          <w:color w:val="000000"/>
          <w:sz w:val="22"/>
        </w:rPr>
        <w:t>). This Agreement sets forth the terms of your continued employment with the Company, effective as of February 1,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40"/>
        <w:jc w:val="both"/>
        <w:rPr/>
      </w:pPr>
      <w:r>
        <w:rPr>
          <w:rFonts w:ascii="Times New Roman" w:hAnsi="Times New Roman"/>
          <w:color w:val="000000"/>
          <w:sz w:val="22"/>
          <w:u w:val="single"/>
        </w:rPr>
        <w:t>Terms and Conditions of Employment</w:t>
      </w:r>
      <w:r>
        <w:rPr>
          <w:rFonts w:ascii="Times New Roman" w:hAnsi="Times New Roman"/>
          <w:color w:val="000000"/>
          <w:sz w:val="22"/>
        </w:rPr>
        <w:t xml:space="preserve">. Following the Effective Date, the terms and conditions of Employee’s employment in the capacity of Chief Financial Officer with the Company will be as set forth in this Agreement. </w:t>
      </w:r>
      <w:r>
        <w:rPr>
          <w:rFonts w:ascii="Times New Roman" w:hAnsi="Times New Roman"/>
          <w:color w:val="000000"/>
          <w:sz w:val="23"/>
        </w:rPr>
        <w:t xml:space="preserve">Employee consents to the terms and conditions of employment set forth in this Agreement, including the diminution in Employee’s base salary, bonus, and severance benefits, and agrees that neither such terms and conditions nor the effects of such changes shall constitute Good Reason to terminate employment under the </w:t>
      </w:r>
      <w:r>
        <w:rPr>
          <w:rFonts w:ascii="Times New Roman" w:hAnsi="Times New Roman"/>
          <w:color w:val="000000"/>
          <w:sz w:val="22"/>
        </w:rPr>
        <w:t>Company’s Severance and Change in Control Plan (the “</w:t>
      </w:r>
      <w:r>
        <w:rPr>
          <w:rFonts w:ascii="Times New Roman" w:hAnsi="Times New Roman"/>
          <w:b/>
          <w:i/>
          <w:color w:val="000000"/>
          <w:sz w:val="22"/>
        </w:rPr>
        <w:t>Severance Plan</w:t>
      </w:r>
      <w:r>
        <w:rPr>
          <w:color w:val="000000"/>
        </w:rPr>
        <w:t>”</w:t>
      </w:r>
      <w:r>
        <w:rPr>
          <w:rFonts w:ascii="Times New Roman" w:hAnsi="Times New Roman"/>
          <w:color w:val="000000"/>
          <w:sz w:val="22"/>
        </w:rPr>
        <w:t>)</w:t>
      </w:r>
      <w:r>
        <w:rPr>
          <w:rFonts w:ascii="Times New Roman" w:hAnsi="Times New Roman"/>
          <w:color w:val="000000"/>
          <w:sz w:val="23"/>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u w:val="single"/>
        </w:rPr>
        <w:t>Position</w:t>
      </w:r>
      <w:r>
        <w:rPr>
          <w:rFonts w:ascii="Times New Roman" w:hAnsi="Times New Roman"/>
          <w:color w:val="000000"/>
          <w:sz w:val="22"/>
        </w:rPr>
        <w:t xml:space="preserve">. Employee will continue to serve in the position of Chief Financial Officer, will continue to report to the Company’s Chief Executive Officer, and shall be responsible for the duties customarily associated with this position and such other duties assigned by the Company. Employee will no longer serve as principal accounting officer. This continues to be an exempt position.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u w:val="single"/>
        </w:rPr>
        <w:t>Compensation During Employment Period</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Salary</w:t>
      </w:r>
      <w:r>
        <w:rPr>
          <w:rFonts w:ascii="Times New Roman" w:hAnsi="Times New Roman"/>
          <w:color w:val="000000"/>
          <w:sz w:val="22"/>
        </w:rPr>
        <w:t>. Following the Effective Date, Employee’s base salary (the “</w:t>
      </w:r>
      <w:r>
        <w:rPr>
          <w:rFonts w:ascii="Times New Roman" w:hAnsi="Times New Roman"/>
          <w:b/>
          <w:i/>
          <w:color w:val="000000"/>
          <w:sz w:val="22"/>
        </w:rPr>
        <w:t>Base Salary</w:t>
      </w:r>
      <w:r>
        <w:rPr>
          <w:color w:val="000000"/>
        </w:rPr>
        <w:t>”</w:t>
      </w:r>
      <w:r>
        <w:rPr>
          <w:rFonts w:ascii="Times New Roman" w:hAnsi="Times New Roman"/>
          <w:color w:val="000000"/>
          <w:sz w:val="22"/>
        </w:rPr>
        <w:t>) will be reduced to 75% of the Base Salary or $335,400 (the “</w:t>
      </w:r>
      <w:r>
        <w:rPr>
          <w:rFonts w:ascii="Times New Roman" w:hAnsi="Times New Roman"/>
          <w:b/>
          <w:i/>
          <w:color w:val="000000"/>
          <w:sz w:val="22"/>
        </w:rPr>
        <w:t>75% Base Salary</w:t>
      </w:r>
      <w:r>
        <w:rPr>
          <w:color w:val="000000"/>
        </w:rPr>
        <w:t>”</w:t>
      </w:r>
      <w:r>
        <w:rPr>
          <w:rFonts w:ascii="Times New Roman" w:hAnsi="Times New Roman"/>
          <w:color w:val="000000"/>
          <w:sz w:val="22"/>
        </w:rPr>
        <w:t>) and, starting on April 1, 2026, Employee’s Base Salary will be reduced to 50% of the Base salary or $223,600 (the “</w:t>
      </w:r>
      <w:r>
        <w:rPr>
          <w:rFonts w:ascii="Times New Roman" w:hAnsi="Times New Roman"/>
          <w:b/>
          <w:i/>
          <w:color w:val="000000"/>
          <w:sz w:val="22"/>
        </w:rPr>
        <w:t>50% Base Salary</w:t>
      </w:r>
      <w:r>
        <w:rPr>
          <w:color w:val="000000"/>
        </w:rPr>
        <w:t>”</w:t>
      </w:r>
      <w:r>
        <w:rPr>
          <w:rFonts w:ascii="Times New Roman" w:hAnsi="Times New Roman"/>
          <w:color w:val="000000"/>
          <w:sz w:val="22"/>
        </w:rPr>
        <w:t xml:space="preserve">). Employee’s salary will continue to be paid on the Company’s normal payroll schedule.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Benefits</w:t>
      </w:r>
      <w:r>
        <w:rPr>
          <w:rFonts w:ascii="Times New Roman" w:hAnsi="Times New Roman"/>
          <w:color w:val="000000"/>
          <w:sz w:val="22"/>
        </w:rPr>
        <w:t>. Following the Effective Date, Employee may be eligible to participate in the standard benefits plans offered to similarly situated employees by the Company subject to the terms and conditions of such plans and Company policies. The Company may change Employee’s compensation and benefits from time to time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Stock Awards</w:t>
      </w:r>
      <w:r>
        <w:rPr>
          <w:rFonts w:ascii="Times New Roman" w:hAnsi="Times New Roman"/>
          <w:color w:val="000000"/>
          <w:sz w:val="22"/>
        </w:rPr>
        <w:t xml:space="preserve">. Following the Effective Date, Employee’s Stock Awards (as defined below) outstanding as of the Effective Date shall continue to be eligible to vest in accordance with the terms and conditions of the underlying Stock Award agreements. Employee’s Stock Awards shall continue to be governed by the terms and conditions of the underlying Stock Award agreements and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Company’s equity plan pursuant to which such Stock Awards were granted. For purposes of this Agreement, “</w:t>
      </w:r>
      <w:r>
        <w:rPr>
          <w:rFonts w:ascii="Times New Roman" w:hAnsi="Times New Roman"/>
          <w:b/>
          <w:i/>
          <w:color w:val="000000"/>
          <w:sz w:val="22"/>
        </w:rPr>
        <w:t>Stock Awards</w:t>
      </w:r>
      <w:r>
        <w:rPr>
          <w:color w:val="000000"/>
        </w:rPr>
        <w:t xml:space="preserve">” </w:t>
      </w:r>
      <w:r>
        <w:rPr>
          <w:rFonts w:ascii="Times New Roman" w:hAnsi="Times New Roman"/>
          <w:color w:val="000000"/>
          <w:sz w:val="22"/>
        </w:rPr>
        <w:t>shall mean all stock options, restricted stock units and such other awards granted pursuant to the Company’s stock option and equity incentive award plans or agreements and any shares of stock issued upon exercise thereof. Following the Effective Date, Employee will remain eligible for the grant of additional Stock Awards in accordance with the Company’s annual grant cycle and standard equity grant practices.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Expenses</w:t>
      </w:r>
      <w:r>
        <w:rPr>
          <w:rFonts w:ascii="Times New Roman" w:hAnsi="Times New Roman"/>
          <w:color w:val="000000"/>
          <w:sz w:val="22"/>
        </w:rPr>
        <w:t>. All reasonable business expenses that are documented by Employee and incurred in the ordinary course of business will be reimbursed in accordance with the Company’s standard policies and procedures.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2"/>
          <w:u w:val="single"/>
        </w:rPr>
        <w:t>Annual Bonus</w:t>
      </w:r>
      <w:r>
        <w:rPr>
          <w:rFonts w:ascii="Times New Roman" w:hAnsi="Times New Roman"/>
          <w:color w:val="000000"/>
          <w:sz w:val="22"/>
        </w:rPr>
        <w:t>. Following the Effective Date, Employee will remain eligible to receive an annual discretionary bonus under the Incentive Compensation Plan for the fiscal year ended December 31, 2025 which shall be determined in the sole discretion of the Company and based, in part, on Employee’s performance and the performance of the Company during the calendar year (“</w:t>
      </w:r>
      <w:r>
        <w:rPr>
          <w:rFonts w:ascii="Times New Roman" w:hAnsi="Times New Roman"/>
          <w:b/>
          <w:i/>
          <w:color w:val="000000"/>
          <w:sz w:val="22"/>
        </w:rPr>
        <w:t>Prior Fiscal Year Bonus</w:t>
      </w:r>
      <w:r>
        <w:rPr>
          <w:color w:val="000000"/>
        </w:rPr>
        <w:t>”</w:t>
      </w:r>
      <w:r>
        <w:rPr>
          <w:rFonts w:ascii="Times New Roman" w:hAnsi="Times New Roman"/>
          <w:color w:val="000000"/>
          <w:sz w:val="22"/>
        </w:rPr>
        <w:t xml:space="preserve">). The terms and conditions of the Prior Fiscal Year Bonus shall not be amended or modified pursuant to this Agreement. Following the Effective Date, Employee will continue to be eligible for annual discretionary bonuses under the Incentive Compensation Plan for the fiscal year ended December 31, 2026 and future fiscal years, which shall be determined in the sole discretion of the Company and based, in part, on Employee’s performance and the performance of the Company during the calendar year, and subject to Employee’s continued employment with the Company through the payment date; </w:t>
      </w:r>
      <w:r>
        <w:rPr>
          <w:rFonts w:ascii="Times New Roman" w:hAnsi="Times New Roman"/>
          <w:i/>
          <w:color w:val="000000"/>
          <w:sz w:val="22"/>
        </w:rPr>
        <w:t>provided</w:t>
      </w:r>
      <w:r>
        <w:rPr>
          <w:rFonts w:ascii="Times New Roman" w:hAnsi="Times New Roman"/>
          <w:color w:val="000000"/>
          <w:sz w:val="22"/>
        </w:rPr>
        <w:t xml:space="preserve">, however, that Employee’s bonus amount, expressed as a percentage of Employee’s base salary, shall be based on the then-current base salary (i.e., 75% Base Salary or 50% Base Salary), and for 2026, prorated based on % of time worked, at the time the Compensation Committee of the Company’s Board of Directors determines the terms and conditions of such annual bonuses for the applicable fiscal year.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2"/>
          <w:u w:val="single"/>
        </w:rPr>
        <w:t>Severance</w:t>
      </w:r>
      <w:r>
        <w:rPr>
          <w:rFonts w:ascii="Times New Roman" w:hAnsi="Times New Roman"/>
          <w:color w:val="000000"/>
          <w:sz w:val="22"/>
        </w:rPr>
        <w:t xml:space="preserve">. Following the Effective Date, Employee will continue to participate in the Severance Plan as a Covered Employee (as defined in the Severance Plan) subject to the terms and conditions of the Severance Plan, </w:t>
      </w:r>
      <w:r>
        <w:rPr>
          <w:rFonts w:ascii="Times New Roman" w:hAnsi="Times New Roman"/>
          <w:i/>
          <w:color w:val="000000"/>
          <w:sz w:val="22"/>
        </w:rPr>
        <w:t>provided,</w:t>
      </w:r>
      <w:r>
        <w:rPr>
          <w:color w:val="000000"/>
        </w:rPr>
        <w:t xml:space="preserve"> </w:t>
      </w:r>
      <w:r>
        <w:rPr>
          <w:rFonts w:ascii="Times New Roman" w:hAnsi="Times New Roman"/>
          <w:color w:val="000000"/>
          <w:sz w:val="22"/>
        </w:rPr>
        <w:t>that the following modifications shall be made to Employee’s cash severance benefits under Section 4.2.1(a) only of the Severance Plan and to the continued group health plan continuation coverage under Section 4.2.2 (with respect to involuntary termination not in connection with a change of control only) of the Severance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Involuntary Termination during the period starting on the Effective Date and ending on March 31, 2026</w:t>
      </w:r>
      <w:r>
        <w:rPr>
          <w:rFonts w:ascii="Times New Roman" w:hAnsi="Times New Roman"/>
          <w:color w:val="000000"/>
          <w:sz w:val="22"/>
        </w:rPr>
        <w:t xml:space="preserve">: Employee’s cash lump sum payment shall equal the product of her 75% Base Salary and the relevant factor corresponding to Employee’s Tier level.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Involuntary Termination on or after April 1, 2026</w:t>
      </w:r>
      <w:r>
        <w:rPr>
          <w:rFonts w:ascii="Times New Roman" w:hAnsi="Times New Roman"/>
          <w:color w:val="000000"/>
          <w:sz w:val="22"/>
        </w:rPr>
        <w:t xml:space="preserve">: Employee’s cash lump sum payment shall equal 50% of the relevant factor corresponding to Employee’s Tier level.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Involuntary Termination on or after April 1, 2026</w:t>
      </w:r>
      <w:r>
        <w:rPr>
          <w:rFonts w:ascii="Times New Roman" w:hAnsi="Times New Roman"/>
          <w:color w:val="000000"/>
          <w:sz w:val="22"/>
        </w:rPr>
        <w:t>: Employee’s COBRA Payment Period (as defined in the Severance Plan)</w:t>
      </w:r>
      <w:r>
        <w:rPr>
          <w:color w:val="000000"/>
        </w:rPr>
        <w:t xml:space="preserve"> </w:t>
      </w:r>
      <w:r>
        <w:rPr>
          <w:rFonts w:ascii="Times New Roman" w:hAnsi="Times New Roman"/>
          <w:color w:val="000000"/>
          <w:sz w:val="22"/>
        </w:rPr>
        <w:t>under Section 4.2.2 of the Severance Plan shall be multiplied by 50% (i.e. reduced from nine months to 4.5 months).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2"/>
          <w:u w:val="single"/>
        </w:rPr>
        <w:t>At-Will Employment Relationship</w:t>
      </w:r>
      <w:r>
        <w:rPr>
          <w:rFonts w:ascii="Times New Roman" w:hAnsi="Times New Roman"/>
          <w:color w:val="000000"/>
          <w:sz w:val="22"/>
        </w:rPr>
        <w:t xml:space="preserve">. Employee may terminate Employee’s employment with the Company at any time and for any reason whatsoever simply by notifying the Company. Likewise, the Company may terminate Employee’s employment at any time, with or without cause or advance notice. Employee’s employment at-will status can only be modified in a written agreement signed by Employee and by an officer of the Company. </w:t>
      </w:r>
    </w:p>
    <w:p>
      <w:pPr>
        <w:pStyle w:val="TextBody"/>
        <w:bidi w:val="0"/>
        <w:jc w:val="right"/>
        <w:rPr>
          <w:rFonts w:ascii="Times New Roman" w:hAnsi="Times New Roman"/>
          <w:color w:val="000000"/>
          <w:sz w:val="20"/>
        </w:rPr>
      </w:pPr>
      <w:r>
        <w:rPr>
          <w:rFonts w:ascii="Times New Roman" w:hAnsi="Times New Roman"/>
          <w:color w:val="000000"/>
          <w:sz w:val="20"/>
        </w:rPr>
        <w:t>Page 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2"/>
          <w:u w:val="single"/>
        </w:rPr>
        <w:t>Withholding Taxes</w:t>
      </w:r>
      <w:r>
        <w:rPr>
          <w:rFonts w:ascii="Times New Roman" w:hAnsi="Times New Roman"/>
          <w:color w:val="000000"/>
          <w:sz w:val="22"/>
        </w:rPr>
        <w:t>. All amounts payable to Employee will be subject to reduction to reflect applicable withholding and payroll taxes.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color w:val="000000"/>
          <w:sz w:val="22"/>
          <w:u w:val="single"/>
        </w:rPr>
        <w:t>Compliance with Employee Confidential Information and Inventions Agreement and Company Policies</w:t>
      </w:r>
      <w:r>
        <w:rPr>
          <w:rFonts w:ascii="Times New Roman" w:hAnsi="Times New Roman"/>
          <w:color w:val="000000"/>
          <w:sz w:val="22"/>
        </w:rPr>
        <w:t>. In the performance of services for the Company, Employee acknowledges that Employee will abide by all of the Company’s rules and policies, as in effect from time to time. Employee acknowledges that Employee will continue to be bound by and will abide by the terms of the Company’s Employee Confidential Information and Invention Assignment Agreement effective as of November 20, 2019 (the “</w:t>
      </w:r>
      <w:r>
        <w:rPr>
          <w:rFonts w:ascii="Times New Roman" w:hAnsi="Times New Roman"/>
          <w:b/>
          <w:i/>
          <w:color w:val="000000"/>
          <w:sz w:val="22"/>
        </w:rPr>
        <w:t>Confidential Information and Invention Assignment Agreement</w:t>
      </w:r>
      <w:r>
        <w:rPr>
          <w:color w:val="000000"/>
        </w:rPr>
        <w:t>”</w:t>
      </w:r>
      <w:r>
        <w:rPr>
          <w:rFonts w:ascii="Times New Roman" w:hAnsi="Times New Roman"/>
          <w:color w:val="000000"/>
          <w:sz w:val="22"/>
        </w:rPr>
        <w:t xml:space="preserve">), which Employee previously signed as a condition of employment and which shall remain in full force and effect.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b/>
          <w:color w:val="000000"/>
          <w:sz w:val="22"/>
          <w:u w:val="single"/>
        </w:rPr>
        <w:t>DISPUTE RESOLUTION</w:t>
      </w:r>
      <w:r>
        <w:rPr>
          <w:rFonts w:ascii="Times New Roman" w:hAnsi="Times New Roman"/>
          <w:color w:val="000000"/>
          <w:sz w:val="22"/>
        </w:rPr>
        <w:t>.</w:t>
      </w:r>
      <w:r>
        <w:rPr>
          <w:color w:val="000000"/>
        </w:rPr>
        <w:t xml:space="preserve"> </w:t>
      </w:r>
      <w:r>
        <w:rPr>
          <w:rFonts w:ascii="Times New Roman" w:hAnsi="Times New Roman"/>
          <w:color w:val="000000"/>
          <w:sz w:val="22"/>
        </w:rPr>
        <w:t xml:space="preserve">To ensure the rapid and economical resolution of disputes that may arise in connection with Employee’s employment with the Company, Employee and the Company agree that any and all disputes, claims, or causes of action, in law or equity, including but not limited to statutory claims, arising from or relating to the enforcement, breach, performance, or interpretation of this Agreement, Employee’s employment with the Company, or the termination of Employee’s employment, shall be resolved pursuant to the Federal Arbitration Act, 9 U.S.C. § 1-16, to the fullest extent permitted by law, by final, binding and confidential arbitration conducted by JAMS or its successor, under JAMS’ then applicable rules and procedures for employment disputes before a single arbitrator (available upon request and also currently available at </w:t>
      </w:r>
      <w:r>
        <w:rPr>
          <w:rFonts w:ascii="Times New Roman" w:hAnsi="Times New Roman"/>
          <w:color w:val="000000"/>
          <w:sz w:val="22"/>
          <w:u w:val="single"/>
        </w:rPr>
        <w:t>http://www.jamsadr.com/rules-employment-arbitration/</w:t>
      </w:r>
      <w:r>
        <w:rPr>
          <w:rFonts w:ascii="Times New Roman" w:hAnsi="Times New Roman"/>
          <w:color w:val="000000"/>
          <w:sz w:val="22"/>
        </w:rPr>
        <w:t xml:space="preserve">). </w:t>
      </w:r>
      <w:r>
        <w:rPr>
          <w:rFonts w:ascii="Times New Roman" w:hAnsi="Times New Roman"/>
          <w:b/>
          <w:color w:val="000000"/>
          <w:sz w:val="22"/>
        </w:rPr>
        <w:t>Employee acknowledges that by agreeing to this arbitration procedure, both Employee and the Company waive the right to resolve any such dispute through a trial by jury or judge or administrative proceeding.</w:t>
      </w:r>
      <w:r>
        <w:rPr>
          <w:color w:val="000000"/>
        </w:rPr>
        <w:t xml:space="preserve"> </w:t>
      </w:r>
      <w:r>
        <w:rPr>
          <w:rFonts w:ascii="Times New Roman" w:hAnsi="Times New Roman"/>
          <w:color w:val="000000"/>
          <w:sz w:val="22"/>
        </w:rPr>
        <w:t xml:space="preserve">In addition, all claims, disputes, or causes of action under this section, whether by Employee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to the extent such claims are not permitted by applicable law to be submitted to mandatory arbitration (collectively, the </w:t>
      </w:r>
      <w:r>
        <w:rPr>
          <w:color w:val="000000"/>
        </w:rPr>
        <w:t>“</w:t>
      </w:r>
      <w:r>
        <w:rPr>
          <w:rFonts w:ascii="Times New Roman" w:hAnsi="Times New Roman"/>
          <w:b/>
          <w:i/>
          <w:color w:val="000000"/>
          <w:sz w:val="22"/>
        </w:rPr>
        <w:t>Excluded Claims”</w:t>
      </w:r>
      <w:r>
        <w:rPr>
          <w:rFonts w:ascii="Times New Roman" w:hAnsi="Times New Roman"/>
          <w:i/>
          <w:color w:val="000000"/>
          <w:sz w:val="22"/>
        </w:rPr>
        <w:t xml:space="preserve">). </w:t>
      </w:r>
      <w:r>
        <w:rPr>
          <w:rFonts w:ascii="Times New Roman" w:hAnsi="Times New Roman"/>
          <w:color w:val="000000"/>
          <w:sz w:val="22"/>
        </w:rPr>
        <w:t>In the event Employee intends to bring multiple claims, including one of the Excluded Claims listed above, the Excluded Claims may be publicly filed with a court, while any other claims will remain subject to mandatory arbitration. Employee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Employee or the Company would be entitled to seek in a court of law. The Company shall pay all JAMS arbitration fees in excess of the administrative fees that Employee would be required to pay if the dispute were decided in a court of law. Nothing in this letter agreement is intended to prevent either Employee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jc w:val="right"/>
        <w:rPr>
          <w:rFonts w:ascii="Times New Roman" w:hAnsi="Times New Roman"/>
          <w:color w:val="000000"/>
          <w:sz w:val="20"/>
        </w:rPr>
      </w:pPr>
      <w:r>
        <w:rPr>
          <w:rFonts w:ascii="Times New Roman" w:hAnsi="Times New Roman"/>
          <w:color w:val="000000"/>
          <w:sz w:val="20"/>
        </w:rPr>
        <w:t>Page 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pPr>
      <w:r>
        <w:rPr>
          <w:rFonts w:ascii="Times New Roman" w:hAnsi="Times New Roman"/>
          <w:color w:val="000000"/>
          <w:sz w:val="22"/>
          <w:u w:val="single"/>
        </w:rPr>
        <w:t>Miscellaneous</w:t>
      </w:r>
      <w:r>
        <w:rPr>
          <w:rFonts w:ascii="Times New Roman" w:hAnsi="Times New Roman"/>
          <w:color w:val="000000"/>
          <w:sz w:val="22"/>
        </w:rPr>
        <w:t>.</w:t>
      </w:r>
      <w:r>
        <w:rPr>
          <w:color w:val="000000"/>
        </w:rPr>
        <w:t xml:space="preserve"> </w:t>
      </w:r>
      <w:r>
        <w:rPr>
          <w:rFonts w:ascii="Times New Roman" w:hAnsi="Times New Roman"/>
          <w:color w:val="000000"/>
          <w:sz w:val="22"/>
        </w:rPr>
        <w:t>This Agreement, together with the Confidential Information and Inventions Assignment Agreement, forms the complete and exclusive statement governing Employee’s employment with the Company and supersedes the Prior Agreement and any other agreements or promises made to Employee, whether oral or written. This Agreement will bind the heirs, personal representatives, successors and assigns of Employee and the Company, and inure to the benefit of Employee and the Company, their respective heirs, successors and assigns. If any provision of this Agreement is determined to be invalid or unenforceable, in whole or in part, that determination shall not affect the validity or enforceability of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This Agreement may be executed in counterparts which shall be deemed to be part of one original, and facsimile and electronic signatures shall be equivalent to original signatures.</w:t>
      </w:r>
    </w:p>
    <w:p>
      <w:pPr>
        <w:pStyle w:val="TextBody"/>
        <w:bidi w:val="0"/>
        <w:spacing w:before="0" w:after="16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right"/>
        <w:rPr>
          <w:rFonts w:ascii="Times New Roman" w:hAnsi="Times New Roman"/>
          <w:color w:val="000000"/>
          <w:sz w:val="20"/>
        </w:rPr>
      </w:pPr>
      <w:r>
        <w:rPr>
          <w:rFonts w:ascii="Times New Roman" w:hAnsi="Times New Roman"/>
          <w:color w:val="000000"/>
          <w:sz w:val="20"/>
        </w:rPr>
        <w:t>Page 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Sincerely,</w:t>
      </w:r>
    </w:p>
    <w:p>
      <w:pPr>
        <w:pStyle w:val="TextBody"/>
        <w:bidi w:val="0"/>
        <w:jc w:val="both"/>
        <w:rPr>
          <w:rFonts w:ascii="Times New Roman" w:hAnsi="Times New Roman"/>
          <w:b/>
          <w:smallCaps/>
          <w:color w:val="000000"/>
          <w:sz w:val="22"/>
        </w:rPr>
      </w:pPr>
      <w:r>
        <w:rPr>
          <w:rFonts w:ascii="Times New Roman" w:hAnsi="Times New Roman"/>
          <w:b/>
          <w:smallCaps/>
          <w:color w:val="000000"/>
          <w:sz w:val="22"/>
        </w:rPr>
        <w:t>AN2 Therapeutics, Inc.</w:t>
      </w:r>
    </w:p>
    <w:p>
      <w:pPr>
        <w:pStyle w:val="TextBody"/>
        <w:bidi w:val="0"/>
        <w:jc w:val="both"/>
        <w:rPr/>
      </w:pPr>
      <w:r>
        <w:rPr/>
        <w:t> </w:t>
      </w:r>
    </w:p>
    <w:p>
      <w:pPr>
        <w:pStyle w:val="TextBody"/>
        <w:bidi w:val="0"/>
        <w:jc w:val="both"/>
        <w:rPr/>
      </w:pPr>
      <w:r>
        <w:rPr/>
        <w:t> </w:t>
      </w:r>
    </w:p>
    <w:tbl>
      <w:tblPr>
        <w:tblW w:w="3497" w:type="dxa"/>
        <w:jc w:val="left"/>
        <w:tblInd w:w="0" w:type="dxa"/>
        <w:tblLayout w:type="fixed"/>
        <w:tblCellMar>
          <w:top w:w="28" w:type="dxa"/>
          <w:left w:w="28" w:type="dxa"/>
          <w:bottom w:w="28" w:type="dxa"/>
          <w:right w:w="28" w:type="dxa"/>
        </w:tblCellMar>
      </w:tblPr>
      <w:tblGrid>
        <w:gridCol w:w="421"/>
        <w:gridCol w:w="3076"/>
      </w:tblGrid>
      <w:tr>
        <w:trPr/>
        <w:tc>
          <w:tcPr>
            <w:tcW w:w="42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Easom</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Easom,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ACKNOWLEDGED AND AGREED:</w:t>
            </w:r>
          </w:p>
        </w:tc>
      </w:tr>
      <w:tr>
        <w:trPr/>
        <w:tc>
          <w:tcPr>
            <w:tcW w:w="34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Lucy O. Day</w:t>
            </w:r>
          </w:p>
        </w:tc>
      </w:tr>
      <w:tr>
        <w:trPr/>
        <w:tc>
          <w:tcPr>
            <w:tcW w:w="34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Lucy O. Day</w:t>
            </w:r>
          </w:p>
        </w:tc>
      </w:tr>
    </w:tbl>
    <w:p>
      <w:pPr>
        <w:pStyle w:val="TextBody"/>
        <w:bidi w:val="0"/>
        <w:jc w:val="both"/>
        <w:rPr/>
      </w:pPr>
      <w:r>
        <w:rPr/>
        <w:t> </w:t>
      </w:r>
    </w:p>
    <w:p>
      <w:pPr>
        <w:pStyle w:val="TextBody"/>
        <w:bidi w:val="0"/>
        <w:jc w:val="right"/>
        <w:rPr>
          <w:rFonts w:ascii="Times New Roman" w:hAnsi="Times New Roman"/>
          <w:color w:val="000000"/>
          <w:sz w:val="20"/>
        </w:rPr>
      </w:pPr>
      <w:r>
        <w:rPr>
          <w:rFonts w:ascii="Times New Roman" w:hAnsi="Times New Roman"/>
          <w:color w:val="000000"/>
          <w:sz w:val="20"/>
        </w:rPr>
        <w:t>Page 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antx-ex23_1.htm"/>
      <w:bookmarkStart w:id="43" w:name="ksantxex23_1"/>
      <w:bookmarkEnd w:id="42"/>
      <w:bookmarkEnd w:id="43"/>
      <w:r>
        <w:rPr/>
        <w:t> </w:t>
      </w:r>
      <w:r>
        <w:br w:type="page"/>
      </w:r>
    </w:p>
    <w:p>
      <w:pPr>
        <w:pStyle w:val="TextBody"/>
        <w:bidi w:val="0"/>
        <w:jc w:val="left"/>
        <w:rPr/>
      </w:pPr>
      <w:r>
        <w:rPr/>
        <w:t> </w:t>
      </w:r>
    </w:p>
    <w:p>
      <w:pPr>
        <w:pStyle w:val="TextBody"/>
        <w:bidi w:val="0"/>
        <w:spacing w:before="0" w:after="220"/>
        <w:jc w:val="right"/>
        <w:rPr>
          <w:rFonts w:ascii="Arial" w:hAnsi="Arial"/>
          <w:b/>
          <w:color w:val="000000"/>
          <w:sz w:val="20"/>
        </w:rPr>
      </w:pPr>
      <w:r>
        <w:rPr>
          <w:rFonts w:ascii="Arial" w:hAnsi="Arial"/>
          <w:b/>
          <w:color w:val="000000"/>
          <w:sz w:val="20"/>
        </w:rPr>
        <w:t>Exhibit 23.1</w:t>
      </w:r>
    </w:p>
    <w:p>
      <w:pPr>
        <w:pStyle w:val="TextBody"/>
        <w:bidi w:val="0"/>
        <w:spacing w:before="260" w:after="480"/>
        <w:jc w:val="center"/>
        <w:rPr>
          <w:rFonts w:ascii="Arial" w:hAnsi="Arial"/>
          <w:color w:val="000000"/>
          <w:sz w:val="20"/>
        </w:rPr>
      </w:pPr>
      <w:r>
        <w:rPr>
          <w:rFonts w:ascii="Arial" w:hAnsi="Arial"/>
          <w:color w:val="000000"/>
          <w:sz w:val="20"/>
        </w:rPr>
        <w:t>CONSENT OF INDEPENDENT REGISTERED PUBLIC ACCOUNTING FIRM</w:t>
      </w:r>
    </w:p>
    <w:p>
      <w:pPr>
        <w:pStyle w:val="TextBody"/>
        <w:bidi w:val="0"/>
        <w:spacing w:before="0" w:after="120"/>
        <w:jc w:val="left"/>
        <w:rPr>
          <w:rFonts w:ascii="Times New Roman" w:hAnsi="Times New Roman"/>
          <w:sz w:val="20"/>
        </w:rPr>
      </w:pPr>
      <w:r>
        <w:rPr>
          <w:rFonts w:ascii="Arial" w:hAnsi="Arial"/>
          <w:color w:val="000000"/>
          <w:sz w:val="20"/>
        </w:rPr>
        <w:t>We hereby consent to the incorporation by reference in the Registration Statements on Form S-8 (No. 333-263917, No. 333-270962, No. 333-278399 and No. 333-286094) and S-3 (No. 333-271174) of AN2 Therapeutics, Inc. of our report dated</w:t>
      </w:r>
      <w:r>
        <w:rPr>
          <w:rFonts w:ascii="Times New Roman" w:hAnsi="Times New Roman"/>
          <w:color w:val="000000"/>
          <w:sz w:val="20"/>
        </w:rPr>
        <w:t xml:space="preserve"> </w:t>
      </w:r>
      <w:r>
        <w:rPr>
          <w:rFonts w:ascii="Arial" w:hAnsi="Arial"/>
          <w:color w:val="000000"/>
          <w:sz w:val="20"/>
        </w:rPr>
        <w:t>March 17, 2026 relating to the financial statements, which appears in this Form 10-K.</w:t>
      </w:r>
    </w:p>
    <w:p>
      <w:pPr>
        <w:pStyle w:val="TextBody"/>
        <w:bidi w:val="0"/>
        <w:spacing w:before="120" w:after="283"/>
        <w:jc w:val="left"/>
        <w:rPr/>
      </w:pPr>
      <w:r>
        <w:rPr/>
        <w:t> </w:t>
      </w:r>
    </w:p>
    <w:p>
      <w:pPr>
        <w:pStyle w:val="TextBody"/>
        <w:bidi w:val="0"/>
        <w:jc w:val="left"/>
        <w:rPr>
          <w:rFonts w:ascii="Arial" w:hAnsi="Arial"/>
          <w:color w:val="000000"/>
          <w:sz w:val="20"/>
        </w:rPr>
      </w:pPr>
      <w:r>
        <w:rPr>
          <w:rFonts w:ascii="Arial" w:hAnsi="Arial"/>
          <w:color w:val="000000"/>
          <w:sz w:val="20"/>
        </w:rPr>
        <w:t>/s/ PricewaterhouseCoopers LLP</w:t>
      </w:r>
    </w:p>
    <w:p>
      <w:pPr>
        <w:pStyle w:val="TextBody"/>
        <w:bidi w:val="0"/>
        <w:jc w:val="left"/>
        <w:rPr>
          <w:rFonts w:ascii="Arial" w:hAnsi="Arial"/>
          <w:color w:val="000000"/>
          <w:sz w:val="20"/>
        </w:rPr>
      </w:pPr>
      <w:r>
        <w:rPr>
          <w:rFonts w:ascii="Arial" w:hAnsi="Arial"/>
          <w:color w:val="000000"/>
          <w:sz w:val="20"/>
        </w:rPr>
        <w:t>San Jose, California</w:t>
      </w:r>
    </w:p>
    <w:p>
      <w:pPr>
        <w:pStyle w:val="TextBody"/>
        <w:bidi w:val="0"/>
        <w:jc w:val="left"/>
        <w:rPr>
          <w:rFonts w:ascii="Arial" w:hAnsi="Arial"/>
          <w:color w:val="000000"/>
          <w:sz w:val="20"/>
        </w:rPr>
      </w:pPr>
      <w:r>
        <w:rPr>
          <w:rFonts w:ascii="Arial" w:hAnsi="Arial"/>
          <w:color w:val="000000"/>
          <w:sz w:val="20"/>
        </w:rPr>
        <w:t>March 17,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4" w:name="antx-ex31_1.htm"/>
      <w:bookmarkStart w:id="45" w:name="ksantxex31_1"/>
      <w:bookmarkEnd w:id="44"/>
      <w:bookmarkEnd w:id="45"/>
      <w:r>
        <w:rPr>
          <w:rFonts w:ascii="Arial" w:hAnsi="Arial"/>
          <w:b/>
          <w:color w:val="000000"/>
          <w:sz w:val="20"/>
        </w:rPr>
        <w:t>Exhibit 31.1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Eric Easom,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Annual Report on Form 10-K of AN2 Therapeutics, Inc.;</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1996"/>
        <w:gridCol w:w="109"/>
        <w:gridCol w:w="406"/>
        <w:gridCol w:w="2746"/>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17,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Eric Easom</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b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6" w:name="antx-ex31_2.htm"/>
      <w:bookmarkStart w:id="47" w:name="ksantxex31_2"/>
      <w:bookmarkEnd w:id="46"/>
      <w:bookmarkEnd w:id="47"/>
      <w:r>
        <w:rPr>
          <w:rFonts w:ascii="Arial" w:hAnsi="Arial"/>
          <w:b/>
          <w:color w:val="000000"/>
          <w:sz w:val="20"/>
        </w:rPr>
        <w:t>Exhibit 31.2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left"/>
        <w:rPr>
          <w:rFonts w:ascii="Arial" w:hAnsi="Arial"/>
          <w:color w:val="000000"/>
          <w:sz w:val="20"/>
        </w:rPr>
      </w:pPr>
      <w:r>
        <w:rPr>
          <w:rFonts w:ascii="Arial" w:hAnsi="Arial"/>
          <w:color w:val="000000"/>
          <w:sz w:val="20"/>
        </w:rPr>
        <w:t>I, Lucy O. Day,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Annual Report on Form 10-K of AN2 Therapeutics, Inc.;</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w:t>
      </w:r>
    </w:p>
    <w:p>
      <w:pPr>
        <w:pStyle w:val="TextBody"/>
        <w:bidi w:val="0"/>
        <w:spacing w:before="24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12" w:type="dxa"/>
        <w:jc w:val="left"/>
        <w:tblInd w:w="0" w:type="dxa"/>
        <w:tblLayout w:type="fixed"/>
        <w:tblCellMar>
          <w:top w:w="28" w:type="dxa"/>
          <w:left w:w="28" w:type="dxa"/>
          <w:bottom w:w="28" w:type="dxa"/>
          <w:right w:w="28" w:type="dxa"/>
        </w:tblCellMar>
      </w:tblPr>
      <w:tblGrid>
        <w:gridCol w:w="1996"/>
        <w:gridCol w:w="109"/>
        <w:gridCol w:w="406"/>
        <w:gridCol w:w="2701"/>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17,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Lucy O. Day</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b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8" w:name="antx-ex32_1.htm"/>
      <w:bookmarkStart w:id="49" w:name="ksantxex32_1"/>
      <w:bookmarkEnd w:id="48"/>
      <w:bookmarkEnd w:id="49"/>
      <w:r>
        <w:rPr>
          <w:rFonts w:ascii="Arial" w:hAnsi="Arial"/>
          <w:b/>
          <w:color w:val="000000"/>
          <w:sz w:val="20"/>
        </w:rPr>
        <w:t>Exhibit 32.1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Annual Report of AN2 Therapeutics, Inc. (the “Company”) on Form 10-K for the period ending December 31, 2025 as filed with the Securities and Exchange Commission on the date hereof (the “Report”), I certify, pursuant to the requirement set forth in Rule 13a-14(b) of the Securities Exchange Act of 1934, as amended, (the “Exchange Act”) and Section 1350 of Chapter 63 of Title 18 of the United States Code (18 U.S.C. §1350),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Exchange Act;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1996"/>
        <w:gridCol w:w="109"/>
        <w:gridCol w:w="406"/>
        <w:gridCol w:w="2746"/>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17,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Eric Easom</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50" w:name="antx-ex32_2.htm"/>
      <w:bookmarkStart w:id="51" w:name="ksantxex32_2"/>
      <w:bookmarkEnd w:id="50"/>
      <w:bookmarkEnd w:id="51"/>
      <w:r>
        <w:rPr>
          <w:rFonts w:ascii="Arial" w:hAnsi="Arial"/>
          <w:b/>
          <w:color w:val="000000"/>
          <w:sz w:val="20"/>
        </w:rPr>
        <w:t>Exhibit 32.2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Annual Report of AN2 Therapeutics, Inc. (the “Company”) on Form 10-K for the period ending December 31, 2025 as filed with the Securities and Exchange Commission on the date hereof (the “Report”), I certify, pursuant to the requirement set forth in Rule 13a-14(b) of the Securities Exchange Act of 1934, as amended, (the “Exchange Act”) and Section 1350 of Chapter 63 of Title 18 of the United States Code (18 U.S.C. §1350),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Exchange Act;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12" w:type="dxa"/>
        <w:jc w:val="left"/>
        <w:tblInd w:w="0" w:type="dxa"/>
        <w:tblLayout w:type="fixed"/>
        <w:tblCellMar>
          <w:top w:w="28" w:type="dxa"/>
          <w:left w:w="28" w:type="dxa"/>
          <w:bottom w:w="28" w:type="dxa"/>
          <w:right w:w="28" w:type="dxa"/>
        </w:tblCellMar>
      </w:tblPr>
      <w:tblGrid>
        <w:gridCol w:w="1996"/>
        <w:gridCol w:w="109"/>
        <w:gridCol w:w="406"/>
        <w:gridCol w:w="2701"/>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17,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7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Lucy O. Day</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br/>
              <w:t>(Principal Financial Officer)</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80438/000119312524166938/d860451dex31.htm" TargetMode="External"/><Relationship Id="rId4" Type="http://schemas.openxmlformats.org/officeDocument/2006/relationships/hyperlink" Target="https://www.sec.gov/Archives/edgar/data/1880438/000119312524166938/d860451dex31.htm" TargetMode="External"/><Relationship Id="rId5" Type="http://schemas.openxmlformats.org/officeDocument/2006/relationships/hyperlink" Target="https://www.sec.gov/Archives/edgar/data/1880438/000119312522066048/d211954dex34.htm" TargetMode="External"/><Relationship Id="rId6" Type="http://schemas.openxmlformats.org/officeDocument/2006/relationships/hyperlink" Target="https://www.sec.gov/Archives/edgar/data/1880438/000119312524202430/d879523dex31.htm" TargetMode="External"/><Relationship Id="rId7" Type="http://schemas.openxmlformats.org/officeDocument/2006/relationships/hyperlink" Target="https://www.sec.gov/Archives/edgar/data/1880438/000119312522080012/d211954dex41.htm" TargetMode="External"/><Relationship Id="rId8" Type="http://schemas.openxmlformats.org/officeDocument/2006/relationships/hyperlink" Target="https://www.sec.gov/Archives/edgar/data/1880438/000119312522066048/d211954dex42.htm" TargetMode="External"/><Relationship Id="rId9" Type="http://schemas.openxmlformats.org/officeDocument/2006/relationships/hyperlink" Target="https://www.sec.gov/Archives/edgar/data/1880438/000119312525143187/d50241dex41.htm" TargetMode="External"/><Relationship Id="rId10" Type="http://schemas.openxmlformats.org/officeDocument/2006/relationships/hyperlink" Target="https://www.sec.gov/Archives/edgar/data/1880438/000119312526099169/d14366dex41.htm" TargetMode="External"/><Relationship Id="rId11" Type="http://schemas.openxmlformats.org/officeDocument/2006/relationships/hyperlink" Target="https://www.sec.gov/Archives/edgar/data/1880438/000119312522066048/d211954dex101.htm" TargetMode="External"/><Relationship Id="rId12" Type="http://schemas.openxmlformats.org/officeDocument/2006/relationships/hyperlink" Target="https://www.sec.gov/Archives/edgar/data/1880438/000119312522066048/d211954dex102.htm" TargetMode="External"/><Relationship Id="rId13" Type="http://schemas.openxmlformats.org/officeDocument/2006/relationships/hyperlink" Target="https://www.sec.gov/Archives/edgar/data/1880438/000095017024038681/antx-ex10_3.htm" TargetMode="External"/><Relationship Id="rId14" Type="http://schemas.openxmlformats.org/officeDocument/2006/relationships/hyperlink" Target="https://www.sec.gov/Archives/edgar/data/1880438/000119312522066048/d211954dex104.htm" TargetMode="External"/><Relationship Id="rId15" Type="http://schemas.openxmlformats.org/officeDocument/2006/relationships/hyperlink" Target="https://www.sec.gov/Archives/edgar/data/1880438/000095017024038681/antx-ex10_5.htm" TargetMode="External"/><Relationship Id="rId16" Type="http://schemas.openxmlformats.org/officeDocument/2006/relationships/hyperlink" Target="https://www.sec.gov/Archives/edgar/data/1880438/000095017024038681/antx-ex10_6.htm" TargetMode="External"/><Relationship Id="rId17" Type="http://schemas.openxmlformats.org/officeDocument/2006/relationships/hyperlink" Target="https://www.sec.gov/Archives/edgar/data/1880438/000095017025107301/antx-ex10_1.htm" TargetMode="External"/><Relationship Id="rId18" Type="http://schemas.openxmlformats.org/officeDocument/2006/relationships/hyperlink" Target="https://www.sec.gov/Archives/edgar/data/1880438/000119312522066048/d211954dex108.htm" TargetMode="External"/><Relationship Id="rId19" Type="http://schemas.openxmlformats.org/officeDocument/2006/relationships/hyperlink" Target="https://www.sec.gov/Archives/edgar/data/1880438/000119312522066048/d211954dex109.htm" TargetMode="External"/><Relationship Id="rId20" Type="http://schemas.openxmlformats.org/officeDocument/2006/relationships/hyperlink" Target="https://www.sec.gov/Archives/edgar/data/1880438/000119312522066048/d211954dex1010.htm" TargetMode="External"/><Relationship Id="rId21" Type="http://schemas.openxmlformats.org/officeDocument/2006/relationships/hyperlink" Target="https://www.sec.gov/Archives/edgar/data/1880438/000119312522066048/d211954dex1013.htm" TargetMode="External"/><Relationship Id="rId22" Type="http://schemas.openxmlformats.org/officeDocument/2006/relationships/hyperlink" Target="https://www.sec.gov/Archives/edgar/data/1880438/000119312522066048/d211954dex1014.htm" TargetMode="External"/><Relationship Id="rId23" Type="http://schemas.openxmlformats.org/officeDocument/2006/relationships/hyperlink" Target="https://www.sec.gov/Archives/edgar/data/1880438/000119312522066048/d211954dex1015.htm" TargetMode="External"/><Relationship Id="rId24" Type="http://schemas.openxmlformats.org/officeDocument/2006/relationships/hyperlink" Target="https://www.sec.gov/Archives/edgar/data/1880438/000095017022023901/antx-ex10_1.htm" TargetMode="External"/><Relationship Id="rId25" Type="http://schemas.openxmlformats.org/officeDocument/2006/relationships/hyperlink" Target="https://www.sec.gov/Archives/edgar/data/1880438/000095017025044366/antx-ex10_18.htm" TargetMode="External"/><Relationship Id="rId26" Type="http://schemas.openxmlformats.org/officeDocument/2006/relationships/hyperlink" Target="https://www.sec.gov/Archives/edgar/data/1880438/000119312526099169/d14366dex101.htm" TargetMode="External"/><Relationship Id="rId27" Type="http://schemas.openxmlformats.org/officeDocument/2006/relationships/hyperlink" Target="https://www.sec.gov/Archives/edgar/data/1880438/000119312526099169/d14366dex102.htm" TargetMode="External"/><Relationship Id="rId28" Type="http://schemas.openxmlformats.org/officeDocument/2006/relationships/hyperlink" Target="https://www.sec.gov/Archives/edgar/data/1880438/000095017025044366/antx-ex19_1.htm" TargetMode="External"/><Relationship Id="rId29" Type="http://schemas.openxmlformats.org/officeDocument/2006/relationships/hyperlink" Target="https://www.sec.gov/Archives/edgar/data/1880438/000095017024038681/antx-ex97_1.htm" TargetMode="External"/><Relationship Id="rId30" Type="http://schemas.openxmlformats.org/officeDocument/2006/relationships/image" Target="media/image2.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80469</Words>
  <Characters>451810</Characters>
  <CharactersWithSpaces>531626</CharactersWithSpaces>
  <Paragraphs>5519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