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Trenor Cameron C.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AN2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 EL CAMINO REAL,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AN2 Therapeutics, Inc.</w:t>
              </w:r>
            </w:hyperlink>
            <w:r>
              <w:rPr/>
              <w:t xml:space="preserve"> [ </w:t>
            </w:r>
            <w:r>
              <w:rPr>
                <w:rFonts w:ascii="Times;serif" w:hAnsi="Times;serif"/>
                <w:color w:val="0000FF"/>
                <w:sz w:val="24"/>
                <w:shd w:fill="FFFFFF" w:val="clear"/>
              </w:rPr>
              <w:t>ANTX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116,667</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116,667</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233,333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233,333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which vest as follows: 10,400 RSUs vest on January 1, 2027, prorated from August 24, 2026, the vesting start date, and the remaining RSUs vest in equal annual installments on each January 1, 2028, January 1, 2029 and January 1, 2030, subject to the Reporting Person's continuous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stock option vest as follows: 25% of the shares vest on August 24, 2027 and the remaining shares vest in equal monthly installments over the subsequent 36 months, subject to the Reporting Person's continuous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Easom, Attorney-in-Fact for Cameron Trenor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478" TargetMode="External"/><Relationship Id="rId5" Type="http://schemas.openxmlformats.org/officeDocument/2006/relationships/hyperlink" Target="http://www.sec.gov/cgi-bin/browse-edgar?action=getcompany&amp;CIK=00018804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3755</Characters>
  <CharactersWithSpaces>4370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