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Readnour Robin Shane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AN2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AN2 Therapeutics, Inc.</w:t>
              </w:r>
            </w:hyperlink>
            <w:r>
              <w:rPr/>
              <w:t xml:space="preserve"> [ </w:t>
            </w:r>
            <w:r>
              <w:rPr>
                <w:rFonts w:ascii="Times;serif" w:hAnsi="Times;serif"/>
                <w:color w:val="0000FF"/>
                <w:sz w:val="24"/>
                <w:shd w:fill="FFFFFF" w:val="clear"/>
              </w:rPr>
              <w:t>ANTX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828"/>
        <w:gridCol w:w="439"/>
        <w:gridCol w:w="881"/>
        <w:gridCol w:w="1138"/>
        <w:gridCol w:w="98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6.0698</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562,715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6.0698</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630,644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(4)(6)</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6.0183</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557,990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6.0183</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625,350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(4)(6)</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of shares occurred automatically pursuant to a Rule 10b5-1 trading plan adopted by MGC Venture Partners 2018, LP ("MGC 2018 LP") on April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shares occurred automatically pursuant to a Rule 10b5-1 trading plan adopted by MGC Venture Partners QP 2018, LP ("MGC 2018 QP") on April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multiple transactions ranging from $6.000 to $6.085, inclusive. The reporting person undertakes to provide to the issuer, any security holder of the issuer, or the staff of the Securities and Exchange Commission, upon request, full information regarding the number of shares sold at each separate price within the price range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MGC Venture Partners 2018 GP, LLC ("MGC 2018 GP") is the general partner of MGC 2018 LP and MGC 2018 QP. MGC 2018 GP has shared voting and shared dispositive power over the shares held by MGC 2018 LP and MGC 2018 QP. The Reporting Person is a member of the Issuer's board of directors and is a member of MGC 2018 QP and MGC 2018 LP and a managing partner of MGC 2018 GP and has shared voting power and shared dispositive power over the shares of common stock held by MGC 2018 LP and MGC 2018 QP. The Reporting Person disclaims beneficial ownership of the securities, except to the extent of such person's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MGC 2018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directly by MGC 2018 QP.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Easom, Attorney-in-Fact for Robin Shane Readnour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4883" TargetMode="External"/><Relationship Id="rId5" Type="http://schemas.openxmlformats.org/officeDocument/2006/relationships/hyperlink" Target="http://www.sec.gov/cgi-bin/browse-edgar?action=getcompany&amp;CIK=00018804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4553</Characters>
  <CharactersWithSpaces>5316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