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Patricia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18,863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cash compensation under the issuer's non-employee director compensation policy. All shares vest immediately.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Day, Attorney-in-Fact for Patricia A. Martin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764" TargetMode="External"/><Relationship Id="rId5" Type="http://schemas.openxmlformats.org/officeDocument/2006/relationships/hyperlink" Target="http://www.sec.gov/cgi-bin/browse-edgar?action=getcompany&amp;CIK=0001880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3203</Characters>
  <CharactersWithSpaces>3732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