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tx-20260511.htm"/>
      <w:bookmarkStart w:id="1" w:name="ksantx202605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AN2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1"/>
        <w:gridCol w:w="904"/>
        <w:gridCol w:w="909"/>
        <w:gridCol w:w="1846"/>
        <w:gridCol w:w="1336"/>
      </w:tblGrid>
      <w:tr>
        <w:trPr/>
        <w:tc>
          <w:tcPr>
            <w:tcW w:w="99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82-0606654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1300 El Camino Real, 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331-9090</w:t>
            </w:r>
          </w:p>
        </w:tc>
      </w:tr>
    </w:tbl>
    <w:p>
      <w:pPr>
        <w:pStyle w:val="TextBody"/>
        <w:bidi w:val="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AN2 Therapeutics, Inc.</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El Camino Real, Suite D</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 94027</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May 11, 2026, AN2 Therapeutics, Inc. (the “Company”) issued a press release announcing its financial results for the first quarter ended March 31, 2026. The full text of the press release is attached hereto as Exhibit 99.1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99_1.htm">
              <w:r>
                <w:rPr>
                  <w:rStyle w:val="InternetLink"/>
                  <w:rFonts w:ascii="Times New Roman" w:hAnsi="Times New Roman"/>
                  <w:color w:val="0000FF"/>
                  <w:sz w:val="20"/>
                  <w:u w:val="single"/>
                </w:rPr>
                <w:t>Press Release of AN2 Therapeutics Inc. dated May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49" w:type="dxa"/>
        <w:jc w:val="left"/>
        <w:tblInd w:w="0" w:type="dxa"/>
        <w:tblLayout w:type="fixed"/>
        <w:tblCellMar>
          <w:top w:w="28" w:type="dxa"/>
          <w:left w:w="28" w:type="dxa"/>
          <w:bottom w:w="28" w:type="dxa"/>
          <w:right w:w="28" w:type="dxa"/>
        </w:tblCellMar>
      </w:tblPr>
      <w:tblGrid>
        <w:gridCol w:w="556"/>
        <w:gridCol w:w="1246"/>
        <w:gridCol w:w="451"/>
        <w:gridCol w:w="259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AN2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9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Eric Easom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Eric Easom</w:t>
              <w:b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antx-ex99_1.htm"/>
      <w:bookmarkStart w:id="3" w:name="ksantx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b/>
          <w:color w:val="000000"/>
          <w:sz w:val="26"/>
        </w:rPr>
        <w:br/>
      </w:r>
      <w:r>
        <w:rPr>
          <w:rFonts w:ascii="Times New Roman" w:hAnsi="Times New Roman"/>
          <w:color w:val="000000"/>
          <w:sz w:val="20"/>
        </w:rPr>
        <w:t> </w:t>
      </w:r>
    </w:p>
    <w:p>
      <w:pPr>
        <w:pStyle w:val="TextBody"/>
        <w:bidi w:val="0"/>
        <w:jc w:val="center"/>
        <w:rPr>
          <w:rFonts w:ascii="Times New Roman" w:hAnsi="Times New Roman"/>
          <w:b/>
          <w:color w:val="000000"/>
          <w:sz w:val="25"/>
        </w:rPr>
      </w:pPr>
      <w:r>
        <w:rPr>
          <w:rFonts w:ascii="Times New Roman" w:hAnsi="Times New Roman"/>
          <w:b/>
          <w:color w:val="000000"/>
          <w:sz w:val="25"/>
        </w:rPr>
        <w:t>AN2 Therapeutics Reports First Quarter 2026 Financial Results and Recent Business and Scientific Highlights</w:t>
      </w:r>
    </w:p>
    <w:p>
      <w:pPr>
        <w:pStyle w:val="TextBody"/>
        <w:bidi w:val="0"/>
        <w:jc w:val="center"/>
        <w:rPr>
          <w:rFonts w:ascii="Times New Roman" w:hAnsi="Times New Roman"/>
          <w:i/>
          <w:color w:val="000000"/>
          <w:sz w:val="20"/>
        </w:rPr>
      </w:pPr>
      <w:r>
        <w:rPr>
          <w:rFonts w:ascii="Times New Roman" w:hAnsi="Times New Roman"/>
          <w:i/>
          <w:color w:val="000000"/>
          <w:sz w:val="20"/>
        </w:rPr>
        <w:t>Oral epetraborole program in polycythemia vera advancing toward Phase 2</w:t>
      </w:r>
    </w:p>
    <w:p>
      <w:pPr>
        <w:pStyle w:val="TextBody"/>
        <w:bidi w:val="0"/>
        <w:jc w:val="center"/>
        <w:rPr>
          <w:rFonts w:ascii="Times New Roman" w:hAnsi="Times New Roman"/>
          <w:i/>
          <w:color w:val="000000"/>
          <w:sz w:val="20"/>
        </w:rPr>
      </w:pPr>
      <w:r>
        <w:rPr>
          <w:rFonts w:ascii="Times New Roman" w:hAnsi="Times New Roman"/>
          <w:i/>
          <w:color w:val="000000"/>
          <w:sz w:val="20"/>
        </w:rPr>
        <w:t>Phase 2 investigator-initiated trial with epetraborole for M. abscessus lung disease underway</w:t>
      </w:r>
    </w:p>
    <w:p>
      <w:pPr>
        <w:pStyle w:val="TextBody"/>
        <w:bidi w:val="0"/>
        <w:jc w:val="center"/>
        <w:rPr>
          <w:rFonts w:ascii="Times New Roman" w:hAnsi="Times New Roman"/>
          <w:i/>
          <w:color w:val="000000"/>
          <w:sz w:val="20"/>
        </w:rPr>
      </w:pPr>
      <w:r>
        <w:rPr>
          <w:rFonts w:ascii="Times New Roman" w:hAnsi="Times New Roman"/>
          <w:i/>
          <w:color w:val="000000"/>
          <w:sz w:val="20"/>
        </w:rPr>
        <w:t>Data expected in 2Q/2026 from two studies of oral AN2-502998, under development for chronic Chagas disease: a Phase 1 first-in-human clinical trial and a non-human primate efficacy study</w:t>
      </w:r>
    </w:p>
    <w:p>
      <w:pPr>
        <w:pStyle w:val="TextBody"/>
        <w:bidi w:val="0"/>
        <w:jc w:val="center"/>
        <w:rPr>
          <w:rFonts w:ascii="Times New Roman" w:hAnsi="Times New Roman"/>
          <w:i/>
          <w:color w:val="000000"/>
          <w:sz w:val="20"/>
        </w:rPr>
      </w:pPr>
      <w:r>
        <w:rPr>
          <w:rFonts w:ascii="Times New Roman" w:hAnsi="Times New Roman"/>
          <w:i/>
          <w:color w:val="000000"/>
          <w:sz w:val="20"/>
        </w:rPr>
        <w:t>Declared ENPP1 candidate for solid tumors advancing from early research into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Menlo Park, CA – May 11, 2026 – AN2 Therapeutics, Inc. (Nasdaq: ANTX), a clinical stage biopharmaceutical company focused on the discovery and development of novel small molecule therapeutics derived from its boron chemistry platform, today reported financial results for the first quarter ended March 31, 2026.</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was an important quarter for AN2 as we announced an exciting new program in polycythemia vera that is planned to enter Phase 2 development in the third quarter of 2026. This program is supported by what we believe is a robust package of epetraborole preclinical and clinical enabling data. We commenced an investigator-initiated Phase 2 study in M. abscessus lung disease, completed dosing in a Phase 1 study for our Chagas disease program, and declared our ENPP1 candidate for the treatment of solid tumors, as well as strengthened our balance sheet,” said Eric Easom, Co-Founder, Chairman, President and CEO of AN2 Therapeutics. “Looking ahead, we expect to advance three programs into Phase 2 development this year and report multiple data readouts within our cash runway into 2029. I couldn’t be more excited about our progress and the potential to substantially improve the lives of patients across our diverse portfolio that is enabled by our boron chemistry pipeline.”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First Quarter &amp; Recent Business Updates:</w:t>
      </w:r>
    </w:p>
    <w:p>
      <w:pPr>
        <w:pStyle w:val="TextBody"/>
        <w:bidi w:val="0"/>
        <w:spacing w:before="100" w:after="100"/>
        <w:jc w:val="left"/>
        <w:rPr>
          <w:rFonts w:ascii="Times New Roman" w:hAnsi="Times New Roman"/>
          <w:b/>
          <w:color w:val="000000"/>
          <w:sz w:val="20"/>
        </w:rPr>
      </w:pPr>
      <w:r>
        <w:rPr>
          <w:rFonts w:ascii="Times New Roman" w:hAnsi="Times New Roman"/>
          <w:b/>
          <w:color w:val="000000"/>
          <w:sz w:val="20"/>
        </w:rPr>
        <w:t>Polycythemia vera</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Advancing oral epetraborole into a Phase 2 trial for polycythemia vera</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2026, the Company outlined plans to expand the development of oral epetraborole into a Phase 2 proof-of-concept clinical study in adults with phlebotomy-dependent polycythemia vera (PV).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such as burdensome periodic therapeutic phlebotomies, many patients experience uncontrolled hematocrit levels and persistent symptoms, requiring long-term management to maintain adequate disease control. PV is estimated to affect approximately 155,000 people in the U.S.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proceeding through the regulatory process and plans to initiate the Phase 2 clinical trial in the third quarter of 2026. Subject to regulatory clearance and enrollment progress, the Company expects to provide periodic data readouts beginning as early as the fourth quarter of 2026 and throughout 2027.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i/>
          <w:color w:val="000000"/>
          <w:sz w:val="20"/>
        </w:rPr>
        <w:t>M. abscessus</w:t>
      </w:r>
      <w:r>
        <w:rPr>
          <w:rFonts w:ascii="Times New Roman" w:hAnsi="Times New Roman"/>
          <w:color w:val="000000"/>
          <w:sz w:val="20"/>
        </w:rPr>
        <w:t xml:space="preserve"> </w:t>
      </w:r>
      <w:r>
        <w:rPr>
          <w:rFonts w:ascii="Times New Roman" w:hAnsi="Times New Roman"/>
          <w:b/>
          <w:color w:val="000000"/>
          <w:sz w:val="20"/>
        </w:rPr>
        <w:t>complex lung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Commenced Phase 2 investigator-initiated clinical trial of epetraborole in patients with M. abscessus lung disease</w:t>
      </w:r>
    </w:p>
    <w:p>
      <w:pPr>
        <w:pStyle w:val="TextBody"/>
        <w:bidi w:val="0"/>
        <w:jc w:val="left"/>
        <w:rPr>
          <w:rFonts w:ascii="Times New Roman" w:hAnsi="Times New Roman"/>
          <w:sz w:val="20"/>
        </w:rPr>
      </w:pPr>
      <w:r>
        <w:rPr>
          <w:rFonts w:ascii="Times New Roman" w:hAnsi="Times New Roman"/>
          <w:color w:val="000000"/>
          <w:sz w:val="20"/>
        </w:rPr>
        <w:t xml:space="preserve">Building on the microbiological and safety data from AN2’s prior non-tuberculous mycobacterial (NTM) study, the Company believes that epetraborole has the potential to address a critical unmet need in </w:t>
      </w:r>
      <w:r>
        <w:rPr>
          <w:rFonts w:ascii="Times New Roman" w:hAnsi="Times New Roman"/>
          <w:i/>
          <w:color w:val="000000"/>
          <w:sz w:val="20"/>
        </w:rPr>
        <w:t xml:space="preserve">M. abscessus </w:t>
      </w:r>
      <w:r>
        <w:rPr>
          <w:rFonts w:ascii="Times New Roman" w:hAnsi="Times New Roman"/>
          <w:color w:val="000000"/>
          <w:sz w:val="20"/>
        </w:rPr>
        <w:t xml:space="preserve">lung disease, one of the most difficult-to-treat NTM infections and one for which no FDA-approved therapy exists. </w:t>
      </w:r>
      <w:r>
        <w:rPr>
          <w:rFonts w:ascii="Times New Roman" w:hAnsi="Times New Roman"/>
          <w:i/>
          <w:color w:val="000000"/>
          <w:sz w:val="20"/>
        </w:rPr>
        <w:t>M. abscessus</w:t>
      </w:r>
      <w:r>
        <w:rPr>
          <w:rFonts w:ascii="Times New Roman" w:hAnsi="Times New Roman"/>
          <w:color w:val="000000"/>
          <w:sz w:val="20"/>
        </w:rPr>
        <w:t xml:space="preserve"> lung disease is a serious NTM infection requiring prolonged therapy, initially often with IV-only antibiotics. People affected by this illness face limited, burdensome treatment options and high rates of morbidity and 5-year mortality. NTM lung disease represents a growing global health concern. It is estimated that approximately 120,000–150,000 people in the U.S. are living with NTM lung disease, of which 10-15% are caused by </w:t>
      </w:r>
      <w:r>
        <w:rPr>
          <w:rFonts w:ascii="Times New Roman" w:hAnsi="Times New Roman"/>
          <w:i/>
          <w:color w:val="000000"/>
          <w:sz w:val="20"/>
        </w:rPr>
        <w:t>M. abscessus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is supporting an investigator-initiated trial and anticipates that data from this study, if positive, could provide clinical proof-of-concept in </w:t>
      </w:r>
      <w:r>
        <w:rPr>
          <w:rFonts w:ascii="Times New Roman" w:hAnsi="Times New Roman"/>
          <w:i/>
          <w:color w:val="000000"/>
          <w:sz w:val="20"/>
        </w:rPr>
        <w:t>M. abscessus</w:t>
      </w:r>
      <w:r>
        <w:rPr>
          <w:rFonts w:ascii="Times New Roman" w:hAnsi="Times New Roman"/>
          <w:color w:val="000000"/>
          <w:sz w:val="20"/>
        </w:rPr>
        <w:t xml:space="preserve"> lung disease and thereby inform the design of a subsequent pivotal trial. Patient screening commenced in March 2026. The multicenter, randomized, double-blind, placebo-controlled, prospective clinical study is being led by Dr. Kevin Winthrop, Professor of Public Health and Infectious Diseases at the Oregon Health and Sciences University, in conjunction with other investigators across an estimated 10-15 sites in the U.S. The Company anticipates reporting topline results in late 2027, subject to regulatory clearance and enrollment progress.</w:t>
      </w:r>
    </w:p>
    <w:p>
      <w:pPr>
        <w:pStyle w:val="TextBody"/>
        <w:bidi w:val="0"/>
        <w:jc w:val="left"/>
        <w:rPr/>
      </w:pPr>
      <w:r>
        <w:rPr/>
        <w:t> </w:t>
      </w:r>
    </w:p>
    <w:p>
      <w:pPr>
        <w:pStyle w:val="TextBody"/>
        <w:bidi w:val="0"/>
        <w:spacing w:before="100" w:after="100"/>
        <w:jc w:val="left"/>
        <w:rPr>
          <w:rFonts w:ascii="Times New Roman" w:hAnsi="Times New Roman"/>
          <w:b/>
          <w:color w:val="000000"/>
          <w:sz w:val="20"/>
        </w:rPr>
      </w:pPr>
      <w:r>
        <w:rPr>
          <w:rFonts w:ascii="Times New Roman" w:hAnsi="Times New Roman"/>
          <w:b/>
          <w:color w:val="000000"/>
          <w:sz w:val="20"/>
        </w:rPr>
        <w:t>Chagas disease</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Oral AN2-502998: Phase 1 first-in-human clinical trial and non-human primate data expected 2Q/2026; Phase 2 proof-of-concept study planned to initiate in 2026 pending results of Phase 1 study</w:t>
      </w:r>
    </w:p>
    <w:p>
      <w:pPr>
        <w:pStyle w:val="TextBody"/>
        <w:bidi w:val="0"/>
        <w:jc w:val="left"/>
        <w:rPr>
          <w:rFonts w:ascii="Times New Roman" w:hAnsi="Times New Roman"/>
          <w:color w:val="000000"/>
          <w:sz w:val="20"/>
        </w:rPr>
      </w:pPr>
      <w:r>
        <w:rPr>
          <w:rFonts w:ascii="Times New Roman" w:hAnsi="Times New Roman"/>
          <w:color w:val="000000"/>
          <w:sz w:val="20"/>
        </w:rPr>
        <w:t>In March 2026, the Company completed dosing all cohorts in the Phase 1 first-in-human trial of oral AN2-502998, an investigational, boron-based small molecule in development for the treatment of chronic Chagas disease, or American trypanosomiasis. In the second quarter of 2026, the Company anticipates reporting Phase 1 data from this study, as well as results from a non-human primate (NHP) study that tested the curative potential of AN2-502998 with a 28-day dosing duration. AN2-502998 is the only compound of which the Company is aware to have demonstrated curative activity in preclinical studies across multiple species, including in NHPs with long-term, naturally acquired, chronic infections caused by diverse T. cruzi genetic types. Because NHP infections are naturally acquired in the environment, these efficacy data may be more predictive of efficacy in human clinical trials than other animal models. The Company expects to initiate a Phase 2 proof-of-concept study in adults with chronic Chagas disease later in 2026, pending results of the Phase 1 study.</w:t>
      </w:r>
    </w:p>
    <w:p>
      <w:pPr>
        <w:pStyle w:val="TextBody"/>
        <w:bidi w:val="0"/>
        <w:jc w:val="left"/>
        <w:rPr/>
      </w:pPr>
      <w:r>
        <w:rPr/>
        <w:t> </w:t>
      </w:r>
    </w:p>
    <w:p>
      <w:pPr>
        <w:pStyle w:val="TextBody"/>
        <w:bidi w:val="0"/>
        <w:spacing w:before="100" w:after="100"/>
        <w:jc w:val="left"/>
        <w:rPr>
          <w:rFonts w:ascii="Times New Roman" w:hAnsi="Times New Roman"/>
          <w:sz w:val="20"/>
        </w:rPr>
      </w:pPr>
      <w:r>
        <w:rPr>
          <w:rFonts w:ascii="Times New Roman" w:hAnsi="Times New Roman"/>
          <w:b/>
          <w:color w:val="000000"/>
          <w:sz w:val="20"/>
        </w:rPr>
        <w:t>Boron chemistry pipeline</w:t>
      </w:r>
      <w:r>
        <w:rPr>
          <w:rFonts w:ascii="Times New Roman" w:hAnsi="Times New Roman"/>
          <w:color w:val="000000"/>
          <w:sz w:val="20"/>
        </w:rPr>
        <w:t xml:space="preserve"> </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Declared ENPP1 candidate for the potential treatment of solid tumors</w:t>
      </w:r>
    </w:p>
    <w:p>
      <w:pPr>
        <w:pStyle w:val="TextBody"/>
        <w:bidi w:val="0"/>
        <w:jc w:val="left"/>
        <w:rPr>
          <w:rFonts w:ascii="Times New Roman" w:hAnsi="Times New Roman"/>
          <w:color w:val="000000"/>
          <w:sz w:val="20"/>
        </w:rPr>
      </w:pPr>
      <w:r>
        <w:rPr>
          <w:rFonts w:ascii="Times New Roman" w:hAnsi="Times New Roman"/>
          <w:color w:val="000000"/>
          <w:sz w:val="20"/>
        </w:rPr>
        <w:t>The Company is prioritizing targets in oncology and bone disorders for which boron chemistry may offer a competitive advantage in terms of binding-site differentiation, pharmacodynamics, drug-like properties, and intellectual property, including initially ENPP1 and PI3Kα.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with profiles that are sub-nanomolar, highly selective and characterized by excellent oral pharmacokinetics. The Company recently declared its ENPP1 candidate for the treatment of solid tumors, marking an important step in transitioning the program from early research into development.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00" w:after="100"/>
        <w:jc w:val="left"/>
        <w:rPr>
          <w:rFonts w:ascii="Times New Roman" w:hAnsi="Times New Roman"/>
          <w:b/>
          <w:color w:val="000000"/>
          <w:sz w:val="20"/>
        </w:rPr>
      </w:pPr>
      <w:r>
        <w:rPr>
          <w:rFonts w:ascii="Times New Roman" w:hAnsi="Times New Roman"/>
          <w:b/>
          <w:color w:val="000000"/>
          <w:sz w:val="20"/>
        </w:rPr>
        <w:t>Selected First Quarter Financial Results</w:t>
      </w:r>
    </w:p>
    <w:p>
      <w:pPr>
        <w:pStyle w:val="TextBody"/>
        <w:bidi w:val="0"/>
        <w:spacing w:before="20" w:after="283"/>
        <w:jc w:val="left"/>
        <w:rPr>
          <w:color w:val="000000"/>
        </w:rPr>
      </w:pPr>
      <w:r>
        <w:rPr>
          <w:color w:val="000000"/>
        </w:rPr>
        <w:t>•</w:t>
      </w:r>
    </w:p>
    <w:p>
      <w:pPr>
        <w:pStyle w:val="TextBody"/>
        <w:bidi w:val="0"/>
        <w:spacing w:before="20" w:after="283"/>
        <w:jc w:val="left"/>
        <w:rPr/>
      </w:pPr>
      <w:r>
        <w:rPr>
          <w:rFonts w:ascii="Times New Roman" w:hAnsi="Times New Roman"/>
          <w:b/>
          <w:color w:val="000000"/>
          <w:sz w:val="20"/>
        </w:rPr>
        <w:t>Research and Development (R&amp;D) Expenses:</w:t>
      </w:r>
      <w:r>
        <w:rPr>
          <w:color w:val="000000"/>
        </w:rPr>
        <w:t xml:space="preserve"> </w:t>
      </w:r>
      <w:r>
        <w:rPr>
          <w:rFonts w:ascii="Times New Roman" w:hAnsi="Times New Roman"/>
          <w:color w:val="000000"/>
          <w:sz w:val="20"/>
        </w:rPr>
        <w:t xml:space="preserve">R&amp;D expenses for the first quarter of 2026 were $6.7 million, compared to $7.7 million for the same period during 2025 due to decreased chemistry manufacturing and controls (CMC) expenses, primarily due to decreased expenses related to completion of CMC activities in certain programs, and license fees. These decreases were partially offset by increases in personnel-related expenses, clinical trial expenses, consulting and outside services, and facilities and other expenses.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General and Administrative (G&amp;A) Expenses:</w:t>
      </w:r>
      <w:r>
        <w:rPr>
          <w:color w:val="000000"/>
        </w:rPr>
        <w:t xml:space="preserve"> </w:t>
      </w:r>
      <w:r>
        <w:rPr>
          <w:rFonts w:ascii="Times New Roman" w:hAnsi="Times New Roman"/>
          <w:color w:val="000000"/>
          <w:sz w:val="20"/>
        </w:rPr>
        <w:t>G&amp;A expenses for the first quarter of 2026 and the same period during 2025 were $3.8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Interest Income:</w:t>
      </w:r>
      <w:r>
        <w:rPr>
          <w:color w:val="000000"/>
        </w:rPr>
        <w:t xml:space="preserve"> </w:t>
      </w:r>
      <w:r>
        <w:rPr>
          <w:rFonts w:ascii="Times New Roman" w:hAnsi="Times New Roman"/>
          <w:color w:val="000000"/>
          <w:sz w:val="20"/>
        </w:rPr>
        <w:t>Interest income for the first quarter of 2026 was $0.5 million, compared to $0.9 million for the same period during 2025 due to lower average cash, cash equivalents and investment balances and lower interest rates in 2026 as compared to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color w:val="000000"/>
        </w:rPr>
        <w:t xml:space="preserve"> </w:t>
      </w:r>
      <w:r>
        <w:rPr>
          <w:rFonts w:ascii="Times New Roman" w:hAnsi="Times New Roman"/>
          <w:color w:val="000000"/>
          <w:sz w:val="20"/>
        </w:rPr>
        <w:t>Net loss for the first quarter of 2026 was $10.0 million, compared to $10.6 million for the same period during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Position:</w:t>
      </w:r>
      <w:r>
        <w:rPr>
          <w:color w:val="000000"/>
        </w:rPr>
        <w:t xml:space="preserve"> </w:t>
      </w:r>
      <w:r>
        <w:rPr>
          <w:rFonts w:ascii="Times New Roman" w:hAnsi="Times New Roman"/>
          <w:color w:val="000000"/>
          <w:sz w:val="20"/>
        </w:rPr>
        <w:t>The Company had cash, cash equivalents and investments of $85.3 million at March 31, 2026. In March 2026, AN2 raised gross proceeds of $40.0 million through a private placement, before deducting placement agent fees and other expenses. The Company projects that existing cash, cash equivalents, and investments will sustain operations into 2029 under the current operating plan.</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About AN2 Therapeutics, </w:t>
      </w:r>
      <w:r>
        <w:rPr>
          <w:rFonts w:ascii="Times New Roman" w:hAnsi="Times New Roman"/>
          <w:b/>
          <w:color w:val="0A0A0A"/>
          <w:sz w:val="20"/>
        </w:rPr>
        <w:t>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AN2 Therapeutics, Inc. is a clinical stage biopharmaceutical company focused on the discovery and development of novel small-molecule therapeutics derived from our boron chemistry platform. Our development pipeline spans hematologic diseases, infectious diseases, and oncology with three Phase 2 studies expected to be active in 2026, two preclinical candidates, as well as advanced research programs focused on targets in oncology, bone disorders, and infectious diseases. We are committed to delivering high-impact drugs to patients that address critical unmet needs and improve health outcomes.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expressed or implied in this press release include, but are not limited to, statements regarding: the potential of the Company’s boron chemistry platform and advancement of the Company’s development programs; support for the Company’s polycythemia vera program; expectations regarding the Company’s clinical trials, including initiation, enrollment, conduct, sites, leadership and investigators, the timing of data and related announcements, and regulatory proceedings; market size and sales potential; the predictivity of data; cash runway; and other statements that are not historical fact. These statements are based on AN2’s current estimates, expectations, plans, objectives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AN2’s ability to implement its plans for its internal boron chemistry platform and pipeline programs; timely enrollment of patients in AN2’s clinical trials and investigator-initiated clinical trials; AN2’s ability to procure sufficient supply of its product candidates for its clinical trials; the potential for results from clinical trials to differ from preclinical, early clinical, preliminary or expected results; the ability of particular preclinical models in non-human primates to predict safety and efficacy in humans; significant adverse events, toxicities or other undesirable side effects associated with AN2’s product candidates; the significant uncertainty associated with AN2’s product candidates ever receiving any regulatory approvals; AN2’s ability to obtain, maintain or protect intellectual property rights related to its current and future product candidates; implementation of AN2’s strategic plans for its business and product candidates; the sufficiency of AN2’s capital resources and need for additional capital to achieve its goals; global macroeconomic conditions and global conflicts and other risks, including those described under the heading “Risk Factors” in AN2’s Annual Reports on Form 10-K, Quarterly Reports on Form 10-Q and other reports filed with the U.S. Securities and Exchange Commission (SEC). These filings, when made, are available on the investor relations section of AN2’s website at www.an2therapeutics.com and on the SEC’s website at www.sec.gov. Forward-looking statements contained in this press release are made as of this date, and AN2 undertakes no duty to update such information except as required under applicable law.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Contact:</w:t>
      </w:r>
    </w:p>
    <w:p>
      <w:pPr>
        <w:pStyle w:val="TextBody"/>
        <w:bidi w:val="0"/>
        <w:jc w:val="left"/>
        <w:rPr>
          <w:rFonts w:ascii="Times New Roman" w:hAnsi="Times New Roman"/>
          <w:color w:val="000000"/>
          <w:sz w:val="20"/>
        </w:rPr>
      </w:pPr>
      <w:r>
        <w:rPr>
          <w:rFonts w:ascii="Times New Roman" w:hAnsi="Times New Roman"/>
          <w:color w:val="000000"/>
          <w:sz w:val="20"/>
        </w:rPr>
        <w:t>Lucy O. Day</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both"/>
        <w:rPr>
          <w:rFonts w:ascii="Times New Roman" w:hAnsi="Times New Roman"/>
          <w:color w:val="0000FF"/>
          <w:sz w:val="20"/>
          <w:u w:val="single"/>
        </w:rPr>
      </w:pPr>
      <w:r>
        <w:rPr>
          <w:rFonts w:ascii="Times New Roman" w:hAnsi="Times New Roman"/>
          <w:color w:val="0000FF"/>
          <w:sz w:val="20"/>
          <w:u w:val="single"/>
        </w:rPr>
        <w:t>l.day@an2therapeutics.com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and Media Contact:</w:t>
      </w:r>
    </w:p>
    <w:p>
      <w:pPr>
        <w:pStyle w:val="TextBody"/>
        <w:bidi w:val="0"/>
        <w:jc w:val="left"/>
        <w:rPr>
          <w:rFonts w:ascii="Times New Roman" w:hAnsi="Times New Roman"/>
          <w:color w:val="000000"/>
          <w:sz w:val="20"/>
        </w:rPr>
      </w:pPr>
      <w:r>
        <w:rPr>
          <w:rFonts w:ascii="Times New Roman" w:hAnsi="Times New Roman"/>
          <w:color w:val="000000"/>
          <w:sz w:val="20"/>
        </w:rPr>
        <w:t>Anne Bowdidge</w:t>
      </w:r>
    </w:p>
    <w:p>
      <w:pPr>
        <w:pStyle w:val="TextBody"/>
        <w:bidi w:val="0"/>
        <w:jc w:val="both"/>
        <w:rPr>
          <w:rFonts w:ascii="Times New Roman" w:hAnsi="Times New Roman"/>
          <w:color w:val="0000FF"/>
          <w:sz w:val="20"/>
          <w:u w:val="single"/>
        </w:rPr>
      </w:pPr>
      <w:r>
        <w:rPr>
          <w:rFonts w:ascii="Times New Roman" w:hAnsi="Times New Roman"/>
          <w:color w:val="0000FF"/>
          <w:sz w:val="20"/>
          <w:u w:val="single"/>
        </w:rPr>
        <w:t>ir@an2therapeutics.com</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AN2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STATEMENTS OF OPERATIONS AND COMPREHENSIVE LOSS</w:t>
      </w:r>
    </w:p>
    <w:p>
      <w:pPr>
        <w:pStyle w:val="TextBody"/>
        <w:bidi w:val="0"/>
        <w:jc w:val="center"/>
        <w:rPr>
          <w:rFonts w:ascii="Times New Roman" w:hAnsi="Times New Roman"/>
          <w:b/>
          <w:i/>
          <w:color w:val="000000"/>
          <w:sz w:val="18"/>
        </w:rPr>
      </w:pPr>
      <w:r>
        <w:rPr>
          <w:rFonts w:ascii="Times New Roman" w:hAnsi="Times New Roman"/>
          <w:b/>
          <w:i/>
          <w:color w:val="000000"/>
          <w:sz w:val="18"/>
        </w:rPr>
        <w:t>(in thousands, except share and per share data)</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34,059,876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30,053,659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AN2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BALANCE SHEETS</w:t>
      </w:r>
    </w:p>
    <w:p>
      <w:pPr>
        <w:pStyle w:val="TextBody"/>
        <w:bidi w:val="0"/>
        <w:jc w:val="center"/>
        <w:rPr>
          <w:rFonts w:ascii="Times New Roman" w:hAnsi="Times New Roman"/>
          <w:sz w:val="20"/>
        </w:rPr>
      </w:pPr>
      <w:r>
        <w:rPr>
          <w:rFonts w:ascii="Times New Roman" w:hAnsi="Times New Roman"/>
          <w:b/>
          <w:i/>
          <w:color w:val="000000"/>
          <w:sz w:val="18"/>
        </w:rPr>
        <w:t>(in thousands)</w:t>
        <w:br/>
      </w:r>
      <w:r>
        <w:rPr>
          <w:rFonts w:ascii="Times New Roman" w:hAnsi="Times New Roman"/>
          <w:color w:val="000000"/>
          <w:sz w:val="20"/>
        </w:rPr>
        <w:t> </w:t>
      </w:r>
    </w:p>
    <w:tbl>
      <w:tblPr>
        <w:tblW w:w="7190" w:type="dxa"/>
        <w:jc w:val="left"/>
        <w:tblInd w:w="0" w:type="dxa"/>
        <w:tblLayout w:type="fixed"/>
        <w:tblCellMar>
          <w:top w:w="28" w:type="dxa"/>
          <w:left w:w="28" w:type="dxa"/>
          <w:bottom w:w="28" w:type="dxa"/>
          <w:right w:w="28" w:type="dxa"/>
        </w:tblCellMar>
      </w:tblPr>
      <w:tblGrid>
        <w:gridCol w:w="3836"/>
        <w:gridCol w:w="146"/>
        <w:gridCol w:w="253"/>
        <w:gridCol w:w="812"/>
        <w:gridCol w:w="146"/>
        <w:gridCol w:w="146"/>
        <w:gridCol w:w="299"/>
        <w:gridCol w:w="961"/>
        <w:gridCol w:w="59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2533</Words>
  <Characters>14771</Characters>
  <CharactersWithSpaces>17327</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